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Q4利润超预期兑现改革，但当前位置中性、纯业绩空间有限</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601579</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短期：Q4利润率跳升、改革兑现到报表，收入端增速向常态收敛</w:t>
            </w:r>
          </w:p>
          <w:p>
            <w:r>
              <w:rPr>
                <w:rFonts w:ascii="微软雅黑" w:hAnsi="微软雅黑" w:eastAsia="微软雅黑" w:cs="微软雅黑"/>
                <w:b w:val="0"/>
                <w:sz w:val="18"/>
              </w:rPr>
              <w:t xml:space="preserve">1. </w:t>
            </w:r>
            <w:r>
              <w:rPr>
                <w:rFonts w:ascii="微软雅黑" w:hAnsi="微软雅黑" w:eastAsia="微软雅黑" w:cs="微软雅黑"/>
                <w:b/>
                <w:sz w:val="18"/>
              </w:rPr>
              <w:t>利润超预期的成色</w:t>
            </w:r>
            <w:r>
              <w:rPr>
                <w:rFonts w:ascii="微软雅黑" w:hAnsi="微软雅黑" w:eastAsia="微软雅黑" w:cs="微软雅黑"/>
                <w:b w:val="0"/>
                <w:sz w:val="18"/>
              </w:rPr>
              <w:t>：25Q4归母1.3亿、+53.6%，单季归母净利率21.0%（+6.4pct），是产品结构上移的真实兑现——全年毛利率56.7%（+4.6pct）、Q4单季60.5%，中高档与普通两条线毛利率分别+5.8/+7.6pct，正从过去50pct的中低端向次高端70pct级别挺近，这是利润超预期的主因。</w:t>
            </w:r>
          </w:p>
          <w:p>
            <w:r>
              <w:rPr>
                <w:rFonts w:ascii="微软雅黑" w:hAnsi="微软雅黑" w:eastAsia="微软雅黑" w:cs="微软雅黑"/>
                <w:b w:val="0"/>
                <w:sz w:val="18"/>
              </w:rPr>
              <w:t xml:space="preserve">2. </w:t>
            </w:r>
            <w:r>
              <w:rPr>
                <w:rFonts w:ascii="微软雅黑" w:hAnsi="微软雅黑" w:eastAsia="微软雅黑" w:cs="微软雅黑"/>
                <w:b/>
                <w:sz w:val="18"/>
              </w:rPr>
              <w:t>收入端增速收敛</w:t>
            </w:r>
            <w:r>
              <w:rPr>
                <w:rFonts w:ascii="微软雅黑" w:hAnsi="微软雅黑" w:eastAsia="微软雅黑" w:cs="微软雅黑"/>
                <w:b w:val="0"/>
                <w:sz w:val="18"/>
              </w:rPr>
              <w:t>：全年营收18.2亿、+11.7%，但Q4营收6.1亿、+7.1%；大单品1743（+90%）、兰亭（60%+）放量，中高档整体收入+7.3%且量基本持平，普通及其他+21%含爽酒破圈脉冲的高基数。26Q1春节动销回到10%以内增长，增速向常态回归。</w:t>
            </w:r>
          </w:p>
          <w:p>
            <w:r>
              <w:rPr>
                <w:rFonts w:ascii="微软雅黑" w:hAnsi="微软雅黑" w:eastAsia="微软雅黑" w:cs="微软雅黑"/>
                <w:b w:val="0"/>
                <w:sz w:val="18"/>
              </w:rPr>
              <w:t xml:space="preserve">3. </w:t>
            </w:r>
            <w:r>
              <w:rPr>
                <w:rFonts w:ascii="微软雅黑" w:hAnsi="微软雅黑" w:eastAsia="微软雅黑" w:cs="微软雅黑"/>
                <w:b/>
                <w:sz w:val="18"/>
              </w:rPr>
              <w:t>费用仍在高位但管理端对冲</w:t>
            </w:r>
            <w:r>
              <w:rPr>
                <w:rFonts w:ascii="微软雅黑" w:hAnsi="微软雅黑" w:eastAsia="微软雅黑" w:cs="微软雅黑"/>
                <w:b w:val="0"/>
                <w:sz w:val="18"/>
              </w:rPr>
              <w:t>：销售费用率全年26.0%（+5.6pct）、Q4 22.7%，品牌战未降温；管理费用率收缩至5.7%（-2.8pct，折旧摊销减少）部分对冲，净利率改善由结构升级主导而非费用节约。</w:t>
            </w:r>
          </w:p>
          <w:p>
            <w:r>
              <w:rPr>
                <w:rFonts w:ascii="微软雅黑" w:hAnsi="微软雅黑" w:eastAsia="微软雅黑" w:cs="微软雅黑"/>
                <w:b w:val="0"/>
                <w:sz w:val="18"/>
              </w:rPr>
              <w:t xml:space="preserve">4. </w:t>
            </w:r>
            <w:r>
              <w:rPr>
                <w:rFonts w:ascii="微软雅黑" w:hAnsi="微软雅黑" w:eastAsia="微软雅黑" w:cs="微软雅黑"/>
                <w:b/>
                <w:sz w:val="18"/>
              </w:rPr>
              <w:t>落地进度比报表更重要</w:t>
            </w:r>
            <w:r>
              <w:rPr>
                <w:rFonts w:ascii="微软雅黑" w:hAnsi="微软雅黑" w:eastAsia="微软雅黑" w:cs="微软雅黑"/>
                <w:b w:val="0"/>
                <w:sz w:val="18"/>
              </w:rPr>
              <w:t>：26Q1操盘手从喜临门前CEO杨总换为雪花啤酒四川操盘手唐桂江，团队专业化升级；兰亭气泡酒与1743内部规划26年翻倍，渠道跟踪踏实认真——公司确实在往前走，落地认真程度超预期。</w:t>
            </w:r>
          </w:p>
          <w:p/>
          <w:p>
            <w:r>
              <w:rPr>
                <w:rFonts w:ascii="微软雅黑" w:hAnsi="微软雅黑" w:eastAsia="微软雅黑" w:cs="微软雅黑"/>
                <w:b/>
                <w:sz w:val="18"/>
              </w:rPr>
              <w:t>中长期：黄酒产业变革刚起步，改革终局可看100–120亿，但需主题催化打开空间</w:t>
            </w:r>
          </w:p>
          <w:p>
            <w:r>
              <w:rPr>
                <w:rFonts w:ascii="微软雅黑" w:hAnsi="微软雅黑" w:eastAsia="微软雅黑" w:cs="微软雅黑"/>
                <w:b w:val="0"/>
                <w:sz w:val="18"/>
              </w:rPr>
              <w:t xml:space="preserve">1. </w:t>
            </w:r>
            <w:r>
              <w:rPr>
                <w:rFonts w:ascii="微软雅黑" w:hAnsi="微软雅黑" w:eastAsia="微软雅黑" w:cs="微软雅黑"/>
                <w:b/>
                <w:sz w:val="18"/>
              </w:rPr>
              <w:t>赛道属性</w:t>
            </w:r>
            <w:r>
              <w:rPr>
                <w:rFonts w:ascii="微软雅黑" w:hAnsi="微软雅黑" w:eastAsia="微软雅黑" w:cs="微软雅黑"/>
                <w:b w:val="0"/>
                <w:sz w:val="18"/>
              </w:rPr>
              <w:t>：黄酒是最晚消费升级的酒类，体量小、市场基础好（江浙沪），产业变革只是刚开始，整体朝气蓬勃；会稽山结构升级路径清晰，毛利率从50pct向次高端70pct级别挺近的逻辑可持续。</w:t>
            </w:r>
          </w:p>
          <w:p>
            <w:r>
              <w:rPr>
                <w:rFonts w:ascii="微软雅黑" w:hAnsi="微软雅黑" w:eastAsia="微软雅黑" w:cs="微软雅黑"/>
                <w:b w:val="0"/>
                <w:sz w:val="18"/>
              </w:rPr>
              <w:t xml:space="preserve">2. </w:t>
            </w:r>
            <w:r>
              <w:rPr>
                <w:rFonts w:ascii="微软雅黑" w:hAnsi="微软雅黑" w:eastAsia="微软雅黑" w:cs="微软雅黑"/>
                <w:b/>
                <w:sz w:val="18"/>
              </w:rPr>
              <w:t>改革终局</w:t>
            </w:r>
            <w:r>
              <w:rPr>
                <w:rFonts w:ascii="微软雅黑" w:hAnsi="微软雅黑" w:eastAsia="微软雅黑" w:cs="微软雅黑"/>
                <w:b w:val="0"/>
                <w:sz w:val="18"/>
              </w:rPr>
              <w:t>：泛全国化可展望5亿体量利润终局，对应改革终局市值100–120亿；相比24年6月50亿首次覆盖时按计算器，当前基本面胜率更高、落地更踏实。</w:t>
            </w:r>
          </w:p>
          <w:p>
            <w:r>
              <w:rPr>
                <w:rFonts w:ascii="微软雅黑" w:hAnsi="微软雅黑" w:eastAsia="微软雅黑" w:cs="微软雅黑"/>
                <w:b w:val="0"/>
                <w:sz w:val="18"/>
              </w:rPr>
              <w:t xml:space="preserve">3. </w:t>
            </w:r>
            <w:r>
              <w:rPr>
                <w:rFonts w:ascii="微软雅黑" w:hAnsi="微软雅黑" w:eastAsia="微软雅黑" w:cs="微软雅黑"/>
                <w:b/>
                <w:sz w:val="18"/>
              </w:rPr>
              <w:t>空间约束</w:t>
            </w:r>
            <w:r>
              <w:rPr>
                <w:rFonts w:ascii="微软雅黑" w:hAnsi="微软雅黑" w:eastAsia="微软雅黑" w:cs="微软雅黑"/>
                <w:b w:val="0"/>
                <w:sz w:val="18"/>
              </w:rPr>
              <w:t>：若不交易改革终局，当前位置偏中性，向上最高给到30x估值，纯算业绩空间不大；向上空间要等市场对黄酒热度再提升（如气泡黄酒主题、省外大商洽谈成功）时才能打开。</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19.9 亿，yoy 9%，归母净利润 2.9 亿，yoy 19%，对应 PE 24 倍；2027 年销售收入 21.5 亿，yoy 8%，归母净利润 3.4 亿，yoy 18%，对应 PE 20 倍。当前位置偏中性、不提供买点，纯算业绩空间不大；向上空间需等黄酒热度再起（气泡黄酒主题、省外大商落地）时打开，改革终局可看 100–120 亿市值。</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1,411</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1,631</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1,822</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1,992</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2,147</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2,278</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15.6%</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11.7%</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9.4%</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7.8%</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6.1%</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46.9%</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52.1%</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56.7%</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57.5%</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58.3%</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59.0%</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167</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196</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245</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291</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344</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397</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15.1%</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17.7%</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24.7%</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19.0%</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18.2%</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15.5%</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4.5%</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6.5%</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7.4%</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8.1%</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0.35</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0.41</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0.51</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0.61</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0.72</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0.83</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42.2</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35.9</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28.8</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24.2</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20.5</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17.7</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17.9</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16.2</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15.1</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12.8</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10.7</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