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去库存释放利润，但铺货质地弱、利润可视性差，不提供买点</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300592</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短期：边际改善已兑现，但收入侧转负、利润修复含一次性</w:t>
            </w:r>
          </w:p>
          <w:p>
            <w:r>
              <w:rPr>
                <w:rFonts w:ascii="微软雅黑" w:hAnsi="微软雅黑" w:eastAsia="微软雅黑" w:cs="微软雅黑"/>
                <w:b w:val="0"/>
                <w:sz w:val="18"/>
              </w:rPr>
              <w:t xml:space="preserve">1. </w:t>
            </w:r>
            <w:r>
              <w:rPr>
                <w:rFonts w:ascii="微软雅黑" w:hAnsi="微软雅黑" w:eastAsia="微软雅黑" w:cs="微软雅黑"/>
                <w:b/>
                <w:sz w:val="18"/>
              </w:rPr>
              <w:t>去库存拐点兑现</w:t>
            </w:r>
            <w:r>
              <w:rPr>
                <w:rFonts w:ascii="微软雅黑" w:hAnsi="微软雅黑" w:eastAsia="微软雅黑" w:cs="微软雅黑"/>
                <w:b w:val="0"/>
                <w:sz w:val="18"/>
              </w:rPr>
              <w:t>：存货自 2024Q3 20.16 亿连续降至 2026Q1 8.81 亿，毛利率从 2025Q1 31.48% 回升至 2026Q1 35.85%，经营现金流由 2024 年 -3.30 亿转至 2025 年 +9.72 亿，26Q1 归母 +574%。库存包袱释放后经营确有恢复。</w:t>
            </w:r>
          </w:p>
          <w:p>
            <w:r>
              <w:rPr>
                <w:rFonts w:ascii="微软雅黑" w:hAnsi="微软雅黑" w:eastAsia="微软雅黑" w:cs="微软雅黑"/>
                <w:b w:val="0"/>
                <w:sz w:val="18"/>
              </w:rPr>
              <w:t xml:space="preserve">2. </w:t>
            </w:r>
            <w:r>
              <w:rPr>
                <w:rFonts w:ascii="微软雅黑" w:hAnsi="微软雅黑" w:eastAsia="微软雅黑" w:cs="微软雅黑"/>
                <w:b/>
                <w:sz w:val="18"/>
              </w:rPr>
              <w:t>但收入侧仍在转负</w:t>
            </w:r>
            <w:r>
              <w:rPr>
                <w:rFonts w:ascii="微软雅黑" w:hAnsi="微软雅黑" w:eastAsia="微软雅黑" w:cs="微软雅黑"/>
                <w:b w:val="0"/>
                <w:sz w:val="18"/>
              </w:rPr>
              <w:t>：26Q1 营收 -16%，是公司主动降促销、收缩低效业务的结果。利润修复建立在收缩而非扩张上，收入恢复路径要等 26H1 拆分验证，目前可视性差。</w:t>
            </w:r>
          </w:p>
          <w:p>
            <w:r>
              <w:rPr>
                <w:rFonts w:ascii="微软雅黑" w:hAnsi="微软雅黑" w:eastAsia="微软雅黑" w:cs="微软雅黑"/>
                <w:b w:val="0"/>
                <w:sz w:val="18"/>
              </w:rPr>
              <w:t xml:space="preserve">3. </w:t>
            </w:r>
            <w:r>
              <w:rPr>
                <w:rFonts w:ascii="微软雅黑" w:hAnsi="微软雅黑" w:eastAsia="微软雅黑" w:cs="微软雅黑"/>
                <w:b/>
                <w:sz w:val="18"/>
              </w:rPr>
              <w:t>汇兑压力侵蚀利润</w:t>
            </w:r>
            <w:r>
              <w:rPr>
                <w:rFonts w:ascii="微软雅黑" w:hAnsi="微软雅黑" w:eastAsia="微软雅黑" w:cs="微软雅黑"/>
                <w:b w:val="0"/>
                <w:sz w:val="18"/>
              </w:rPr>
              <w:t>：26Q1 财务费用由 2025 年净收益转为 +0.235 亿，公司获批易佰+通拓不超 2 亿外汇衍生品额度对冲。汇率驱动项不写进预测旋钮，但直接扰动季度利润，是利润可视性差的主因之一。</w:t>
            </w:r>
          </w:p>
          <w:p>
            <w:r>
              <w:rPr>
                <w:rFonts w:ascii="微软雅黑" w:hAnsi="微软雅黑" w:eastAsia="微软雅黑" w:cs="微软雅黑"/>
                <w:b w:val="0"/>
                <w:sz w:val="18"/>
              </w:rPr>
              <w:t xml:space="preserve">4. </w:t>
            </w:r>
            <w:r>
              <w:rPr>
                <w:rFonts w:ascii="微软雅黑" w:hAnsi="微软雅黑" w:eastAsia="微软雅黑" w:cs="微软雅黑"/>
                <w:b/>
                <w:sz w:val="18"/>
              </w:rPr>
              <w:t>消费逆风叠加关税</w:t>
            </w:r>
            <w:r>
              <w:rPr>
                <w:rFonts w:ascii="微软雅黑" w:hAnsi="微软雅黑" w:eastAsia="微软雅黑" w:cs="微软雅黑"/>
                <w:b w:val="0"/>
                <w:sz w:val="18"/>
              </w:rPr>
              <w:t>：中国社零同比 2026-05 转负 -0.6%；美国 de minimis 取消、T86 清关成本平均 +28%、预计销量 -42%，低货值泛品首当其冲。外部环境对低客单价（约 113 元）的泛品基本盘是持续压制。</w:t>
            </w:r>
          </w:p>
          <w:p/>
          <w:p>
            <w:r>
              <w:rPr>
                <w:rFonts w:ascii="微软雅黑" w:hAnsi="微软雅黑" w:eastAsia="微软雅黑" w:cs="微软雅黑"/>
                <w:b/>
                <w:sz w:val="18"/>
              </w:rPr>
              <w:t>中长期：铺货模式在出海公司里质地弱，精品转型尚未兑现利润</w:t>
            </w:r>
          </w:p>
          <w:p>
            <w:r>
              <w:rPr>
                <w:rFonts w:ascii="微软雅黑" w:hAnsi="微软雅黑" w:eastAsia="微软雅黑" w:cs="微软雅黑"/>
                <w:b w:val="0"/>
                <w:sz w:val="18"/>
              </w:rPr>
              <w:t xml:space="preserve">1. </w:t>
            </w:r>
            <w:r>
              <w:rPr>
                <w:rFonts w:ascii="微软雅黑" w:hAnsi="微软雅黑" w:eastAsia="微软雅黑" w:cs="微软雅黑"/>
                <w:b/>
                <w:sz w:val="18"/>
              </w:rPr>
              <w:t>模式质地偏弱</w:t>
            </w:r>
            <w:r>
              <w:rPr>
                <w:rFonts w:ascii="微软雅黑" w:hAnsi="微软雅黑" w:eastAsia="微软雅黑" w:cs="微软雅黑"/>
                <w:b w:val="0"/>
                <w:sz w:val="18"/>
              </w:rPr>
              <w:t>：104 万 SKU、客单价约 113 元的泛品铺货是基本盘，对标安克创新（品牌）、赛维时代/致欧科技（精选迈向品牌），华凯被归为"铺货/泛品"路径，护城河薄、差异化易被复制。在出海公司里这不是好的商业模式。</w:t>
            </w:r>
          </w:p>
          <w:p>
            <w:r>
              <w:rPr>
                <w:rFonts w:ascii="微软雅黑" w:hAnsi="微软雅黑" w:eastAsia="微软雅黑" w:cs="微软雅黑"/>
                <w:b w:val="0"/>
                <w:sz w:val="18"/>
              </w:rPr>
              <w:t xml:space="preserve">2. </w:t>
            </w:r>
            <w:r>
              <w:rPr>
                <w:rFonts w:ascii="微软雅黑" w:hAnsi="微软雅黑" w:eastAsia="微软雅黑" w:cs="微软雅黑"/>
                <w:b/>
                <w:sz w:val="18"/>
              </w:rPr>
              <w:t>精品高增未转化为利润</w:t>
            </w:r>
            <w:r>
              <w:rPr>
                <w:rFonts w:ascii="微软雅黑" w:hAnsi="微软雅黑" w:eastAsia="微软雅黑" w:cs="微软雅黑"/>
                <w:b w:val="0"/>
                <w:sz w:val="18"/>
              </w:rPr>
              <w:t>：精品 2025 +49.96%、客单价 305 元是亮点，但公司整体净利率仅 1.69%、26Q1 也只到 3.84%。精品单独利润率、复购、品牌投入产出比均未披露，收入高增还没体现为公司整体高利润率，利润转化链条缺证据。</w:t>
            </w:r>
          </w:p>
          <w:p>
            <w:r>
              <w:rPr>
                <w:rFonts w:ascii="微软雅黑" w:hAnsi="微软雅黑" w:eastAsia="微软雅黑" w:cs="微软雅黑"/>
                <w:b w:val="0"/>
                <w:sz w:val="18"/>
              </w:rPr>
              <w:t xml:space="preserve">3. </w:t>
            </w:r>
            <w:r>
              <w:rPr>
                <w:rFonts w:ascii="微软雅黑" w:hAnsi="微软雅黑" w:eastAsia="微软雅黑" w:cs="微软雅黑"/>
                <w:b/>
                <w:sz w:val="18"/>
              </w:rPr>
              <w:t>平台集中度与口径冲突</w:t>
            </w:r>
            <w:r>
              <w:rPr>
                <w:rFonts w:ascii="微软雅黑" w:hAnsi="微软雅黑" w:eastAsia="微软雅黑" w:cs="微软雅黑"/>
                <w:b w:val="0"/>
                <w:sz w:val="18"/>
              </w:rPr>
              <w:t>：Amazon 2025 贡献 56.95 亿、占比约 62%，管理层口径在"接近 80%"与"降至 60%"之间摇摆，多元化进度存疑。非 Amazon 渠道（Walmart +49.77%、Temu +16%）增速更高但绝对体量小，短期难改格局。</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103.1 亿，yoy +13%，归母净利润 1.8 亿，yoy +21%，对应 PE 40 倍；2027 年销售收入 115.0 亿，yoy +12%，归母净利润 2.0 亿，yoy +14%，对应 PE 35 倍。自下而上 2026 归母 1.8 亿远低于一致预期 3.17 亿与管理层"约 4 亿"口径，差异在毛利率取 33%（而非 26Q1 35.85%）、销售费用率维持 25.4% 的保守覆盖。汇兑压力与消费逆风下利润可视性差、铺货模式质地弱，当前 PE 40 倍不便宜，不提供买点。</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6,518</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9,022</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9,133</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10,305</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11,501</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12,723</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47.6%</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38.4%</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12.8%</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11.6%</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10.6%</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37.0%</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33.9%</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33.4%</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33.0%</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33.0%</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33.0%</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332</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170</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147</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178</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203</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220</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53.6%</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-48.8%</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-13.8%</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21.2%</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14.1%</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8.5%</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15.3%</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7.5%</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8.1%</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8.4%</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1.15</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0.42</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0.36</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0.44</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0.50</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0.54</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21.5</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42.1</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48.8</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40.3</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35.3</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32.5</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3.4</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3.1</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2.9</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15.2</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23.7</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23.2</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21.7</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19.7</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18.7</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