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8335"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3"/>
        <w:gridCol w:w="943"/>
        <w:gridCol w:w="932"/>
        <w:gridCol w:w="1179"/>
        <w:gridCol w:w="900"/>
        <w:gridCol w:w="1254"/>
        <w:gridCol w:w="1232"/>
        <w:gridCol w:w="842"/>
      </w:tblGrid>
      <w:tr w14:paraId="7DCB1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6" w:hRule="atLeast"/>
        </w:trPr>
        <w:tc>
          <w:tcPr>
            <w:tcW w:w="1996" w:type="dxa"/>
            <w:gridSpan w:val="2"/>
            <w:tcBorders>
              <w:top w:val="single" w:color="000000" w:sz="4" w:space="0"/>
              <w:left w:val="single" w:color="000000" w:sz="4" w:space="0"/>
              <w:bottom w:val="single" w:color="000000" w:sz="4" w:space="0"/>
              <w:right w:val="nil"/>
            </w:tcBorders>
            <w:shd w:val="clear" w:color="auto" w:fill="FFFFFF" w:themeFill="background1"/>
            <w:noWrap/>
            <w:vAlign w:val="center"/>
          </w:tcPr>
          <w:p w14:paraId="565C9F77">
            <w:pPr>
              <w:jc w:val="left"/>
              <w:rPr>
                <w:rFonts w:hint="eastAsia" w:ascii="微软雅黑" w:hAnsi="微软雅黑" w:eastAsia="微软雅黑" w:cs="微软雅黑"/>
                <w:b/>
                <w:bCs/>
                <w:i w:val="0"/>
                <w:iCs w:val="0"/>
                <w:color w:val="000000"/>
                <w:sz w:val="18"/>
                <w:szCs w:val="18"/>
                <w:u w:val="none"/>
                <w:lang w:val="en-US" w:eastAsia="zh-CN"/>
              </w:rPr>
            </w:pPr>
            <w:bookmarkStart w:id="0" w:name="股票名称" w:colFirst="1" w:colLast="1"/>
            <w:bookmarkStart w:id="1" w:name="行业名称" w:colFirst="2" w:colLast="2"/>
            <w:bookmarkStart w:id="2" w:name="报告名称" w:colFirst="0" w:colLast="0"/>
            <w:sdt>
              <w:sdtPr>
                <w:rPr>
                  <w:rFonts w:hint="eastAsia" w:ascii="微软雅黑" w:hAnsi="微软雅黑" w:eastAsia="微软雅黑" w:cs="微软雅黑"/>
                  <w:b w:val="0"/>
                  <w:bCs w:val="0"/>
                  <w:i w:val="0"/>
                  <w:iCs w:val="0"/>
                  <w:color w:val="000000"/>
                  <w:kern w:val="2"/>
                  <w:sz w:val="18"/>
                  <w:szCs w:val="18"/>
                  <w:u w:val="none"/>
                  <w:lang w:val="en-US" w:eastAsia="zh-TW" w:bidi="ar-SA"/>
                </w:rPr>
                <w:id w:val="147482084"/>
                <w:lock w:val="sdtContentLocked"/>
                <w:placeholder>
                  <w:docPart w:val="{0daf061f-d72c-4e6a-bb21-74e9fcd2540c}"/>
                </w:placeholder>
              </w:sdtPr>
              <w:sdtEndPr>
                <w:rPr>
                  <w:rFonts w:hint="eastAsia" w:ascii="微软雅黑" w:hAnsi="微软雅黑" w:eastAsia="微软雅黑" w:cs="微软雅黑"/>
                  <w:b w:val="0"/>
                  <w:bCs w:val="0"/>
                  <w:i w:val="0"/>
                  <w:iCs w:val="0"/>
                  <w:color w:val="000000"/>
                  <w:kern w:val="2"/>
                  <w:sz w:val="18"/>
                  <w:szCs w:val="18"/>
                  <w:u w:val="none"/>
                  <w:lang w:val="en-US" w:eastAsia="zh-TW" w:bidi="ar-SA"/>
                </w:rPr>
              </w:sdtEndPr>
              <w:sdtContent>
                <w:r>
                  <w:rPr>
                    <w:rFonts w:hint="eastAsia" w:ascii="微软雅黑" w:hAnsi="微软雅黑" w:eastAsia="微软雅黑" w:cs="微软雅黑"/>
                    <w:b/>
                    <w:bCs/>
                    <w:i w:val="0"/>
                    <w:iCs w:val="0"/>
                    <w:color w:val="000000"/>
                    <w:sz w:val="18"/>
                    <w:szCs w:val="18"/>
                    <w:u w:val="none"/>
                    <w:lang w:val="en-US" w:eastAsia="zh-CN"/>
                  </w:rPr>
                  <w:t>评级报告</w:t>
                </w:r>
              </w:sdtContent>
            </w:sdt>
            <w:r>
              <w:rPr>
                <w:rFonts w:hint="eastAsia" w:ascii="微软雅黑" w:hAnsi="微软雅黑" w:eastAsia="微软雅黑" w:cs="微软雅黑"/>
                <w:b/>
                <w:bCs/>
                <w:i w:val="0"/>
                <w:iCs w:val="0"/>
                <w:color w:val="000000"/>
                <w:sz w:val="18"/>
                <w:szCs w:val="18"/>
                <w:u w:val="none"/>
                <w:lang w:val="en-US" w:eastAsia="zh-CN"/>
              </w:rPr>
              <w:t xml:space="preserve">                                                            </w:t>
            </w:r>
          </w:p>
        </w:tc>
        <w:tc>
          <w:tcPr>
            <w:tcW w:w="2111" w:type="dxa"/>
            <w:gridSpan w:val="2"/>
            <w:tcBorders>
              <w:top w:val="single" w:color="000000" w:sz="4" w:space="0"/>
              <w:left w:val="nil"/>
              <w:bottom w:val="single" w:color="000000" w:sz="4" w:space="0"/>
              <w:right w:val="nil"/>
            </w:tcBorders>
            <w:shd w:val="clear" w:color="auto" w:fill="FFFFFF" w:themeFill="background1"/>
            <w:noWrap/>
            <w:vAlign w:val="center"/>
          </w:tcPr>
          <w:p w14:paraId="642D6B5B">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154" w:type="dxa"/>
            <w:gridSpan w:val="2"/>
            <w:tcBorders>
              <w:top w:val="single" w:color="000000" w:sz="4" w:space="0"/>
              <w:left w:val="nil"/>
              <w:bottom w:val="single" w:color="000000" w:sz="4" w:space="0"/>
              <w:right w:val="nil"/>
            </w:tcBorders>
            <w:shd w:val="clear" w:color="auto" w:fill="FFFFFF" w:themeFill="background1"/>
            <w:noWrap/>
            <w:vAlign w:val="center"/>
          </w:tcPr>
          <w:p w14:paraId="66F9BA31">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074" w:type="dxa"/>
            <w:gridSpan w:val="2"/>
            <w:tcBorders>
              <w:top w:val="single" w:color="000000" w:sz="4" w:space="0"/>
              <w:left w:val="nil"/>
              <w:bottom w:val="single" w:color="000000" w:sz="4" w:space="0"/>
              <w:right w:val="single" w:color="000000" w:sz="4" w:space="0"/>
            </w:tcBorders>
            <w:shd w:val="clear" w:color="auto" w:fill="FFFFFF" w:themeFill="background1"/>
            <w:noWrap/>
            <w:vAlign w:val="center"/>
          </w:tcPr>
          <w:p w14:paraId="248EA507">
            <w:pPr>
              <w:jc w:val="center"/>
              <w:rPr>
                <w:rFonts w:hint="eastAsia" w:ascii="Arial Unicode MS" w:hAnsi="Arial Unicode MS" w:eastAsia="Arial Unicode MS" w:cs="Arial Unicode MS"/>
                <w:b/>
                <w:bCs/>
                <w:i w:val="0"/>
                <w:iCs w:val="0"/>
                <w:color w:val="000000"/>
                <w:sz w:val="15"/>
                <w:szCs w:val="15"/>
                <w:u w:val="none"/>
                <w:lang w:val="en-US" w:eastAsia="zh-CN"/>
              </w:rPr>
            </w:pPr>
            <w:r>
              <w:rPr>
                <w:rFonts w:ascii="微软雅黑" w:hAnsi="微软雅黑" w:eastAsia="微软雅黑" w:cs="微软雅黑"/>
                <w:sz w:val="15"/>
                <w:szCs w:val="15"/>
              </w:rPr>
              <w:drawing>
                <wp:inline distT="0" distB="0" distL="114300" distR="114300">
                  <wp:extent cx="880745" cy="379730"/>
                  <wp:effectExtent l="0" t="0" r="14605" b="1270"/>
                  <wp:docPr id="2" name="图片 1" descr="Bos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Bosera.png"/>
                          <pic:cNvPicPr>
                            <a:picLocks noChangeAspect="1"/>
                          </pic:cNvPicPr>
                        </pic:nvPicPr>
                        <pic:blipFill>
                          <a:blip r:embed="rId5" cstate="print"/>
                          <a:stretch>
                            <a:fillRect/>
                          </a:stretch>
                        </pic:blipFill>
                        <pic:spPr>
                          <a:xfrm>
                            <a:off x="0" y="0"/>
                            <a:ext cx="880745" cy="379730"/>
                          </a:xfrm>
                          <a:prstGeom prst="rect">
                            <a:avLst/>
                          </a:prstGeom>
                        </pic:spPr>
                      </pic:pic>
                    </a:graphicData>
                  </a:graphic>
                </wp:inline>
              </w:drawing>
            </w:r>
          </w:p>
        </w:tc>
      </w:tr>
      <w:bookmarkEnd w:id="0"/>
      <w:bookmarkEnd w:id="1"/>
      <w:bookmarkEnd w:id="2"/>
      <w:tr w14:paraId="2F8D4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BE43C70">
            <w:pPr>
              <w:jc w:val="both"/>
              <w:rPr>
                <w:rFonts w:hint="eastAsia" w:ascii="微软雅黑" w:hAnsi="微软雅黑" w:eastAsia="微软雅黑" w:cs="微软雅黑"/>
                <w:b/>
                <w:bCs/>
                <w:i w:val="0"/>
                <w:iCs w:val="0"/>
                <w:color w:val="000000"/>
                <w:sz w:val="18"/>
                <w:szCs w:val="18"/>
                <w:u w:val="none"/>
                <w:lang w:val="en-US" w:eastAsia="zh-CN"/>
              </w:rPr>
            </w:pPr>
            <w:bookmarkStart w:id="3" w:name="报告标题" w:colFirst="1" w:colLast="1"/>
            <w:bookmarkStart w:id="4" w:name="是否重大推荐" w:colFirst="3" w:colLast="3"/>
            <w:r>
              <w:rPr>
                <w:rFonts w:hint="eastAsia" w:ascii="微软雅黑" w:hAnsi="微软雅黑" w:eastAsia="微软雅黑" w:cs="微软雅黑"/>
                <w:b/>
                <w:bCs/>
                <w:i w:val="0"/>
                <w:iCs w:val="0"/>
                <w:color w:val="000000"/>
                <w:sz w:val="18"/>
                <w:szCs w:val="18"/>
                <w:u w:val="none"/>
                <w:lang w:val="en-US" w:eastAsia="zh-CN"/>
              </w:rPr>
              <w:t>报告标题</w:t>
            </w:r>
          </w:p>
        </w:tc>
        <w:tc>
          <w:tcPr>
            <w:tcW w:w="5208" w:type="dxa"/>
            <w:gridSpan w:val="5"/>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73B61E3">
            <w:pPr>
              <w:jc w:val="both"/>
              <w:rPr>
                <w:rFonts w:hint="default" w:ascii="微软雅黑" w:hAnsi="微软雅黑" w:eastAsia="微软雅黑" w:cs="微软雅黑"/>
                <w:b/>
                <w:bCs/>
                <w:i w:val="0"/>
                <w:iCs w:val="0"/>
                <w:color w:val="000000"/>
                <w:sz w:val="18"/>
                <w:szCs w:val="18"/>
                <w:u w:val="none"/>
                <w:lang w:val="en-US" w:eastAsia="zh-TW"/>
              </w:rPr>
            </w:pPr>
            <w:r>
              <w:rPr>
                <w:rFonts w:ascii="微软雅黑" w:hAnsi="微软雅黑" w:eastAsia="微软雅黑" w:cs="微软雅黑"/>
                <w:b/>
                <w:sz w:val="18"/>
              </w:rPr>
              <w:t>Q1修复难抵汇率与税率正常化，2026归母料低于上年，不提供买点</w:t>
            </w: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204327E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是否重大推荐</w:t>
            </w:r>
          </w:p>
        </w:tc>
        <w:sdt>
          <w:sdtPr>
            <w:rPr>
              <w:rFonts w:hint="default" w:ascii="微软雅黑" w:hAnsi="微软雅黑" w:eastAsia="微软雅黑" w:cs="微软雅黑"/>
              <w:i w:val="0"/>
              <w:iCs w:val="0"/>
              <w:color w:val="000000"/>
              <w:sz w:val="15"/>
              <w:szCs w:val="15"/>
              <w:u w:val="none"/>
              <w:lang w:val="en-US" w:eastAsia="zh-TW"/>
            </w:rPr>
            <w:alias w:val="是否重大推荐"/>
            <w:id w:val="274842591"/>
            <w:lock w:val="sdtLocked"/>
            <w:placeholder>
              <w:docPart w:val="{5b90eca8-60e1-46ed-8f03-92f9c27e6e40}"/>
            </w:placeholder>
            <w:dropDownList>
              <w:listItem w:displayText=" " w:value=" "/>
              <w:listItem w:displayText="是" w:value="是"/>
              <w:listItem w:displayText="否" w:value="否"/>
            </w:dropDownList>
          </w:sdtPr>
          <w:sdtEndPr>
            <w:rPr>
              <w:rFonts w:hint="default" w:ascii="微软雅黑" w:hAnsi="微软雅黑" w:eastAsia="微软雅黑" w:cs="微软雅黑"/>
              <w:i w:val="0"/>
              <w:iCs w:val="0"/>
              <w:color w:val="000000"/>
              <w:sz w:val="15"/>
              <w:szCs w:val="15"/>
              <w:u w:val="none"/>
              <w:lang w:val="en-US" w:eastAsia="zh-TW"/>
            </w:rPr>
          </w:sdtEndPr>
          <w:sdtContent>
            <w:tc>
              <w:tcPr>
                <w:tcW w:w="842"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C47E485">
                <w:pPr>
                  <w:keepNext w:val="0"/>
                  <w:keepLines w:val="0"/>
                  <w:widowControl/>
                  <w:suppressLineNumbers w:val="0"/>
                  <w:jc w:val="center"/>
                  <w:textAlignment w:val="center"/>
                  <w:rPr>
                    <w:rFonts w:hint="default" w:ascii="微软雅黑" w:hAnsi="微软雅黑" w:eastAsia="微软雅黑" w:cs="微软雅黑"/>
                    <w:i w:val="0"/>
                    <w:iCs w:val="0"/>
                    <w:color w:val="000000"/>
                    <w:sz w:val="15"/>
                    <w:szCs w:val="15"/>
                    <w:u w:val="none"/>
                    <w:lang w:val="en-US" w:eastAsia="zh-TW"/>
                  </w:rPr>
                </w:pPr>
                <w:r>
                  <w:rPr>
                    <w:rFonts w:hint="default" w:ascii="微软雅黑" w:hAnsi="微软雅黑" w:eastAsia="微软雅黑" w:cs="微软雅黑"/>
                    <w:i w:val="0"/>
                    <w:iCs w:val="0"/>
                    <w:color w:val="000000"/>
                    <w:kern w:val="2"/>
                    <w:sz w:val="15"/>
                    <w:szCs w:val="15"/>
                    <w:u w:val="none"/>
                    <w:lang w:val="en-US" w:eastAsia="zh-TW" w:bidi="ar-SA"/>
                  </w:rPr>
                  <w:t xml:space="preserve"> </w:t>
                </w:r>
              </w:p>
            </w:tc>
          </w:sdtContent>
        </w:sdt>
      </w:tr>
      <w:bookmarkEnd w:id="3"/>
      <w:bookmarkEnd w:id="4"/>
      <w:tr w14:paraId="25987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63BA16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5" w:name="股票代码" w:colFirst="1" w:colLast="1"/>
            <w:bookmarkStart w:id="6" w:name="上次评级" w:colFirst="5" w:colLast="5"/>
            <w:bookmarkStart w:id="7" w:name="预期收益率" w:colFirst="7" w:colLast="7"/>
            <w:bookmarkStart w:id="8" w:name="股票评级" w:colFirst="3" w:colLast="3"/>
            <w:r>
              <w:rPr>
                <w:rFonts w:hint="eastAsia" w:ascii="微软雅黑" w:hAnsi="微软雅黑" w:eastAsia="微软雅黑" w:cs="微软雅黑"/>
                <w:i w:val="0"/>
                <w:iCs w:val="0"/>
                <w:color w:val="000000"/>
                <w:sz w:val="15"/>
                <w:szCs w:val="15"/>
                <w:u w:val="none"/>
                <w:lang w:eastAsia="zh-CN"/>
              </w:rPr>
              <w:t>股票代码</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AC719">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ascii="微软雅黑" w:hAnsi="微软雅黑" w:eastAsia="微软雅黑" w:cs="微软雅黑"/>
                <w:b w:val="0"/>
                <w:sz w:val="18"/>
              </w:rPr>
              <w:t>603600</w:t>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447A0F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股票评级</w:t>
            </w:r>
          </w:p>
        </w:tc>
        <w:sdt>
          <w:sdtPr>
            <w:rPr>
              <w:rFonts w:hint="eastAsia" w:ascii="微软雅黑" w:hAnsi="微软雅黑" w:eastAsia="微软雅黑" w:cs="微软雅黑"/>
              <w:i w:val="0"/>
              <w:iCs w:val="0"/>
              <w:color w:val="000000"/>
              <w:sz w:val="15"/>
              <w:szCs w:val="15"/>
              <w:u w:val="none"/>
              <w:lang w:val="en-US" w:eastAsia="zh-CN"/>
            </w:rPr>
            <w:alias w:val="股票评级"/>
            <w:id w:val="147454962"/>
            <w:lock w:val="sdtLocked"/>
            <w:placeholder>
              <w:docPart w:val="{c29291ec-e9dc-4608-a903-d1366562d724}"/>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71311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kern w:val="2"/>
                    <w:sz w:val="15"/>
                    <w:szCs w:val="15"/>
                    <w:u w:val="none"/>
                    <w:lang w:val="en-US" w:eastAsia="zh-CN" w:bidi="ar-SA"/>
                  </w:rPr>
                  <w:t>强烈买入-1</w:t>
                </w:r>
              </w:p>
            </w:tc>
          </w:sdtContent>
        </w:sdt>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9411E4">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sz w:val="15"/>
                <w:szCs w:val="15"/>
                <w:u w:val="none"/>
                <w:lang w:val="en-US" w:eastAsia="zh-TW"/>
              </w:rPr>
              <w:t>上次评级</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上次评级"/>
              <w:id w:val="144595064"/>
              <w:lock w:val="sdtLocked"/>
              <w:placeholder>
                <w:docPart w:val="{02a91e4c-c88b-425f-b53c-17349660d8d2}"/>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p w14:paraId="2B5AAA2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kern w:val="2"/>
                    <w:sz w:val="15"/>
                    <w:szCs w:val="15"/>
                    <w:u w:val="none"/>
                    <w:lang w:val="en-US" w:eastAsia="zh-CN" w:bidi="ar-SA"/>
                  </w:rPr>
                  <w:t>强烈买入-1</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70021422">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eastAsia="zh-CN"/>
              </w:rPr>
              <w:t>预期收益率</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39095">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5"/>
      <w:bookmarkEnd w:id="6"/>
      <w:bookmarkEnd w:id="7"/>
      <w:bookmarkEnd w:id="8"/>
      <w:tr w14:paraId="6CF94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CEAA696">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9" w:name="当前市值" w:colFirst="3" w:colLast="3"/>
            <w:bookmarkStart w:id="10" w:name="年初以来涨跌幅" w:colFirst="7" w:colLast="7"/>
            <w:bookmarkStart w:id="11" w:name="目标价" w:colFirst="5" w:colLast="5"/>
            <w:bookmarkStart w:id="12" w:name="当前股价" w:colFirst="1" w:colLast="1"/>
            <w:r>
              <w:rPr>
                <w:rFonts w:hint="eastAsia" w:ascii="微软雅黑" w:hAnsi="微软雅黑" w:eastAsia="微软雅黑" w:cs="微软雅黑"/>
                <w:i w:val="0"/>
                <w:iCs w:val="0"/>
                <w:color w:val="000000"/>
                <w:sz w:val="15"/>
                <w:szCs w:val="15"/>
                <w:u w:val="none"/>
                <w:lang w:val="en-US" w:eastAsia="zh-CN"/>
              </w:rPr>
              <w:t>当前股价</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D0C7E">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bookmarkStart w:id="22" w:name="_GoBack"/>
            <w:bookmarkEnd w:id="22"/>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0799090">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当前市值</w:t>
            </w:r>
            <w:r>
              <w:rPr>
                <w:rFonts w:hint="eastAsia" w:ascii="微软雅黑" w:hAnsi="微软雅黑" w:eastAsia="微软雅黑" w:cs="微软雅黑"/>
                <w:i w:val="0"/>
                <w:iCs w:val="0"/>
                <w:color w:val="000000"/>
                <w:sz w:val="15"/>
                <w:szCs w:val="15"/>
                <w:u w:val="none"/>
                <w:lang w:val="en-US" w:eastAsia="zh-TW"/>
              </w:rPr>
              <w:t>(亿元)</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589C1">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p>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98AA44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目标价</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D13B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19292B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sz w:val="15"/>
                <w:szCs w:val="15"/>
                <w:u w:val="none"/>
                <w:lang w:val="en-US" w:eastAsia="zh-CN"/>
              </w:rPr>
              <w:t>年初以来涨跌幅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83F38">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9"/>
      <w:bookmarkEnd w:id="10"/>
      <w:bookmarkEnd w:id="11"/>
      <w:bookmarkEnd w:id="12"/>
      <w:tr w14:paraId="6F48F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3B12474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13" w:name="研究员" w:colFirst="1" w:colLast="1"/>
            <w:bookmarkStart w:id="14" w:name="相对行业涨跌幅" w:colFirst="7" w:colLast="7"/>
            <w:bookmarkStart w:id="15" w:name="报告类型" w:colFirst="3" w:colLast="3"/>
            <w:bookmarkStart w:id="16" w:name="报告日期" w:colFirst="5" w:colLast="5"/>
            <w:r>
              <w:rPr>
                <w:rFonts w:hint="eastAsia" w:ascii="微软雅黑" w:hAnsi="微软雅黑" w:eastAsia="微软雅黑" w:cs="微软雅黑"/>
                <w:i w:val="0"/>
                <w:iCs w:val="0"/>
                <w:color w:val="000000"/>
                <w:sz w:val="15"/>
                <w:szCs w:val="15"/>
                <w:u w:val="none"/>
                <w:lang w:eastAsia="zh-TW"/>
              </w:rPr>
              <w:t>研究员</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D72EB">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ascii="微软雅黑" w:hAnsi="微软雅黑" w:eastAsia="微软雅黑" w:cs="微软雅黑"/>
                <w:sz w:val="15"/>
              </w:rPr>
              <w:t>单朔</w:t>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5B12C44">
            <w:pPr>
              <w:keepNext w:val="0"/>
              <w:keepLines w:val="0"/>
              <w:widowControl/>
              <w:suppressLineNumbers w:val="0"/>
              <w:jc w:val="left"/>
              <w:textAlignment w:val="center"/>
              <w:rPr>
                <w:rFonts w:hint="eastAsia" w:ascii="微软雅黑" w:hAnsi="微软雅黑" w:eastAsia="微软雅黑" w:cs="微软雅黑"/>
                <w:i w:val="0"/>
                <w:iCs w:val="0"/>
                <w:color w:val="000000"/>
                <w:kern w:val="2"/>
                <w:sz w:val="15"/>
                <w:szCs w:val="15"/>
                <w:u w:val="none"/>
                <w:lang w:val="en-US" w:eastAsia="zh-CN" w:bidi="ar-SA"/>
              </w:rPr>
            </w:pPr>
            <w:r>
              <w:rPr>
                <w:rFonts w:hint="eastAsia" w:ascii="微软雅黑" w:hAnsi="微软雅黑" w:eastAsia="微软雅黑" w:cs="微软雅黑"/>
                <w:i w:val="0"/>
                <w:iCs w:val="0"/>
                <w:color w:val="000000"/>
                <w:sz w:val="15"/>
                <w:szCs w:val="15"/>
                <w:u w:val="none"/>
                <w:lang w:eastAsia="zh-CN"/>
              </w:rPr>
              <w:t>报告类型</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报告类型"/>
              <w:id w:val="147455465"/>
              <w:lock w:val="sdtLocked"/>
              <w:placeholder>
                <w:docPart w:val="{54f684b5-99ba-4458-9b63-c98da7f6cfa6}"/>
              </w:placeholder>
              <w:dropDownList>
                <w:listItem w:displayText="普通模板" w:value="普通模板"/>
                <w:listItem w:displayText="银行模板" w:value="银行模板"/>
                <w:listItem w:displayText="券商模板" w:value="券商模板"/>
                <w:listItem w:displayText="保险模板" w:value="保险模板"/>
              </w:dropDownList>
            </w:sdtPr>
            <w:sdtEndPr>
              <w:rPr>
                <w:rFonts w:hint="eastAsia" w:ascii="微软雅黑" w:hAnsi="微软雅黑" w:eastAsia="微软雅黑" w:cs="微软雅黑"/>
                <w:i w:val="0"/>
                <w:iCs w:val="0"/>
                <w:color w:val="000000"/>
                <w:sz w:val="15"/>
                <w:szCs w:val="15"/>
                <w:u w:val="none"/>
                <w:lang w:val="en-US" w:eastAsia="zh-CN"/>
              </w:rPr>
            </w:sdtEndPr>
            <w:sdtContent>
              <w:p w14:paraId="7CFF5C22">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普通模板</w:t>
                </w:r>
              </w:p>
            </w:sdtContent>
          </w:sdt>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6CE8EB5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报告日期</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default" w:ascii="微软雅黑" w:hAnsi="微软雅黑" w:eastAsia="微软雅黑" w:cs="微软雅黑"/>
                <w:i w:val="0"/>
                <w:iCs w:val="0"/>
                <w:color w:val="000000"/>
                <w:kern w:val="2"/>
                <w:sz w:val="15"/>
                <w:szCs w:val="15"/>
                <w:u w:val="none"/>
                <w:lang w:val="en-US" w:eastAsia="zh-TW" w:bidi="ar-SA"/>
              </w:rPr>
              <w:alias w:val="报告日期"/>
              <w:id w:val="147457270"/>
              <w:lock w:val="sdtLocked"/>
              <w:placeholder>
                <w:docPart w:val="{df61b350-aee6-47bd-944d-08e6078126c1}"/>
              </w:placeholder>
              <w:date w:fullDate="2022-01-01T00:00:00Z">
                <w:dateFormat w:val="YYYY-MM-DD"/>
                <w:lid w:val="zh-CN"/>
                <w:storeMappedDataAs w:val="text"/>
                <w:calendar w:val="gregorian"/>
              </w:date>
            </w:sdtPr>
            <w:sdtEndPr>
              <w:rPr>
                <w:rFonts w:hint="default" w:ascii="微软雅黑" w:hAnsi="微软雅黑" w:eastAsia="微软雅黑" w:cs="微软雅黑"/>
                <w:i w:val="0"/>
                <w:iCs w:val="0"/>
                <w:color w:val="000000"/>
                <w:kern w:val="2"/>
                <w:sz w:val="15"/>
                <w:szCs w:val="15"/>
                <w:u w:val="none"/>
                <w:lang w:val="en-US" w:eastAsia="zh-TW" w:bidi="ar-SA"/>
              </w:rPr>
            </w:sdtEndPr>
            <w:sdtContent>
              <w:p w14:paraId="0065AC32">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kern w:val="2"/>
                    <w:sz w:val="15"/>
                    <w:szCs w:val="15"/>
                    <w:u w:val="none"/>
                    <w:lang w:val="en-US" w:eastAsia="zh-CN" w:bidi="ar-SA"/>
                  </w:rPr>
                  <w:t>2026-06-29</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6EB917">
            <w:pPr>
              <w:keepNext w:val="0"/>
              <w:keepLines w:val="0"/>
              <w:widowControl/>
              <w:suppressLineNumbers w:val="0"/>
              <w:jc w:val="left"/>
              <w:textAlignment w:val="center"/>
              <w:rPr>
                <w:rFonts w:hint="eastAsia" w:ascii="微软雅黑" w:hAnsi="微软雅黑" w:eastAsia="PMingLiU" w:cs="微软雅黑"/>
                <w:i w:val="0"/>
                <w:iCs w:val="0"/>
                <w:color w:val="000000"/>
                <w:sz w:val="15"/>
                <w:szCs w:val="15"/>
                <w:u w:val="none"/>
                <w:lang w:eastAsia="zh-TW"/>
              </w:rPr>
            </w:pPr>
            <w:r>
              <w:rPr>
                <w:rFonts w:hint="eastAsia" w:ascii="微软雅黑" w:hAnsi="微软雅黑" w:eastAsia="微软雅黑" w:cs="微软雅黑"/>
                <w:i w:val="0"/>
                <w:iCs w:val="0"/>
                <w:color w:val="000000"/>
                <w:sz w:val="15"/>
                <w:szCs w:val="15"/>
                <w:u w:val="none"/>
                <w:lang w:eastAsia="zh-TW"/>
              </w:rPr>
              <w:t>年初以来相对行业涨跌幅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D0C99">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TW"/>
              </w:rPr>
            </w:pPr>
          </w:p>
        </w:tc>
      </w:tr>
      <w:bookmarkEnd w:id="13"/>
      <w:bookmarkEnd w:id="14"/>
      <w:bookmarkEnd w:id="15"/>
      <w:bookmarkEnd w:id="16"/>
      <w:tr w14:paraId="1C2E4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BA084">
            <w:pPr>
              <w:keepNext w:val="0"/>
              <w:keepLines w:val="0"/>
              <w:widowControl/>
              <w:suppressLineNumbers w:val="0"/>
              <w:jc w:val="left"/>
              <w:textAlignment w:val="center"/>
              <w:rPr>
                <w:rFonts w:hint="default" w:ascii="Arial Unicode MS" w:hAnsi="Arial Unicode MS" w:eastAsia="PMingLiU" w:cs="Arial Unicode MS"/>
                <w:i w:val="0"/>
                <w:iCs w:val="0"/>
                <w:color w:val="FFFFFF"/>
                <w:sz w:val="15"/>
                <w:szCs w:val="15"/>
                <w:u w:val="none"/>
                <w:lang w:val="en-US" w:eastAsia="zh-TW"/>
              </w:rPr>
            </w:pPr>
            <w:r>
              <w:rPr>
                <w:rFonts w:hint="default" w:ascii="微软雅黑" w:hAnsi="微软雅黑" w:eastAsia="微软雅黑" w:cs="微软雅黑"/>
                <w:b/>
                <w:bCs/>
                <w:i w:val="0"/>
                <w:iCs w:val="0"/>
                <w:color w:val="000000"/>
                <w:sz w:val="15"/>
                <w:szCs w:val="15"/>
                <w:u w:val="none"/>
                <w:lang w:val="en-US" w:eastAsia="zh-CN"/>
              </w:rPr>
              <w:t>研究结论</w:t>
            </w:r>
          </w:p>
        </w:tc>
      </w:tr>
      <w:tr w14:paraId="08015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2"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2A13213A">
            <w:pPr>
              <w:keepNext w:val="0"/>
              <w:keepLines w:val="0"/>
              <w:widowControl/>
              <w:suppressLineNumbers w:val="0"/>
              <w:jc w:val="both"/>
              <w:textAlignment w:val="center"/>
              <w:rPr>
                <w:rFonts w:hint="eastAsia" w:ascii="微软雅黑" w:hAnsi="微软雅黑" w:eastAsia="微软雅黑" w:cs="微软雅黑"/>
                <w:i w:val="0"/>
                <w:iCs w:val="0"/>
                <w:color w:val="000000"/>
                <w:sz w:val="15"/>
                <w:szCs w:val="15"/>
                <w:u w:val="none"/>
                <w:lang w:val="en-US" w:eastAsia="zh-CN"/>
              </w:rPr>
            </w:pPr>
            <w:bookmarkStart w:id="17" w:name="研究结论" w:colFirst="0" w:colLast="0"/>
            <w:r>
              <w:rPr>
                <w:rFonts w:ascii="微软雅黑" w:hAnsi="微软雅黑" w:eastAsia="微软雅黑" w:cs="微软雅黑"/>
                <w:b/>
                <w:sz w:val="18"/>
              </w:rPr>
              <w:t>短期：收入止跌回升但修复斜率存疑，利润反弹含渠道补库脉冲不可年化</w:t>
            </w:r>
          </w:p>
          <w:p>
            <w:r>
              <w:rPr>
                <w:rFonts w:ascii="微软雅黑" w:hAnsi="微软雅黑" w:eastAsia="微软雅黑" w:cs="微软雅黑"/>
                <w:b w:val="0"/>
                <w:sz w:val="18"/>
              </w:rPr>
              <w:t xml:space="preserve">1. </w:t>
            </w:r>
            <w:r>
              <w:rPr>
                <w:rFonts w:ascii="微软雅黑" w:hAnsi="微软雅黑" w:eastAsia="微软雅黑" w:cs="微软雅黑"/>
                <w:b/>
                <w:sz w:val="18"/>
              </w:rPr>
              <w:t>外销温和复苏而非强复苏</w:t>
            </w:r>
            <w:r>
              <w:rPr>
                <w:rFonts w:ascii="微软雅黑" w:hAnsi="微软雅黑" w:eastAsia="微软雅黑" w:cs="微软雅黑"/>
                <w:b w:val="0"/>
                <w:sz w:val="18"/>
              </w:rPr>
              <w:t>：2026Q1收入+13%、归母+25%止跌回升，但Q1含渠道补库脉冲与旺季成分，不宜年化；美国家具店零售4月-6.55%较3月-1.12%再度扩大，2025年12月一度探至-12.62%，终端拐点尚未确立。办公椅2026预测+10%，低于一致预期+17.3%约7pp——外销修复斜率存疑，越南301调查未落地、关税环境反复是核心不确定性。</w:t>
            </w:r>
          </w:p>
          <w:p>
            <w:r>
              <w:rPr>
                <w:rFonts w:ascii="微软雅黑" w:hAnsi="微软雅黑" w:eastAsia="微软雅黑" w:cs="微软雅黑"/>
                <w:b w:val="0"/>
                <w:sz w:val="18"/>
              </w:rPr>
              <w:t xml:space="preserve">2. </w:t>
            </w:r>
            <w:r>
              <w:rPr>
                <w:rFonts w:ascii="微软雅黑" w:hAnsi="微软雅黑" w:eastAsia="微软雅黑" w:cs="微软雅黑"/>
                <w:b/>
                <w:sz w:val="18"/>
              </w:rPr>
              <w:t>汇率与原材料持续侵蚀利润</w:t>
            </w:r>
            <w:r>
              <w:rPr>
                <w:rFonts w:ascii="微软雅黑" w:hAnsi="微软雅黑" w:eastAsia="微软雅黑" w:cs="微软雅黑"/>
                <w:b w:val="0"/>
                <w:sz w:val="18"/>
              </w:rPr>
              <w:t>：2025汇兑损失2313万元（上年仅487万元）是利润下滑主因；可比公司恒林Q1汇兑损失近5000万、乐歌Q1归母-98.44%，行业汇率压力未消；PU等原材料已发涨价通知20-30%，下半年传导将压制成本。本轮毛利率押19.8%、逆卖方"回升"共识，其他财务费用18/12/8递减反映汇率趋稳假设，但方向不确定。</w:t>
            </w:r>
          </w:p>
          <w:p>
            <w:r>
              <w:rPr>
                <w:rFonts w:ascii="微软雅黑" w:hAnsi="微软雅黑" w:eastAsia="微软雅黑" w:cs="微软雅黑"/>
                <w:b w:val="0"/>
                <w:sz w:val="18"/>
              </w:rPr>
              <w:t xml:space="preserve">3. </w:t>
            </w:r>
            <w:r>
              <w:rPr>
                <w:rFonts w:ascii="微软雅黑" w:hAnsi="微软雅黑" w:eastAsia="微软雅黑" w:cs="微软雅黑"/>
                <w:b/>
                <w:sz w:val="18"/>
              </w:rPr>
              <w:t>税率正常化是会计拖累非经营恶化</w:t>
            </w:r>
            <w:r>
              <w:rPr>
                <w:rFonts w:ascii="微软雅黑" w:hAnsi="微软雅黑" w:eastAsia="微软雅黑" w:cs="微软雅黑"/>
                <w:b w:val="0"/>
                <w:sz w:val="18"/>
              </w:rPr>
              <w:t>：2025有效税率1.6%（异常低，含一次性/递延成分），2026回到12%正常化→2026归母料2.0亿、低于2025的2.33亿。这是会计效应而非经营恶化，但即便剔除税率扰动，经营杠杆在收入保守增长下仍偏弱。</w:t>
            </w:r>
          </w:p>
          <w:p/>
          <w:p>
            <w:r>
              <w:rPr>
                <w:rFonts w:ascii="微软雅黑" w:hAnsi="微软雅黑" w:eastAsia="微软雅黑" w:cs="微软雅黑"/>
                <w:b/>
                <w:sz w:val="18"/>
              </w:rPr>
              <w:t>中长期：代工主体净利率天花板偏低，自主品牌与海外产能是结构性看点但兑现待验</w:t>
            </w:r>
          </w:p>
          <w:p>
            <w:r>
              <w:rPr>
                <w:rFonts w:ascii="微软雅黑" w:hAnsi="微软雅黑" w:eastAsia="微软雅黑" w:cs="微软雅黑"/>
                <w:b w:val="0"/>
                <w:sz w:val="18"/>
              </w:rPr>
              <w:t xml:space="preserve">1. </w:t>
            </w:r>
            <w:r>
              <w:rPr>
                <w:rFonts w:ascii="微软雅黑" w:hAnsi="微软雅黑" w:eastAsia="微软雅黑" w:cs="微软雅黑"/>
                <w:b/>
                <w:sz w:val="18"/>
              </w:rPr>
              <w:t>代工模式净利率结构性受限</w:t>
            </w:r>
            <w:r>
              <w:rPr>
                <w:rFonts w:ascii="微软雅黑" w:hAnsi="微软雅黑" w:eastAsia="微软雅黑" w:cs="微软雅黑"/>
                <w:b w:val="0"/>
                <w:sz w:val="18"/>
              </w:rPr>
              <w:t>：前五大客户占52.24%（含Costco、Sam's），大客户议价能力强；非自有品牌收入38.82亿毛利率仅16.96%，远低于自主品牌33.89%。2025净利率4.75%，对照匠心家居25.38%，代工为主的生意模式决定净利率天花板偏低，这是中长期最硬的约束。</w:t>
            </w:r>
          </w:p>
          <w:p>
            <w:r>
              <w:rPr>
                <w:rFonts w:ascii="微软雅黑" w:hAnsi="微软雅黑" w:eastAsia="微软雅黑" w:cs="微软雅黑"/>
                <w:b w:val="0"/>
                <w:sz w:val="18"/>
              </w:rPr>
              <w:t xml:space="preserve">2. </w:t>
            </w:r>
            <w:r>
              <w:rPr>
                <w:rFonts w:ascii="微软雅黑" w:hAnsi="微软雅黑" w:eastAsia="微软雅黑" w:cs="微软雅黑"/>
                <w:b/>
                <w:sz w:val="18"/>
              </w:rPr>
              <w:t>自主品牌是利润率改善钥匙但占比尚小</w:t>
            </w:r>
            <w:r>
              <w:rPr>
                <w:rFonts w:ascii="微软雅黑" w:hAnsi="微软雅黑" w:eastAsia="微软雅黑" w:cs="微软雅黑"/>
                <w:b w:val="0"/>
                <w:sz w:val="18"/>
              </w:rPr>
              <w:t>：自主品牌9.74亿（占比约20%）毛利率33.89%，线上+23%毛利率近40%，升降桌+71%毛利率提升逾10pct——结构改善方向清晰。但2025自主品牌收入仅+4.35%增速放缓，销售费用率从2022年3.6%升至2025年7.06%，品牌投入回报尚未充分释放，第二曲线兑现仍待验证。</w:t>
            </w:r>
          </w:p>
          <w:p>
            <w:r>
              <w:rPr>
                <w:rFonts w:ascii="微软雅黑" w:hAnsi="微软雅黑" w:eastAsia="微软雅黑" w:cs="微软雅黑"/>
                <w:b w:val="0"/>
                <w:sz w:val="18"/>
              </w:rPr>
              <w:t xml:space="preserve">3. </w:t>
            </w:r>
            <w:r>
              <w:rPr>
                <w:rFonts w:ascii="微软雅黑" w:hAnsi="微软雅黑" w:eastAsia="微软雅黑" w:cs="微软雅黑"/>
                <w:b/>
                <w:sz w:val="18"/>
              </w:rPr>
              <w:t>海外产能布局领先，越南301是核心风险</w:t>
            </w:r>
            <w:r>
              <w:rPr>
                <w:rFonts w:ascii="微软雅黑" w:hAnsi="微软雅黑" w:eastAsia="微软雅黑" w:cs="微软雅黑"/>
                <w:b w:val="0"/>
                <w:sz w:val="18"/>
              </w:rPr>
              <w:t>：国内+越南（2018投建，三期首批厂房进度42%）+罗马尼亚（2023投产爬坡）三大基地，境外资产占总资产37.89%。越南是对美出货主体，美国2026年6月正式启动对越南Section 301调查，关税规避优势存在逆转风险，外销基本盘的最大不确定性在此。</w:t>
            </w:r>
          </w:p>
          <w:p/>
          <w:p>
            <w:r>
              <w:rPr>
                <w:rFonts w:ascii="微软雅黑" w:hAnsi="微软雅黑" w:eastAsia="微软雅黑" w:cs="微软雅黑"/>
                <w:b/>
                <w:sz w:val="18"/>
              </w:rPr>
              <w:t>投资建议：</w:t>
            </w:r>
          </w:p>
          <w:p>
            <w:r>
              <w:rPr>
                <w:rFonts w:ascii="微软雅黑" w:hAnsi="微软雅黑" w:eastAsia="微软雅黑" w:cs="微软雅黑"/>
                <w:b w:val="0"/>
                <w:sz w:val="18"/>
              </w:rPr>
              <w:t>预计2026年销售收入53.6亿，yoy +10%，归母净利润2.0亿，yoy -13%，对应PE 15倍；2027年销售收入57.8亿，yoy +8%，归母净利润2.1亿，yoy +5%，对应PE 14倍。本轮较一致预期向下修正、2026归母料低于2025，毛利率押下降、汇率与越南301风险未除，当前位置不提供买点，关注意义有限。</w:t>
            </w:r>
          </w:p>
        </w:tc>
      </w:tr>
      <w:bookmarkEnd w:id="17"/>
      <w:tr w14:paraId="3AEDC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E227C">
            <w:pPr>
              <w:keepNext w:val="0"/>
              <w:keepLines w:val="0"/>
              <w:widowControl/>
              <w:suppressLineNumbers w:val="0"/>
              <w:jc w:val="left"/>
              <w:textAlignment w:val="center"/>
              <w:rPr>
                <w:rFonts w:hint="eastAsia" w:ascii="Arial Unicode MS" w:hAnsi="Arial Unicode MS" w:eastAsia="PMingLiU" w:cs="Arial Unicode MS"/>
                <w:i w:val="0"/>
                <w:iCs w:val="0"/>
                <w:color w:val="FFFFFF"/>
                <w:kern w:val="2"/>
                <w:sz w:val="15"/>
                <w:szCs w:val="15"/>
                <w:u w:val="none"/>
                <w:lang w:val="en-US" w:eastAsia="zh-CN" w:bidi="ar-SA"/>
              </w:rPr>
            </w:pPr>
            <w:r>
              <w:rPr>
                <w:rFonts w:hint="eastAsia" w:ascii="微软雅黑" w:hAnsi="微软雅黑" w:eastAsia="微软雅黑" w:cs="微软雅黑"/>
                <w:b/>
                <w:bCs/>
                <w:i w:val="0"/>
                <w:iCs w:val="0"/>
                <w:color w:val="000000"/>
                <w:sz w:val="15"/>
                <w:szCs w:val="15"/>
                <w:u w:val="none"/>
                <w:lang w:val="en-US" w:eastAsia="zh-CN"/>
              </w:rPr>
              <w:t>盈利预测</w:t>
            </w:r>
            <w:r>
              <w:rPr>
                <w:rFonts w:hint="eastAsia" w:ascii="微软雅黑" w:hAnsi="微软雅黑" w:eastAsia="微软雅黑" w:cs="微软雅黑"/>
                <w:b/>
                <w:bCs/>
                <w:i w:val="0"/>
                <w:iCs w:val="0"/>
                <w:color w:val="000000"/>
                <w:sz w:val="15"/>
                <w:szCs w:val="15"/>
                <w:u w:val="none"/>
                <w:lang w:val="en-US" w:eastAsia="zh-TW"/>
              </w:rPr>
              <w:t>(</w:t>
            </w:r>
            <w:r>
              <w:rPr>
                <w:rFonts w:hint="eastAsia" w:ascii="微软雅黑" w:hAnsi="微软雅黑" w:eastAsia="微软雅黑" w:cs="微软雅黑"/>
                <w:b/>
                <w:bCs/>
                <w:i w:val="0"/>
                <w:iCs w:val="0"/>
                <w:color w:val="000000"/>
                <w:sz w:val="15"/>
                <w:szCs w:val="15"/>
                <w:u w:val="none"/>
                <w:lang w:val="en-US" w:eastAsia="zh-CN"/>
              </w:rPr>
              <w:t>年度</w:t>
            </w:r>
            <w:r>
              <w:rPr>
                <w:rFonts w:hint="eastAsia" w:ascii="微软雅黑" w:hAnsi="微软雅黑" w:eastAsia="微软雅黑" w:cs="微软雅黑"/>
                <w:b/>
                <w:bCs/>
                <w:i w:val="0"/>
                <w:iCs w:val="0"/>
                <w:color w:val="000000"/>
                <w:sz w:val="15"/>
                <w:szCs w:val="15"/>
                <w:u w:val="none"/>
                <w:lang w:val="en-US" w:eastAsia="zh-TW"/>
              </w:rPr>
              <w:t>)</w:t>
            </w:r>
          </w:p>
        </w:tc>
      </w:tr>
      <w:tr w14:paraId="2708A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tbl>
            <w:tblPr>
              <w:tblStyle w:val="6"/>
              <w:tblW w:w="8094" w:type="dxa"/>
              <w:tblInd w:w="5" w:type="dxa"/>
              <w:tblBorders>
                <w:top w:val="none" w:color="auto" w:sz="4" w:space="0"/>
                <w:left w:val="none" w:color="auto" w:sz="4" w:space="0"/>
                <w:bottom w:val="none" w:color="auto" w:sz="4" w:space="0"/>
                <w:right w:val="none" w:color="auto" w:sz="4" w:space="0"/>
                <w:insideH w:val="single" w:color="auto" w:sz="4" w:space="0"/>
                <w:insideV w:val="dotted" w:color="C0C0C0" w:sz="4" w:space="0"/>
              </w:tblBorders>
              <w:tblLayout w:type="fixed"/>
              <w:tblCellMar>
                <w:left w:w="108" w:type="dxa"/>
                <w:right w:w="108" w:type="dxa"/>
              </w:tblCellMar>
            </w:tblPr>
            <w:tblGrid>
              <w:gridCol w:w="1644"/>
              <w:gridCol w:w="1075"/>
              <w:gridCol w:w="1075"/>
              <w:gridCol w:w="1075"/>
              <w:gridCol w:w="1075"/>
              <w:gridCol w:w="1075"/>
              <w:gridCol w:w="1075"/>
            </w:tblGrid>
            <w:tr w14:paraId="759E18FE">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280CA40A">
                  <w:pPr>
                    <w:jc w:val="both"/>
                    <w:rPr>
                      <w:rFonts w:hint="eastAsia" w:ascii="微软雅黑" w:hAnsi="微软雅黑" w:eastAsia="微软雅黑" w:cs="微软雅黑"/>
                      <w:b/>
                      <w:i w:val="0"/>
                      <w:iCs w:val="0"/>
                      <w:color w:val="000000"/>
                      <w:sz w:val="15"/>
                      <w:szCs w:val="15"/>
                      <w:u w:val="none"/>
                      <w:vertAlign w:val="baseline"/>
                      <w:lang w:eastAsia="zh-CN"/>
                    </w:rPr>
                  </w:pPr>
                  <w:bookmarkStart w:id="18" w:name="财务"/>
                  <w:bookmarkStart w:id="19" w:name="盈利预测" w:colFirst="0" w:colLast="0"/>
                  <w:r>
                    <w:rPr>
                      <w:rFonts w:hint="eastAsia" w:ascii="微软雅黑" w:hAnsi="微软雅黑" w:eastAsia="微软雅黑" w:cs="微软雅黑"/>
                      <w:b/>
                      <w:i w:val="0"/>
                      <w:iCs w:val="0"/>
                      <w:color w:val="000000"/>
                      <w:sz w:val="15"/>
                      <w:szCs w:val="15"/>
                      <w:u w:val="none"/>
                      <w:vertAlign w:val="baseline"/>
                      <w:lang w:eastAsia="zh-CN"/>
                    </w:rPr>
                    <w:t>财务指标</w:t>
                  </w:r>
                </w:p>
              </w:tc>
              <w:tc>
                <w:tcPr>
                  <w:tcW w:w="1075" w:type="dxa"/>
                </w:tcPr>
                <w:p w14:paraId="79DCD15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2023</w:t>
                  </w:r>
                </w:p>
              </w:tc>
              <w:tc>
                <w:tcPr>
                  <w:tcW w:w="1075" w:type="dxa"/>
                </w:tcPr>
                <w:p w14:paraId="478981C9">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2024</w:t>
                  </w:r>
                </w:p>
              </w:tc>
              <w:tc>
                <w:tcPr>
                  <w:tcW w:w="1075" w:type="dxa"/>
                </w:tcPr>
                <w:p w14:paraId="0AD24977">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2025</w:t>
                  </w:r>
                </w:p>
              </w:tc>
              <w:tc>
                <w:tcPr>
                  <w:tcW w:w="1075" w:type="dxa"/>
                </w:tcPr>
                <w:p w14:paraId="199B0BB6">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2026E</w:t>
                  </w:r>
                </w:p>
              </w:tc>
              <w:tc>
                <w:tcPr>
                  <w:tcW w:w="1075" w:type="dxa"/>
                </w:tcPr>
                <w:p w14:paraId="60147B9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2027E</w:t>
                  </w:r>
                </w:p>
              </w:tc>
              <w:tc>
                <w:tcPr>
                  <w:tcW w:w="1075" w:type="dxa"/>
                </w:tcPr>
                <w:p w14:paraId="6211DCBA">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2028E</w:t>
                  </w:r>
                </w:p>
              </w:tc>
            </w:tr>
            <w:tr w14:paraId="706C7977">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FA8E9F1">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营业收入(百万)</w:t>
                  </w:r>
                </w:p>
              </w:tc>
              <w:tc>
                <w:tcPr>
                  <w:tcW w:w="1075" w:type="dxa"/>
                </w:tcPr>
                <w:p w14:paraId="6C4F184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3,538</w:t>
                  </w:r>
                </w:p>
              </w:tc>
              <w:tc>
                <w:tcPr>
                  <w:tcW w:w="1075" w:type="dxa"/>
                </w:tcPr>
                <w:p w14:paraId="2118B22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4,749</w:t>
                  </w:r>
                </w:p>
              </w:tc>
              <w:tc>
                <w:tcPr>
                  <w:tcW w:w="1075" w:type="dxa"/>
                </w:tcPr>
                <w:p w14:paraId="43FE060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4,882</w:t>
                  </w:r>
                </w:p>
              </w:tc>
              <w:tc>
                <w:tcPr>
                  <w:tcW w:w="1075" w:type="dxa"/>
                </w:tcPr>
                <w:p w14:paraId="53887A4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5,355</w:t>
                  </w:r>
                </w:p>
              </w:tc>
              <w:tc>
                <w:tcPr>
                  <w:tcW w:w="1075" w:type="dxa"/>
                </w:tcPr>
                <w:p w14:paraId="23808BB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5,782</w:t>
                  </w:r>
                </w:p>
              </w:tc>
              <w:tc>
                <w:tcPr>
                  <w:tcW w:w="1075" w:type="dxa"/>
                </w:tcPr>
                <w:p w14:paraId="53F8549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6,184</w:t>
                  </w:r>
                </w:p>
              </w:tc>
            </w:tr>
            <w:tr w14:paraId="4CAA850B">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F500D25">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营收YOY %</w:t>
                  </w:r>
                </w:p>
              </w:tc>
              <w:tc>
                <w:tcPr>
                  <w:tcW w:w="1075" w:type="dxa"/>
                </w:tcPr>
                <w:p w14:paraId="619EF75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-12.7%</w:t>
                  </w:r>
                </w:p>
              </w:tc>
              <w:tc>
                <w:tcPr>
                  <w:tcW w:w="1075" w:type="dxa"/>
                </w:tcPr>
                <w:p w14:paraId="368A519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34.2%</w:t>
                  </w:r>
                </w:p>
              </w:tc>
              <w:tc>
                <w:tcPr>
                  <w:tcW w:w="1075" w:type="dxa"/>
                </w:tcPr>
                <w:p w14:paraId="0CEAF0FC">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2.8%</w:t>
                  </w:r>
                </w:p>
              </w:tc>
              <w:tc>
                <w:tcPr>
                  <w:tcW w:w="1075" w:type="dxa"/>
                </w:tcPr>
                <w:p w14:paraId="2CEA0B0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9.7%</w:t>
                  </w:r>
                </w:p>
              </w:tc>
              <w:tc>
                <w:tcPr>
                  <w:tcW w:w="1075" w:type="dxa"/>
                </w:tcPr>
                <w:p w14:paraId="6A346A5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8.0%</w:t>
                  </w:r>
                </w:p>
              </w:tc>
              <w:tc>
                <w:tcPr>
                  <w:tcW w:w="1075" w:type="dxa"/>
                </w:tcPr>
                <w:p w14:paraId="5F8F383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6.9%</w:t>
                  </w:r>
                </w:p>
              </w:tc>
            </w:tr>
            <w:tr w14:paraId="4F90956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2E681DA2">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毛利率</w:t>
                  </w:r>
                </w:p>
              </w:tc>
              <w:tc>
                <w:tcPr>
                  <w:tcW w:w="1075" w:type="dxa"/>
                </w:tcPr>
                <w:p w14:paraId="002DBFFD">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22.9%</w:t>
                  </w:r>
                </w:p>
              </w:tc>
              <w:tc>
                <w:tcPr>
                  <w:tcW w:w="1075" w:type="dxa"/>
                </w:tcPr>
                <w:p w14:paraId="0651207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21.6%</w:t>
                  </w:r>
                </w:p>
              </w:tc>
              <w:tc>
                <w:tcPr>
                  <w:tcW w:w="1075" w:type="dxa"/>
                </w:tcPr>
                <w:p w14:paraId="26A2715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20.4%</w:t>
                  </w:r>
                </w:p>
              </w:tc>
              <w:tc>
                <w:tcPr>
                  <w:tcW w:w="1075" w:type="dxa"/>
                </w:tcPr>
                <w:p w14:paraId="1091F4B5">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19.8%</w:t>
                  </w:r>
                </w:p>
              </w:tc>
              <w:tc>
                <w:tcPr>
                  <w:tcW w:w="1075" w:type="dxa"/>
                </w:tcPr>
                <w:p w14:paraId="536B17B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19.5%</w:t>
                  </w:r>
                </w:p>
              </w:tc>
              <w:tc>
                <w:tcPr>
                  <w:tcW w:w="1075" w:type="dxa"/>
                </w:tcPr>
                <w:p w14:paraId="23F52C2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19.5%</w:t>
                  </w:r>
                </w:p>
              </w:tc>
            </w:tr>
            <w:tr w14:paraId="6A9FD9D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07FD1DE">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归母净利润(百万)</w:t>
                  </w:r>
                </w:p>
              </w:tc>
              <w:tc>
                <w:tcPr>
                  <w:tcW w:w="1075" w:type="dxa"/>
                </w:tcPr>
                <w:p w14:paraId="7E829C6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298</w:t>
                  </w:r>
                </w:p>
              </w:tc>
              <w:tc>
                <w:tcPr>
                  <w:tcW w:w="1075" w:type="dxa"/>
                </w:tcPr>
                <w:p w14:paraId="23276A7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296</w:t>
                  </w:r>
                </w:p>
              </w:tc>
              <w:tc>
                <w:tcPr>
                  <w:tcW w:w="1075" w:type="dxa"/>
                </w:tcPr>
                <w:p w14:paraId="7B3754F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233</w:t>
                  </w:r>
                </w:p>
              </w:tc>
              <w:tc>
                <w:tcPr>
                  <w:tcW w:w="1075" w:type="dxa"/>
                </w:tcPr>
                <w:p w14:paraId="6528763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202</w:t>
                  </w:r>
                </w:p>
              </w:tc>
              <w:tc>
                <w:tcPr>
                  <w:tcW w:w="1075" w:type="dxa"/>
                </w:tcPr>
                <w:p w14:paraId="2367A39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212</w:t>
                  </w:r>
                </w:p>
              </w:tc>
              <w:tc>
                <w:tcPr>
                  <w:tcW w:w="1075" w:type="dxa"/>
                </w:tcPr>
                <w:p w14:paraId="77A835CE">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230</w:t>
                  </w:r>
                </w:p>
              </w:tc>
            </w:tr>
            <w:tr w14:paraId="519FA45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EE31D2D">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归母净利润YOY %</w:t>
                  </w:r>
                </w:p>
              </w:tc>
              <w:tc>
                <w:tcPr>
                  <w:tcW w:w="1075" w:type="dxa"/>
                </w:tcPr>
                <w:p w14:paraId="2CA73F4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-11.1%</w:t>
                  </w:r>
                </w:p>
              </w:tc>
              <w:tc>
                <w:tcPr>
                  <w:tcW w:w="1075" w:type="dxa"/>
                </w:tcPr>
                <w:p w14:paraId="45FD6DF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-0.6%</w:t>
                  </w:r>
                </w:p>
              </w:tc>
              <w:tc>
                <w:tcPr>
                  <w:tcW w:w="1075" w:type="dxa"/>
                </w:tcPr>
                <w:p w14:paraId="0AE09D4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-21.4%</w:t>
                  </w:r>
                </w:p>
              </w:tc>
              <w:tc>
                <w:tcPr>
                  <w:tcW w:w="1075" w:type="dxa"/>
                </w:tcPr>
                <w:p w14:paraId="34DEB96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-13.1%</w:t>
                  </w:r>
                </w:p>
              </w:tc>
              <w:tc>
                <w:tcPr>
                  <w:tcW w:w="1075" w:type="dxa"/>
                </w:tcPr>
                <w:p w14:paraId="5298556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5.0%</w:t>
                  </w:r>
                </w:p>
              </w:tc>
              <w:tc>
                <w:tcPr>
                  <w:tcW w:w="1075" w:type="dxa"/>
                </w:tcPr>
                <w:p w14:paraId="6849370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8.3%</w:t>
                  </w:r>
                </w:p>
              </w:tc>
            </w:tr>
            <w:tr w14:paraId="5373C6B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D0BE0E7">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ROE %</w:t>
                  </w:r>
                </w:p>
              </w:tc>
              <w:tc>
                <w:tcPr>
                  <w:tcW w:w="1075" w:type="dxa"/>
                </w:tcPr>
                <w:p w14:paraId="1F004B1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15.2%</w:t>
                  </w:r>
                </w:p>
              </w:tc>
              <w:tc>
                <w:tcPr>
                  <w:tcW w:w="1075" w:type="dxa"/>
                </w:tcPr>
                <w:p w14:paraId="16D1BEF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13.5%</w:t>
                  </w:r>
                </w:p>
              </w:tc>
              <w:tc>
                <w:tcPr>
                  <w:tcW w:w="1075" w:type="dxa"/>
                </w:tcPr>
                <w:p w14:paraId="21AD633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10.3%</w:t>
                  </w:r>
                </w:p>
              </w:tc>
              <w:tc>
                <w:tcPr>
                  <w:tcW w:w="1075" w:type="dxa"/>
                </w:tcPr>
                <w:p w14:paraId="35B4ED6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8.6%</w:t>
                  </w:r>
                </w:p>
              </w:tc>
              <w:tc>
                <w:tcPr>
                  <w:tcW w:w="1075" w:type="dxa"/>
                </w:tcPr>
                <w:p w14:paraId="1F4337E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8.7%</w:t>
                  </w:r>
                </w:p>
              </w:tc>
              <w:tc>
                <w:tcPr>
                  <w:tcW w:w="1075" w:type="dxa"/>
                </w:tcPr>
                <w:p w14:paraId="690C1F2D">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9.1%</w:t>
                  </w:r>
                </w:p>
              </w:tc>
            </w:tr>
            <w:tr w14:paraId="21BCBD2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B86503">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EPS</w:t>
                  </w:r>
                </w:p>
              </w:tc>
              <w:tc>
                <w:tcPr>
                  <w:tcW w:w="1075" w:type="dxa"/>
                </w:tcPr>
                <w:p w14:paraId="1D2A543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0.89</w:t>
                  </w:r>
                </w:p>
              </w:tc>
              <w:tc>
                <w:tcPr>
                  <w:tcW w:w="1075" w:type="dxa"/>
                </w:tcPr>
                <w:p w14:paraId="1C19DDB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0.89</w:t>
                  </w:r>
                </w:p>
              </w:tc>
              <w:tc>
                <w:tcPr>
                  <w:tcW w:w="1075" w:type="dxa"/>
                </w:tcPr>
                <w:p w14:paraId="074FDCB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0.70</w:t>
                  </w:r>
                </w:p>
              </w:tc>
              <w:tc>
                <w:tcPr>
                  <w:tcW w:w="1075" w:type="dxa"/>
                </w:tcPr>
                <w:p w14:paraId="384914B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0.61</w:t>
                  </w:r>
                </w:p>
              </w:tc>
              <w:tc>
                <w:tcPr>
                  <w:tcW w:w="1075" w:type="dxa"/>
                </w:tcPr>
                <w:p w14:paraId="5A77393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0.64</w:t>
                  </w:r>
                </w:p>
              </w:tc>
              <w:tc>
                <w:tcPr>
                  <w:tcW w:w="1075" w:type="dxa"/>
                </w:tcPr>
                <w:p w14:paraId="05903B9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0.70</w:t>
                  </w:r>
                </w:p>
              </w:tc>
            </w:tr>
            <w:tr w14:paraId="4E3379A6">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6B2F0F">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PE</w:t>
                  </w:r>
                </w:p>
              </w:tc>
              <w:tc>
                <w:tcPr>
                  <w:tcW w:w="1075" w:type="dxa"/>
                </w:tcPr>
                <w:p w14:paraId="518F0A7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10.2</w:t>
                  </w:r>
                </w:p>
              </w:tc>
              <w:tc>
                <w:tcPr>
                  <w:tcW w:w="1075" w:type="dxa"/>
                </w:tcPr>
                <w:p w14:paraId="343E222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10.2</w:t>
                  </w:r>
                </w:p>
              </w:tc>
              <w:tc>
                <w:tcPr>
                  <w:tcW w:w="1075" w:type="dxa"/>
                </w:tcPr>
                <w:p w14:paraId="22091E9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13.0</w:t>
                  </w:r>
                </w:p>
              </w:tc>
              <w:tc>
                <w:tcPr>
                  <w:tcW w:w="1075" w:type="dxa"/>
                </w:tcPr>
                <w:p w14:paraId="1E29A9F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15.0</w:t>
                  </w:r>
                </w:p>
              </w:tc>
              <w:tc>
                <w:tcPr>
                  <w:tcW w:w="1075" w:type="dxa"/>
                </w:tcPr>
                <w:p w14:paraId="74E56FD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14.3</w:t>
                  </w:r>
                </w:p>
              </w:tc>
              <w:tc>
                <w:tcPr>
                  <w:tcW w:w="1075" w:type="dxa"/>
                </w:tcPr>
                <w:p w14:paraId="743050DC">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13.2</w:t>
                  </w:r>
                </w:p>
              </w:tc>
            </w:tr>
            <w:tr w14:paraId="5767CEE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26A1C2A">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PB</w:t>
                  </w:r>
                </w:p>
              </w:tc>
              <w:tc>
                <w:tcPr>
                  <w:tcW w:w="1075" w:type="dxa"/>
                </w:tcPr>
                <w:p w14:paraId="0395B9A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w:t>
                  </w:r>
                </w:p>
              </w:tc>
              <w:tc>
                <w:tcPr>
                  <w:tcW w:w="1075" w:type="dxa"/>
                </w:tcPr>
                <w:p w14:paraId="74FDE061">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w:t>
                  </w:r>
                </w:p>
              </w:tc>
              <w:tc>
                <w:tcPr>
                  <w:tcW w:w="1075" w:type="dxa"/>
                </w:tcPr>
                <w:p w14:paraId="6C31586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1.3</w:t>
                  </w:r>
                </w:p>
              </w:tc>
              <w:tc>
                <w:tcPr>
                  <w:tcW w:w="1075" w:type="dxa"/>
                </w:tcPr>
                <w:p w14:paraId="7883F56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1.3</w:t>
                  </w:r>
                </w:p>
              </w:tc>
              <w:tc>
                <w:tcPr>
                  <w:tcW w:w="1075" w:type="dxa"/>
                </w:tcPr>
                <w:p w14:paraId="202A9FA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1.2</w:t>
                  </w:r>
                </w:p>
              </w:tc>
              <w:tc>
                <w:tcPr>
                  <w:tcW w:w="1075" w:type="dxa"/>
                </w:tcPr>
                <w:p w14:paraId="2299A311">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1.2</w:t>
                  </w:r>
                </w:p>
              </w:tc>
            </w:tr>
            <w:tr w14:paraId="7F46868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035DAB08">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EV/EBITDA</w:t>
                  </w:r>
                </w:p>
              </w:tc>
              <w:tc>
                <w:tcPr>
                  <w:tcW w:w="1075" w:type="dxa"/>
                </w:tcPr>
                <w:p w14:paraId="7BDA50C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6.6</w:t>
                  </w:r>
                </w:p>
              </w:tc>
              <w:tc>
                <w:tcPr>
                  <w:tcW w:w="1075" w:type="dxa"/>
                </w:tcPr>
                <w:p w14:paraId="51144E40">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6.8</w:t>
                  </w:r>
                </w:p>
              </w:tc>
              <w:tc>
                <w:tcPr>
                  <w:tcW w:w="1075" w:type="dxa"/>
                </w:tcPr>
                <w:p w14:paraId="35A829A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7.7</w:t>
                  </w:r>
                </w:p>
              </w:tc>
              <w:tc>
                <w:tcPr>
                  <w:tcW w:w="1075" w:type="dxa"/>
                </w:tcPr>
                <w:p w14:paraId="7A957BD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8.6</w:t>
                  </w:r>
                </w:p>
              </w:tc>
              <w:tc>
                <w:tcPr>
                  <w:tcW w:w="1075" w:type="dxa"/>
                </w:tcPr>
                <w:p w14:paraId="2CC9BD9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8.3</w:t>
                  </w:r>
                </w:p>
              </w:tc>
              <w:tc>
                <w:tcPr>
                  <w:tcW w:w="1075" w:type="dxa"/>
                </w:tcPr>
                <w:p w14:paraId="1BC4AD20">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7.9</w:t>
                  </w:r>
                </w:p>
              </w:tc>
            </w:tr>
            <w:bookmarkEnd w:id="18"/>
          </w:tbl>
          <w:p w14:paraId="5B8D3CD5">
            <w:pPr>
              <w:jc w:val="both"/>
              <w:rPr>
                <w:rFonts w:hint="eastAsia" w:ascii="微软雅黑" w:hAnsi="微软雅黑" w:eastAsia="微软雅黑" w:cs="微软雅黑"/>
                <w:i w:val="0"/>
                <w:iCs w:val="0"/>
                <w:color w:val="000000"/>
                <w:sz w:val="15"/>
                <w:szCs w:val="15"/>
                <w:u w:val="none"/>
                <w:lang w:eastAsia="zh-TW"/>
              </w:rPr>
            </w:pPr>
          </w:p>
        </w:tc>
      </w:tr>
      <w:bookmarkEnd w:id="19"/>
      <w:tr w14:paraId="5D59B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A67C46">
            <w:pPr>
              <w:keepNext w:val="0"/>
              <w:keepLines w:val="0"/>
              <w:widowControl/>
              <w:suppressLineNumbers w:val="0"/>
              <w:jc w:val="left"/>
              <w:textAlignment w:val="center"/>
              <w:rPr>
                <w:rFonts w:hint="eastAsia" w:ascii="Arial Unicode MS" w:hAnsi="Arial Unicode MS" w:eastAsia="PMingLiU" w:cs="Arial Unicode MS"/>
                <w:b/>
                <w:bCs/>
                <w:i w:val="0"/>
                <w:iCs w:val="0"/>
                <w:color w:val="000000"/>
                <w:sz w:val="15"/>
                <w:szCs w:val="15"/>
                <w:u w:val="none"/>
                <w:lang w:eastAsia="zh-TW"/>
              </w:rPr>
            </w:pPr>
            <w:r>
              <w:rPr>
                <w:rFonts w:hint="eastAsia" w:ascii="微软雅黑" w:hAnsi="微软雅黑" w:eastAsia="微软雅黑" w:cs="微软雅黑"/>
                <w:b/>
                <w:bCs/>
                <w:i w:val="0"/>
                <w:iCs w:val="0"/>
                <w:color w:val="000000"/>
                <w:sz w:val="15"/>
                <w:szCs w:val="15"/>
                <w:u w:val="none"/>
                <w:lang w:val="en-US" w:eastAsia="zh-CN"/>
              </w:rPr>
              <w:t>投资</w:t>
            </w:r>
            <w:r>
              <w:rPr>
                <w:rFonts w:hint="eastAsia" w:ascii="微软雅黑" w:hAnsi="微软雅黑" w:eastAsia="微软雅黑" w:cs="微软雅黑"/>
                <w:b/>
                <w:bCs/>
                <w:i w:val="0"/>
                <w:iCs w:val="0"/>
                <w:color w:val="000000"/>
                <w:sz w:val="15"/>
                <w:szCs w:val="15"/>
                <w:u w:val="none"/>
                <w:lang w:val="en-US" w:eastAsia="zh-TW"/>
              </w:rPr>
              <w:t>要点</w:t>
            </w:r>
          </w:p>
        </w:tc>
      </w:tr>
      <w:tr w14:paraId="09B1B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5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7C7C5F89">
            <w:pPr>
              <w:jc w:val="both"/>
              <w:rPr>
                <w:rFonts w:hint="eastAsia" w:ascii="微软雅黑" w:hAnsi="微软雅黑" w:eastAsia="微软雅黑" w:cs="微软雅黑"/>
                <w:i w:val="0"/>
                <w:iCs w:val="0"/>
                <w:color w:val="000000"/>
                <w:sz w:val="15"/>
                <w:szCs w:val="15"/>
                <w:u w:val="none"/>
              </w:rPr>
            </w:pPr>
            <w:bookmarkStart w:id="20" w:name="投资逻辑" w:colFirst="0" w:colLast="0"/>
            <w:r>
              <w:rPr>
                <w:rFonts w:ascii="微软雅黑" w:hAnsi="微软雅黑" w:eastAsia="微软雅黑" w:cs="微软雅黑"/>
              </w:rPr>
              <w:t>见附件</w:t>
            </w:r>
          </w:p>
        </w:tc>
      </w:tr>
      <w:bookmarkEnd w:id="20"/>
      <w:tr w14:paraId="68703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14979A">
            <w:pPr>
              <w:keepNext w:val="0"/>
              <w:keepLines w:val="0"/>
              <w:widowControl/>
              <w:suppressLineNumbers w:val="0"/>
              <w:jc w:val="left"/>
              <w:textAlignment w:val="center"/>
              <w:rPr>
                <w:rFonts w:hint="eastAsia" w:ascii="Arial Unicode MS" w:hAnsi="Arial Unicode MS" w:eastAsia="Arial Unicode MS" w:cs="Arial Unicode MS"/>
                <w:b/>
                <w:bCs/>
                <w:i w:val="0"/>
                <w:iCs w:val="0"/>
                <w:color w:val="000000"/>
                <w:sz w:val="15"/>
                <w:szCs w:val="15"/>
                <w:u w:val="none"/>
              </w:rPr>
            </w:pPr>
            <w:r>
              <w:rPr>
                <w:rFonts w:hint="eastAsia" w:ascii="微软雅黑" w:hAnsi="微软雅黑" w:eastAsia="微软雅黑" w:cs="微软雅黑"/>
                <w:b/>
                <w:bCs/>
                <w:i w:val="0"/>
                <w:iCs w:val="0"/>
                <w:color w:val="000000"/>
                <w:sz w:val="15"/>
                <w:szCs w:val="15"/>
                <w:u w:val="none"/>
                <w:lang w:val="en-US" w:eastAsia="zh-CN"/>
              </w:rPr>
              <w:t>正文部分</w:t>
            </w:r>
          </w:p>
        </w:tc>
      </w:tr>
      <w:tr w14:paraId="47179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7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363EE3ED">
            <w:pPr>
              <w:jc w:val="both"/>
              <w:rPr>
                <w:rFonts w:hint="eastAsia" w:ascii="微软雅黑" w:hAnsi="微软雅黑" w:eastAsia="微软雅黑" w:cs="微软雅黑"/>
                <w:i w:val="0"/>
                <w:iCs w:val="0"/>
                <w:color w:val="000000"/>
                <w:sz w:val="15"/>
                <w:szCs w:val="15"/>
                <w:u w:val="none"/>
              </w:rPr>
            </w:pPr>
            <w:bookmarkStart w:id="21" w:name="正文" w:colFirst="0" w:colLast="0"/>
            <w:r>
              <w:rPr>
                <w:rFonts w:ascii="微软雅黑" w:hAnsi="微软雅黑" w:eastAsia="微软雅黑" w:cs="微软雅黑"/>
              </w:rPr>
              <w:t>见附件</w:t>
            </w:r>
          </w:p>
        </w:tc>
      </w:tr>
      <w:bookmarkEnd w:id="21"/>
    </w:tbl>
    <w:p w14:paraId="39F5FEF2">
      <w:pPr>
        <w:rPr>
          <w:rFonts w:hint="eastAsia" w:ascii="微软雅黑" w:hAnsi="微软雅黑" w:eastAsia="微软雅黑" w:cs="微软雅黑"/>
          <w:color w:val="808080" w:themeColor="background1" w:themeShade="80"/>
          <w:sz w:val="20"/>
          <w:szCs w:val="20"/>
        </w:rPr>
        <w:sectPr>
          <w:headerReference r:id="rId3" w:type="default"/>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pPr>
    </w:p>
    <w:p w14:paraId="3ABDC0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lang w:eastAsia="zh-CN"/>
        </w:rPr>
      </w:pPr>
      <w:r>
        <w:rPr>
          <w:rFonts w:hint="eastAsia" w:ascii="微软雅黑" w:hAnsi="微软雅黑" w:eastAsia="微软雅黑" w:cs="微软雅黑"/>
          <w:i w:val="0"/>
          <w:iCs w:val="0"/>
          <w:caps w:val="0"/>
          <w:color w:val="4B4A48"/>
          <w:spacing w:val="0"/>
          <w:sz w:val="24"/>
          <w:szCs w:val="24"/>
          <w:shd w:val="clear" w:fill="FFFFFF"/>
        </w:rPr>
        <w:t>报告评级对应的预期收益率</w:t>
      </w:r>
      <w:r>
        <w:rPr>
          <w:rFonts w:hint="eastAsia" w:ascii="微软雅黑" w:hAnsi="微软雅黑" w:eastAsia="微软雅黑" w:cs="微软雅黑"/>
          <w:i w:val="0"/>
          <w:iCs w:val="0"/>
          <w:caps w:val="0"/>
          <w:color w:val="4B4A48"/>
          <w:spacing w:val="0"/>
          <w:sz w:val="24"/>
          <w:szCs w:val="24"/>
          <w:shd w:val="clear" w:fill="FFFFFF"/>
          <w:lang w:eastAsia="zh-CN"/>
        </w:rPr>
        <w:t>（</w:t>
      </w:r>
      <w:r>
        <w:rPr>
          <w:rFonts w:hint="eastAsia" w:ascii="微软雅黑" w:hAnsi="微软雅黑" w:eastAsia="微软雅黑" w:cs="微软雅黑"/>
          <w:i w:val="0"/>
          <w:iCs w:val="0"/>
          <w:caps w:val="0"/>
          <w:color w:val="4B4A48"/>
          <w:spacing w:val="0"/>
          <w:sz w:val="24"/>
          <w:szCs w:val="24"/>
          <w:shd w:val="clear" w:fill="FFFFFF"/>
          <w:lang w:val="en-US" w:eastAsia="zh-CN"/>
        </w:rPr>
        <w:t>9个月</w:t>
      </w:r>
      <w:r>
        <w:rPr>
          <w:rFonts w:hint="eastAsia" w:ascii="微软雅黑" w:hAnsi="微软雅黑" w:eastAsia="微软雅黑" w:cs="微软雅黑"/>
          <w:i w:val="0"/>
          <w:iCs w:val="0"/>
          <w:caps w:val="0"/>
          <w:color w:val="4B4A48"/>
          <w:spacing w:val="0"/>
          <w:sz w:val="24"/>
          <w:szCs w:val="24"/>
          <w:shd w:val="clear" w:fill="FFFFFF"/>
          <w:lang w:eastAsia="zh-CN"/>
        </w:rPr>
        <w:t>）：</w:t>
      </w:r>
    </w:p>
    <w:p w14:paraId="2CD1354D">
      <w:pPr>
        <w:rPr>
          <w:rFonts w:hint="eastAsia" w:ascii="微软雅黑" w:hAnsi="微软雅黑" w:eastAsia="微软雅黑" w:cs="微软雅黑"/>
          <w:color w:val="44546A" w:themeColor="text2"/>
          <w:sz w:val="18"/>
          <w:szCs w:val="18"/>
          <w:lang w:val="en-US" w:eastAsia="zh-CN"/>
          <w14:textFill>
            <w14:solidFill>
              <w14:schemeClr w14:val="tx2"/>
            </w14:solidFill>
          </w14:textFill>
        </w:rPr>
      </w:pPr>
      <w:r>
        <w:rPr>
          <w:rFonts w:hint="eastAsia" w:ascii="微软雅黑" w:hAnsi="微软雅黑" w:eastAsia="微软雅黑" w:cs="微软雅黑"/>
          <w:color w:val="808080" w:themeColor="background1" w:themeShade="80"/>
          <w:sz w:val="18"/>
          <w:szCs w:val="18"/>
          <w:lang w:val="en-US" w:eastAsia="zh-CN"/>
        </w:rPr>
        <w:t>请根据股票评级给出</w:t>
      </w:r>
      <w:r>
        <w:rPr>
          <w:rFonts w:hint="eastAsia" w:ascii="微软雅黑" w:hAnsi="微软雅黑" w:eastAsia="微软雅黑" w:cs="微软雅黑"/>
          <w:color w:val="808080" w:themeColor="background1" w:themeShade="80"/>
          <w:sz w:val="18"/>
          <w:szCs w:val="18"/>
          <w:lang w:eastAsia="zh-CN"/>
        </w:rPr>
        <w:t>预期收益率，</w:t>
      </w:r>
      <w:r>
        <w:rPr>
          <w:rFonts w:hint="eastAsia" w:ascii="微软雅黑" w:hAnsi="微软雅黑" w:eastAsia="微软雅黑" w:cs="微软雅黑"/>
          <w:color w:val="808080" w:themeColor="background1" w:themeShade="80"/>
          <w:sz w:val="18"/>
          <w:szCs w:val="18"/>
          <w:lang w:val="en-US" w:eastAsia="zh-CN"/>
        </w:rPr>
        <w:t>给出的预期收益率不可低于评级范围的下限</w:t>
      </w:r>
    </w:p>
    <w:p w14:paraId="62A4B030">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强烈买入（50%以上）</w:t>
      </w:r>
    </w:p>
    <w:p w14:paraId="780EEA6A">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买入（10%</w:t>
      </w:r>
      <w:r>
        <w:rPr>
          <w:rFonts w:hint="eastAsia" w:ascii="微软雅黑" w:hAnsi="微软雅黑" w:eastAsia="微软雅黑" w:cs="微软雅黑"/>
          <w:color w:val="808080" w:themeColor="background1" w:themeShade="80"/>
          <w:sz w:val="18"/>
          <w:szCs w:val="18"/>
          <w:lang w:val="en-US" w:eastAsia="zh-CN"/>
        </w:rPr>
        <w:t>~50%</w:t>
      </w:r>
      <w:r>
        <w:rPr>
          <w:rFonts w:hint="eastAsia" w:ascii="微软雅黑" w:hAnsi="微软雅黑" w:eastAsia="微软雅黑" w:cs="微软雅黑"/>
          <w:color w:val="808080" w:themeColor="background1" w:themeShade="80"/>
          <w:sz w:val="18"/>
          <w:szCs w:val="18"/>
        </w:rPr>
        <w:t>）</w:t>
      </w:r>
    </w:p>
    <w:p w14:paraId="32F00FDF">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持有（</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p>
    <w:p w14:paraId="4B4BDB7B">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卖出（-</w:t>
      </w:r>
      <w:r>
        <w:rPr>
          <w:rFonts w:hint="eastAsia" w:ascii="微软雅黑" w:hAnsi="微软雅黑" w:eastAsia="微软雅黑" w:cs="微软雅黑"/>
          <w:color w:val="808080" w:themeColor="background1" w:themeShade="80"/>
          <w:sz w:val="18"/>
          <w:szCs w:val="18"/>
          <w:lang w:val="en-US" w:eastAsia="zh-CN"/>
        </w:rPr>
        <w:t>5</w:t>
      </w:r>
      <w:r>
        <w:rPr>
          <w:rFonts w:hint="eastAsia" w:ascii="微软雅黑" w:hAnsi="微软雅黑" w:eastAsia="微软雅黑" w:cs="微软雅黑"/>
          <w:color w:val="808080" w:themeColor="background1" w:themeShade="80"/>
          <w:sz w:val="18"/>
          <w:szCs w:val="18"/>
        </w:rPr>
        <w:t>0%</w:t>
      </w:r>
      <w:r>
        <w:rPr>
          <w:rFonts w:hint="eastAsia" w:ascii="微软雅黑" w:hAnsi="微软雅黑" w:eastAsia="微软雅黑" w:cs="微软雅黑"/>
          <w:color w:val="808080" w:themeColor="background1" w:themeShade="80"/>
          <w:sz w:val="18"/>
          <w:szCs w:val="18"/>
          <w:lang w:val="en-US" w:eastAsia="zh-CN"/>
        </w:rPr>
        <w:t>~-10%</w:t>
      </w:r>
      <w:r>
        <w:rPr>
          <w:rFonts w:hint="eastAsia" w:ascii="微软雅黑" w:hAnsi="微软雅黑" w:eastAsia="微软雅黑" w:cs="微软雅黑"/>
          <w:color w:val="808080" w:themeColor="background1" w:themeShade="80"/>
          <w:sz w:val="18"/>
          <w:szCs w:val="18"/>
        </w:rPr>
        <w:t>）</w:t>
      </w:r>
    </w:p>
    <w:p w14:paraId="49366263">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lang w:eastAsia="zh-CN"/>
        </w:rPr>
      </w:pPr>
      <w:r>
        <w:rPr>
          <w:rFonts w:hint="eastAsia" w:ascii="微软雅黑" w:hAnsi="微软雅黑" w:eastAsia="微软雅黑" w:cs="微软雅黑"/>
          <w:color w:val="808080" w:themeColor="background1" w:themeShade="80"/>
          <w:sz w:val="18"/>
          <w:szCs w:val="18"/>
        </w:rPr>
        <w:t>强烈卖出</w:t>
      </w:r>
      <w:r>
        <w:rPr>
          <w:rFonts w:hint="eastAsia" w:ascii="微软雅黑" w:hAnsi="微软雅黑" w:eastAsia="微软雅黑" w:cs="微软雅黑"/>
          <w:color w:val="808080" w:themeColor="background1" w:themeShade="80"/>
          <w:sz w:val="18"/>
          <w:szCs w:val="18"/>
          <w:lang w:eastAsia="zh-CN"/>
        </w:rPr>
        <w:t>（</w:t>
      </w:r>
      <w:r>
        <w:rPr>
          <w:rFonts w:hint="eastAsia" w:ascii="微软雅黑" w:hAnsi="微软雅黑" w:eastAsia="微软雅黑" w:cs="微软雅黑"/>
          <w:color w:val="808080" w:themeColor="background1" w:themeShade="80"/>
          <w:sz w:val="18"/>
          <w:szCs w:val="18"/>
          <w:lang w:val="en-US" w:eastAsia="zh-CN"/>
        </w:rPr>
        <w:t>-50%以下</w:t>
      </w:r>
      <w:r>
        <w:rPr>
          <w:rFonts w:hint="eastAsia" w:ascii="微软雅黑" w:hAnsi="微软雅黑" w:eastAsia="微软雅黑" w:cs="微软雅黑"/>
          <w:color w:val="808080" w:themeColor="background1" w:themeShade="80"/>
          <w:sz w:val="18"/>
          <w:szCs w:val="18"/>
          <w:lang w:eastAsia="zh-CN"/>
        </w:rPr>
        <w:t>）</w:t>
      </w:r>
    </w:p>
    <w:p w14:paraId="7F42D26F">
      <w:pPr>
        <w:rPr>
          <w:rFonts w:hint="eastAsia" w:ascii="微软雅黑" w:hAnsi="微软雅黑" w:eastAsia="微软雅黑" w:cs="微软雅黑"/>
          <w:color w:val="808080" w:themeColor="background1" w:themeShade="80"/>
          <w:sz w:val="20"/>
          <w:szCs w:val="20"/>
        </w:rPr>
      </w:pPr>
    </w:p>
    <w:p w14:paraId="23B552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rPr>
      </w:pPr>
      <w:r>
        <w:rPr>
          <w:rFonts w:hint="eastAsia" w:ascii="微软雅黑" w:hAnsi="微软雅黑" w:eastAsia="微软雅黑" w:cs="微软雅黑"/>
          <w:i w:val="0"/>
          <w:iCs w:val="0"/>
          <w:caps w:val="0"/>
          <w:color w:val="4B4A48"/>
          <w:spacing w:val="0"/>
          <w:sz w:val="24"/>
          <w:szCs w:val="24"/>
          <w:shd w:val="clear" w:fill="FFFFFF"/>
        </w:rPr>
        <w:t>重要声明</w:t>
      </w:r>
    </w:p>
    <w:p w14:paraId="206E1BFF">
      <w:pPr>
        <w:ind w:firstLine="360" w:firstLineChars="20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本报告由博时基金管理有限公司（博时基金）编制。本报告中的信息来源于公开资料，公司对该等信息的准确性和完整性不作任何保证。报告中的信息、观点等仅供参考，在任何情况下不构成对任何人的投资建议，亦不构成我司的实际投资结果。取得本报告的机构或人员应对本报告中的信息和观点进行独立评估，自主审慎做出决策并自行承担风险。博时基金及/或其关联人员均不承担任何责任。本报告版权均归博时基金管理有限公司所有，且该报告为公司商业秘密，未经授权，任何机构或个人不得以任何形式复制、转发或公开传播本报告的全部或部分内容。</w:t>
      </w:r>
    </w:p>
    <w:p w14:paraId="367E1ACC">
      <w:pPr>
        <w:rPr>
          <w:rFonts w:ascii="微软雅黑" w:hAnsi="微软雅黑" w:eastAsia="微软雅黑" w:cs="微软雅黑"/>
          <w:b/>
          <w:bCs/>
          <w:i w:val="0"/>
          <w:iCs w:val="0"/>
          <w:caps w:val="0"/>
          <w:color w:val="606266"/>
          <w:spacing w:val="0"/>
          <w:sz w:val="21"/>
          <w:szCs w:val="21"/>
          <w:shd w:val="clear" w:fill="FFFFFF"/>
        </w:rPr>
      </w:pPr>
      <w:r>
        <w:rPr>
          <w:rFonts w:ascii="微软雅黑" w:hAnsi="微软雅黑" w:eastAsia="微软雅黑" w:cs="微软雅黑"/>
          <w:b/>
          <w:bCs/>
          <w:i w:val="0"/>
          <w:iCs w:val="0"/>
          <w:caps w:val="0"/>
          <w:color w:val="606266"/>
          <w:spacing w:val="0"/>
          <w:sz w:val="21"/>
          <w:szCs w:val="21"/>
          <w:shd w:val="clear" w:fill="FFFFFF"/>
        </w:rPr>
        <w:t>Disclaimer</w:t>
      </w:r>
    </w:p>
    <w:p w14:paraId="1E5BA716">
      <w:pPr>
        <w:ind w:firstLine="360" w:firstLineChars="200"/>
        <w:rPr>
          <w:rFonts w:hint="eastAsia" w:ascii="微软雅黑" w:hAnsi="微软雅黑" w:eastAsia="微软雅黑" w:cs="微软雅黑"/>
          <w:color w:val="808080" w:themeColor="background1" w:themeShade="80"/>
          <w:sz w:val="20"/>
          <w:szCs w:val="20"/>
        </w:rPr>
      </w:pPr>
      <w:r>
        <w:rPr>
          <w:rFonts w:hint="eastAsia" w:ascii="微软雅黑" w:hAnsi="微软雅黑" w:eastAsia="微软雅黑" w:cs="微软雅黑"/>
          <w:b w:val="0"/>
          <w:bCs w:val="0"/>
          <w:i w:val="0"/>
          <w:iCs w:val="0"/>
          <w:caps w:val="0"/>
          <w:color w:val="606266"/>
          <w:spacing w:val="0"/>
          <w:sz w:val="18"/>
          <w:szCs w:val="18"/>
          <w:shd w:val="clear" w:fill="FFFFFF"/>
        </w:rPr>
        <w:t>This report has been produced by Bosera Asset Management Co., Limited (“Bosera”). This report is based on information available to the public that we consider reliable, but Bosera do not represent that it is accurate or complete. The information and opinions contained herein are for reference only and are not an offer to buy or sell any securities/financial products or to participate in any particular trading strategy. Under no circumstances shall the information contained herein or the opinions expressed herein constitute a personal recommendation to anyone. Institution or person who obtained this report should make their own independent evaluation of the information contained in this report. Neither Bosera nor its related persons shall be liable in any manner whatsoever for any consequences of any reliance thereon or usage thereof. This report is distributed by Bosera Asset Management Co., Limited (“Bosera”). Any organization or individual may not copy, forward or publicly distribute all or part of this report in any form without authorisation.</w:t>
      </w:r>
    </w:p>
    <w:p w14:paraId="2C5BA1FB">
      <w:pPr>
        <w:ind w:firstLine="400" w:firstLineChars="200"/>
        <w:rPr>
          <w:rFonts w:hint="eastAsia" w:ascii="微软雅黑" w:hAnsi="微软雅黑" w:eastAsia="微软雅黑" w:cs="微软雅黑"/>
          <w:color w:val="808080" w:themeColor="background1" w:themeShade="80"/>
          <w:sz w:val="20"/>
          <w:szCs w:val="20"/>
        </w:rPr>
      </w:pPr>
    </w:p>
    <w:p w14:paraId="22AC6C72">
      <w:pPr>
        <w:ind w:firstLine="400" w:firstLineChars="200"/>
        <w:rPr>
          <w:rFonts w:hint="eastAsia" w:ascii="微软雅黑" w:hAnsi="微软雅黑" w:eastAsia="微软雅黑" w:cs="微软雅黑"/>
          <w:color w:val="808080" w:themeColor="background1" w:themeShade="80"/>
          <w:sz w:val="20"/>
          <w:szCs w:val="20"/>
        </w:rPr>
      </w:pPr>
    </w:p>
    <w:p w14:paraId="375EBBD0">
      <w:pPr>
        <w:ind w:firstLine="400" w:firstLineChars="200"/>
        <w:rPr>
          <w:rFonts w:hint="eastAsia" w:ascii="微软雅黑" w:hAnsi="微软雅黑" w:eastAsia="微软雅黑" w:cs="微软雅黑"/>
          <w:color w:val="808080" w:themeColor="background1" w:themeShade="80"/>
          <w:sz w:val="20"/>
          <w:szCs w:val="20"/>
        </w:rPr>
      </w:pPr>
    </w:p>
    <w:p w14:paraId="1EBC4ABF">
      <w:pPr>
        <w:ind w:firstLine="400" w:firstLineChars="200"/>
        <w:rPr>
          <w:rFonts w:hint="eastAsia" w:ascii="微软雅黑" w:hAnsi="微软雅黑" w:eastAsia="微软雅黑" w:cs="微软雅黑"/>
          <w:color w:val="808080" w:themeColor="background1" w:themeShade="80"/>
          <w:sz w:val="20"/>
          <w:szCs w:val="20"/>
        </w:rPr>
      </w:pPr>
    </w:p>
    <w:p w14:paraId="50E5BFF2">
      <w:pPr>
        <w:ind w:firstLine="400" w:firstLineChars="200"/>
        <w:rPr>
          <w:rFonts w:hint="eastAsia" w:ascii="微软雅黑" w:hAnsi="微软雅黑" w:eastAsia="微软雅黑" w:cs="微软雅黑"/>
          <w:color w:val="808080" w:themeColor="background1" w:themeShade="80"/>
          <w:sz w:val="20"/>
          <w:szCs w:val="20"/>
        </w:rPr>
      </w:pPr>
    </w:p>
    <w:p w14:paraId="40951D94">
      <w:pPr>
        <w:ind w:firstLine="400" w:firstLineChars="200"/>
        <w:rPr>
          <w:rFonts w:hint="eastAsia" w:ascii="微软雅黑" w:hAnsi="微软雅黑" w:eastAsia="微软雅黑" w:cs="微软雅黑"/>
          <w:color w:val="808080" w:themeColor="background1" w:themeShade="80"/>
          <w:sz w:val="20"/>
          <w:szCs w:val="20"/>
        </w:rPr>
      </w:pPr>
    </w:p>
    <w:p w14:paraId="0B406201">
      <w:pPr>
        <w:ind w:firstLine="400" w:firstLineChars="200"/>
        <w:rPr>
          <w:rFonts w:hint="eastAsia" w:ascii="微软雅黑" w:hAnsi="微软雅黑" w:eastAsia="微软雅黑" w:cs="微软雅黑"/>
          <w:color w:val="808080" w:themeColor="background1" w:themeShade="80"/>
          <w:sz w:val="20"/>
          <w:szCs w:val="20"/>
        </w:rPr>
      </w:pPr>
    </w:p>
    <w:p w14:paraId="199A5A08">
      <w:pPr>
        <w:ind w:firstLine="400" w:firstLineChars="200"/>
        <w:rPr>
          <w:rFonts w:hint="eastAsia" w:ascii="微软雅黑" w:hAnsi="微软雅黑" w:eastAsia="微软雅黑" w:cs="微软雅黑"/>
          <w:color w:val="808080" w:themeColor="background1" w:themeShade="80"/>
          <w:sz w:val="20"/>
          <w:szCs w:val="20"/>
        </w:rPr>
      </w:pPr>
    </w:p>
    <w:p w14:paraId="3EAE6CFA">
      <w:pPr>
        <w:ind w:firstLine="400" w:firstLineChars="200"/>
        <w:rPr>
          <w:rFonts w:hint="eastAsia" w:ascii="微软雅黑" w:hAnsi="微软雅黑" w:eastAsia="微软雅黑" w:cs="微软雅黑"/>
          <w:color w:val="808080" w:themeColor="background1" w:themeShade="80"/>
          <w:sz w:val="20"/>
          <w:szCs w:val="20"/>
        </w:rPr>
      </w:pPr>
    </w:p>
    <w:p w14:paraId="76C97CA3"/>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auto"/>
    <w:pitch w:val="default"/>
    <w:sig w:usb0="00000000" w:usb1="00000000" w:usb2="0000003F" w:usb3="00000000" w:csb0="603F01FF" w:csb1="FFFF0000"/>
  </w:font>
  <w:font w:name="微软雅黑">
    <w:panose1 w:val="020B0503020204020204"/>
    <w:charset w:val="86"/>
    <w:family w:val="auto"/>
    <w:pitch w:val="default"/>
    <w:sig w:usb0="80000287" w:usb1="2ACF3C50" w:usb2="00000016" w:usb3="00000000" w:csb0="0004001F" w:csb1="00000000"/>
  </w:font>
  <w:font w:name="PMingLiU">
    <w:altName w:val="PMingLiU-ExtB"/>
    <w:panose1 w:val="02020500000000000000"/>
    <w:charset w:val="88"/>
    <w:family w:val="auto"/>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BBA48">
    <w:pPr>
      <w:pStyle w:val="4"/>
      <w:rPr>
        <w:rFonts w:hint="eastAsia" w:ascii="黑体" w:hAnsi="黑体" w:eastAsia="黑体"/>
        <w:color w:val="FF0000"/>
        <w:sz w:val="15"/>
        <w:szCs w:val="15"/>
      </w:rPr>
    </w:pPr>
  </w:p>
  <w:p w14:paraId="43F25F8B">
    <w:pPr>
      <w:pStyle w:val="4"/>
    </w:pPr>
    <w:r>
      <w:rPr>
        <w:rFonts w:hint="default" w:ascii="黑体" w:hAnsi="黑体" w:eastAsia="黑体"/>
        <w:color w:val="FF0000"/>
        <w:sz w:val="13"/>
        <w:szCs w:val="13"/>
        <w:lang w:val="en-US" w:eastAsia="zh-CN"/>
      </w:rPr>
      <w:t>博时基金内部</w:t>
    </w:r>
  </w:p>
  <w:p w14:paraId="667149A4">
    <w:pPr>
      <w:pStyle w:val="4"/>
    </w:pPr>
    <w:r>
      <w:rPr>
        <w:rFonts w:hint="eastAsia" w:ascii="黑体" w:hAnsi="黑体" w:eastAsia="黑体"/>
        <w:color w:val="FF0000"/>
        <w:sz w:val="13"/>
        <w:szCs w:val="13"/>
        <w:lang w:eastAsia="zh-CN"/>
      </w:rPr>
      <w:t>内部资料，严禁以任何形式外发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D3BAC5"/>
    <w:multiLevelType w:val="singleLevel"/>
    <w:tmpl w:val="4AD3BAC5"/>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9E6DCC"/>
    <w:rsid w:val="042B546D"/>
    <w:rsid w:val="0C630610"/>
    <w:rsid w:val="10054457"/>
    <w:rsid w:val="11D91E11"/>
    <w:rsid w:val="15CB025E"/>
    <w:rsid w:val="16E4330B"/>
    <w:rsid w:val="17AB7891"/>
    <w:rsid w:val="1849118F"/>
    <w:rsid w:val="185A3823"/>
    <w:rsid w:val="19F608D3"/>
    <w:rsid w:val="1A2E74A7"/>
    <w:rsid w:val="1A980DEB"/>
    <w:rsid w:val="1AA06D71"/>
    <w:rsid w:val="1B9A7D02"/>
    <w:rsid w:val="1DAC29C4"/>
    <w:rsid w:val="1E1D08CD"/>
    <w:rsid w:val="1F2917BE"/>
    <w:rsid w:val="1F900288"/>
    <w:rsid w:val="20E4496A"/>
    <w:rsid w:val="22644917"/>
    <w:rsid w:val="229E3895"/>
    <w:rsid w:val="240D37EF"/>
    <w:rsid w:val="25257879"/>
    <w:rsid w:val="267D2CF3"/>
    <w:rsid w:val="2B841891"/>
    <w:rsid w:val="2EAF61D1"/>
    <w:rsid w:val="2EB246E5"/>
    <w:rsid w:val="312B436A"/>
    <w:rsid w:val="3256265D"/>
    <w:rsid w:val="33146A1F"/>
    <w:rsid w:val="35933BA3"/>
    <w:rsid w:val="3BE12CF0"/>
    <w:rsid w:val="3EBB6D81"/>
    <w:rsid w:val="3FFE708C"/>
    <w:rsid w:val="4403255B"/>
    <w:rsid w:val="440A0DFD"/>
    <w:rsid w:val="481028EF"/>
    <w:rsid w:val="48444E3E"/>
    <w:rsid w:val="4C07329C"/>
    <w:rsid w:val="4DCE0537"/>
    <w:rsid w:val="4F0A49F1"/>
    <w:rsid w:val="517107F5"/>
    <w:rsid w:val="542E5ED7"/>
    <w:rsid w:val="544B1D99"/>
    <w:rsid w:val="561828FD"/>
    <w:rsid w:val="5ACF37ED"/>
    <w:rsid w:val="5CB0049F"/>
    <w:rsid w:val="5DE26666"/>
    <w:rsid w:val="5F28ADE4"/>
    <w:rsid w:val="600A0FE7"/>
    <w:rsid w:val="609472C8"/>
    <w:rsid w:val="60EE2C3D"/>
    <w:rsid w:val="62A9767F"/>
    <w:rsid w:val="65915055"/>
    <w:rsid w:val="6AF55AB3"/>
    <w:rsid w:val="6B874DA8"/>
    <w:rsid w:val="6D2300B2"/>
    <w:rsid w:val="6DD57BDE"/>
    <w:rsid w:val="6DFFC0FE"/>
    <w:rsid w:val="6E090BD8"/>
    <w:rsid w:val="6FF63393"/>
    <w:rsid w:val="702D2468"/>
    <w:rsid w:val="73D4378B"/>
    <w:rsid w:val="755810B1"/>
    <w:rsid w:val="75722D85"/>
    <w:rsid w:val="75D24577"/>
    <w:rsid w:val="761E54F1"/>
    <w:rsid w:val="762F6FCD"/>
    <w:rsid w:val="77BFB76E"/>
    <w:rsid w:val="7990566B"/>
    <w:rsid w:val="7AE01111"/>
    <w:rsid w:val="7B514346"/>
    <w:rsid w:val="7D143A7A"/>
    <w:rsid w:val="7D596445"/>
    <w:rsid w:val="7D6E3139"/>
    <w:rsid w:val="BC5F93B1"/>
    <w:rsid w:val="DFDDCE82"/>
    <w:rsid w:val="EBBDCB6F"/>
    <w:rsid w:val="F99F24B2"/>
    <w:rsid w:val="FBBF0D8D"/>
    <w:rsid w:val="FC65A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样式1"/>
    <w:basedOn w:val="1"/>
    <w:link w:val="9"/>
    <w:qFormat/>
    <w:uiPriority w:val="0"/>
    <w:rPr>
      <w:rFonts w:eastAsia="Arial Unicode MS" w:asciiTheme="minorAscii" w:hAnsiTheme="minorAscii"/>
      <w:sz w:val="15"/>
    </w:rPr>
  </w:style>
  <w:style w:type="character" w:customStyle="1" w:styleId="9">
    <w:name w:val="样式1 Char"/>
    <w:link w:val="8"/>
    <w:qFormat/>
    <w:uiPriority w:val="0"/>
    <w:rPr>
      <w:rFonts w:eastAsia="Arial Unicode MS" w:asciiTheme="minorAscii" w:hAnsiTheme="minorAscii"/>
      <w:sz w:val="15"/>
    </w:rPr>
  </w:style>
  <w:style w:type="paragraph" w:customStyle="1" w:styleId="10">
    <w:name w:val="样式2"/>
    <w:basedOn w:val="1"/>
    <w:link w:val="11"/>
    <w:qFormat/>
    <w:uiPriority w:val="0"/>
    <w:rPr>
      <w:rFonts w:eastAsia="Arial Unicode MS" w:asciiTheme="minorAscii" w:hAnsiTheme="minorAscii"/>
      <w:sz w:val="15"/>
    </w:rPr>
  </w:style>
  <w:style w:type="character" w:customStyle="1" w:styleId="11">
    <w:name w:val="样式2 Char"/>
    <w:link w:val="10"/>
    <w:qFormat/>
    <w:uiPriority w:val="0"/>
    <w:rPr>
      <w:rFonts w:eastAsia="Arial Unicode MS" w:asciiTheme="minorAscii" w:hAnsiTheme="minorAscii"/>
      <w:sz w:val="15"/>
    </w:rPr>
  </w:style>
  <w:style w:type="paragraph" w:customStyle="1" w:styleId="12">
    <w:name w:val="样式3"/>
    <w:basedOn w:val="1"/>
    <w:link w:val="13"/>
    <w:qFormat/>
    <w:uiPriority w:val="0"/>
    <w:rPr>
      <w:rFonts w:eastAsia="Arial Unicode MS" w:asciiTheme="minorAscii" w:hAnsiTheme="minorAscii"/>
      <w:sz w:val="15"/>
    </w:rPr>
  </w:style>
  <w:style w:type="character" w:customStyle="1" w:styleId="13">
    <w:name w:val="样式3 Char"/>
    <w:link w:val="12"/>
    <w:qFormat/>
    <w:uiPriority w:val="0"/>
    <w:rPr>
      <w:rFonts w:eastAsia="Arial Unicode MS" w:asciiTheme="minorAscii" w:hAnsiTheme="minorAscii"/>
      <w:sz w:val="15"/>
    </w:rPr>
  </w:style>
  <w:style w:type="paragraph" w:customStyle="1" w:styleId="14">
    <w:name w:val="样式4"/>
    <w:basedOn w:val="1"/>
    <w:link w:val="15"/>
    <w:qFormat/>
    <w:uiPriority w:val="0"/>
    <w:rPr>
      <w:rFonts w:eastAsia="Arial Unicode MS" w:asciiTheme="minorAscii" w:hAnsiTheme="minorAscii"/>
      <w:sz w:val="13"/>
    </w:rPr>
  </w:style>
  <w:style w:type="character" w:customStyle="1" w:styleId="15">
    <w:name w:val="样式4 Char"/>
    <w:link w:val="14"/>
    <w:qFormat/>
    <w:uiPriority w:val="0"/>
    <w:rPr>
      <w:rFonts w:eastAsia="Arial Unicode MS" w:asciiTheme="minorAscii" w:hAnsiTheme="minorAscii"/>
      <w:sz w:val="13"/>
    </w:rPr>
  </w:style>
  <w:style w:type="paragraph" w:customStyle="1" w:styleId="16">
    <w:name w:val="样式5"/>
    <w:basedOn w:val="1"/>
    <w:link w:val="17"/>
    <w:qFormat/>
    <w:uiPriority w:val="0"/>
    <w:rPr>
      <w:rFonts w:eastAsia="Arial Unicode MS" w:asciiTheme="minorAscii" w:hAnsiTheme="minorAscii"/>
      <w:sz w:val="15"/>
    </w:rPr>
  </w:style>
  <w:style w:type="character" w:customStyle="1" w:styleId="17">
    <w:name w:val="样式5 Char"/>
    <w:link w:val="16"/>
    <w:qFormat/>
    <w:uiPriority w:val="0"/>
    <w:rPr>
      <w:rFonts w:eastAsia="Arial Unicode MS" w:asciiTheme="minorAscii" w:hAnsiTheme="minorAscii"/>
      <w:sz w:val="15"/>
    </w:rPr>
  </w:style>
  <w:style w:type="paragraph" w:customStyle="1" w:styleId="18">
    <w:name w:val="样式6"/>
    <w:basedOn w:val="1"/>
    <w:link w:val="19"/>
    <w:qFormat/>
    <w:uiPriority w:val="0"/>
    <w:rPr>
      <w:rFonts w:eastAsia="Arial Unicode MS" w:asciiTheme="minorAscii" w:hAnsiTheme="minorAscii"/>
      <w:sz w:val="15"/>
    </w:rPr>
  </w:style>
  <w:style w:type="character" w:customStyle="1" w:styleId="19">
    <w:name w:val="样式6 Char"/>
    <w:link w:val="18"/>
    <w:qFormat/>
    <w:uiPriority w:val="0"/>
    <w:rPr>
      <w:rFonts w:eastAsia="Arial Unicode MS" w:asciiTheme="minorAscii" w:hAnsiTheme="minorAscii"/>
      <w:sz w:val="15"/>
    </w:rPr>
  </w:style>
</w:style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29291ec-e9dc-4608-a903-d1366562d724}"/>
        <w:style w:val=""/>
        <w:category>
          <w:name w:val="常规"/>
          <w:gallery w:val="placeholder"/>
        </w:category>
        <w:types>
          <w:type w:val="bbPlcHdr"/>
        </w:types>
        <w:behaviors>
          <w:behavior w:val="content"/>
        </w:behaviors>
        <w:description w:val=""/>
        <w:guid w:val="{c29291ec-e9dc-4608-a903-d1366562d724}"/>
      </w:docPartPr>
      <w:docPartBody>
        <w:p w14:paraId="51E57562">
          <w:r>
            <w:rPr>
              <w:color w:val="808080"/>
            </w:rPr>
            <w:t>选择一项。</w:t>
          </w:r>
        </w:p>
      </w:docPartBody>
    </w:docPart>
    <w:docPart>
      <w:docPartPr>
        <w:name w:val="{0daf061f-d72c-4e6a-bb21-74e9fcd2540c}"/>
        <w:style w:val=""/>
        <w:category>
          <w:name w:val="常规"/>
          <w:gallery w:val="placeholder"/>
        </w:category>
        <w:types>
          <w:type w:val="bbPlcHdr"/>
        </w:types>
        <w:behaviors>
          <w:behavior w:val="content"/>
        </w:behaviors>
        <w:description w:val=""/>
        <w:guid w:val="{0daf061f-d72c-4e6a-bb21-74e9fcd2540c}"/>
      </w:docPartPr>
      <w:docPartBody>
        <w:p w14:paraId="75C9E3F5">
          <w:r>
            <w:rPr>
              <w:color w:val="808080"/>
            </w:rPr>
            <w:t>单击此处输入文字。</w:t>
          </w:r>
        </w:p>
      </w:docPartBody>
    </w:docPart>
    <w:docPart>
      <w:docPartPr>
        <w:name w:val="{df61b350-aee6-47bd-944d-08e6078126c1}"/>
        <w:style w:val=""/>
        <w:category>
          <w:name w:val="常规"/>
          <w:gallery w:val="placeholder"/>
        </w:category>
        <w:types>
          <w:type w:val="bbPlcHdr"/>
        </w:types>
        <w:behaviors>
          <w:behavior w:val="content"/>
        </w:behaviors>
        <w:description w:val=""/>
        <w:guid w:val="{df61b350-aee6-47bd-944d-08e6078126c1}"/>
      </w:docPartPr>
      <w:docPartBody>
        <w:p w14:paraId="16C0C1F4">
          <w:r>
            <w:rPr>
              <w:color w:val="808080"/>
            </w:rPr>
            <w:t>单击此处输入日期。</w:t>
          </w:r>
        </w:p>
      </w:docPartBody>
    </w:docPart>
    <w:docPart>
      <w:docPartPr>
        <w:name w:val="{02a91e4c-c88b-425f-b53c-17349660d8d2}"/>
        <w:style w:val=""/>
        <w:category>
          <w:name w:val="常规"/>
          <w:gallery w:val="placeholder"/>
        </w:category>
        <w:types>
          <w:type w:val="bbPlcHdr"/>
        </w:types>
        <w:behaviors>
          <w:behavior w:val="content"/>
        </w:behaviors>
        <w:description w:val=""/>
        <w:guid w:val="{02a91e4c-c88b-425f-b53c-17349660d8d2}"/>
      </w:docPartPr>
      <w:docPartBody>
        <w:p w14:paraId="669A7B3D">
          <w:r>
            <w:rPr>
              <w:color w:val="808080"/>
            </w:rPr>
            <w:t>选择一项。</w:t>
          </w:r>
        </w:p>
      </w:docPartBody>
    </w:docPart>
    <w:docPart>
      <w:docPartPr>
        <w:name w:val="{54f684b5-99ba-4458-9b63-c98da7f6cfa6}"/>
        <w:style w:val=""/>
        <w:category>
          <w:name w:val="常规"/>
          <w:gallery w:val="placeholder"/>
        </w:category>
        <w:types>
          <w:type w:val="bbPlcHdr"/>
        </w:types>
        <w:behaviors>
          <w:behavior w:val="content"/>
        </w:behaviors>
        <w:description w:val=""/>
        <w:guid w:val="{54f684b5-99ba-4458-9b63-c98da7f6cfa6}"/>
      </w:docPartPr>
      <w:docPartBody>
        <w:p w14:paraId="16814FDE">
          <w:r>
            <w:rPr>
              <w:color w:val="808080"/>
            </w:rPr>
            <w:t>选择一项。</w:t>
          </w:r>
        </w:p>
      </w:docPartBody>
    </w:docPart>
    <w:docPart>
      <w:docPartPr>
        <w:name w:val="{5b90eca8-60e1-46ed-8f03-92f9c27e6e40}"/>
        <w:style w:val=""/>
        <w:category>
          <w:name w:val="常规"/>
          <w:gallery w:val="placeholder"/>
        </w:category>
        <w:types>
          <w:type w:val="bbPlcHdr"/>
        </w:types>
        <w:behaviors>
          <w:behavior w:val="content"/>
        </w:behaviors>
        <w:description w:val=""/>
        <w:guid w:val="{5b90eca8-60e1-46ed-8f03-92f9c27e6e40}"/>
      </w:docPartPr>
      <w:docPartBody>
        <w:p w14:paraId="0BBB2603"/>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1254</Words>
  <Characters>2312</Characters>
  <Lines>0</Lines>
  <Paragraphs>0</Paragraphs>
  <TotalTime>24</TotalTime>
  <ScaleCrop>false</ScaleCrop>
  <LinksUpToDate>false</LinksUpToDate>
  <CharactersWithSpaces>2571</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2022-03-03T10:04:00Z</dcterms:created>
  <dc:creator>wanli</dc:creator>
  <cp:lastModifiedBy>shans739</cp:lastModifiedBy>
  <dcterms:modified xsi:type="dcterms:W3CDTF">2026-06-29T01:46:25Z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169A89A17C3441CCAAF764253CCD8B00_13</vt:lpwstr>
  </property>
  <property fmtid="{D5CDD505-2E9C-101B-9397-08002B2CF9AE}" pid="4" name="username">
    <vt:lpwstr>bsjj</vt:lpwstr>
  </property>
</Properties>
</file>