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35"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3"/>
        <w:gridCol w:w="943"/>
        <w:gridCol w:w="932"/>
        <w:gridCol w:w="1179"/>
        <w:gridCol w:w="900"/>
        <w:gridCol w:w="1254"/>
        <w:gridCol w:w="1232"/>
        <w:gridCol w:w="842"/>
      </w:tblGrid>
      <w:tr w14:paraId="7DCB1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6" w:hRule="atLeast"/>
        </w:trPr>
        <w:tc>
          <w:tcPr>
            <w:tcW w:w="1996" w:type="dxa"/>
            <w:gridSpan w:val="2"/>
            <w:tcBorders>
              <w:top w:val="single" w:color="000000" w:sz="4" w:space="0"/>
              <w:left w:val="single" w:color="000000" w:sz="4" w:space="0"/>
              <w:bottom w:val="single" w:color="000000" w:sz="4" w:space="0"/>
              <w:right w:val="nil"/>
            </w:tcBorders>
            <w:shd w:val="clear" w:color="auto" w:fill="FFFFFF" w:themeFill="background1"/>
            <w:noWrap/>
            <w:vAlign w:val="center"/>
          </w:tcPr>
          <w:p w14:paraId="565C9F77">
            <w:pPr>
              <w:jc w:val="left"/>
              <w:rPr>
                <w:rFonts w:hint="eastAsia" w:ascii="微软雅黑" w:hAnsi="微软雅黑" w:eastAsia="微软雅黑" w:cs="微软雅黑"/>
                <w:b/>
                <w:bCs/>
                <w:i w:val="0"/>
                <w:iCs w:val="0"/>
                <w:color w:val="000000"/>
                <w:sz w:val="18"/>
                <w:szCs w:val="18"/>
                <w:u w:val="none"/>
                <w:lang w:val="en-US" w:eastAsia="zh-CN"/>
              </w:rPr>
            </w:pPr>
            <w:bookmarkStart w:id="0" w:name="股票名称" w:colFirst="1" w:colLast="1"/>
            <w:bookmarkStart w:id="1" w:name="行业名称" w:colFirst="2" w:colLast="2"/>
            <w:bookmarkStart w:id="2" w:name="报告名称" w:colFirst="0" w:colLast="0"/>
            <w:sdt>
              <w:sdtPr>
                <w:rPr>
                  <w:rFonts w:hint="eastAsia" w:ascii="微软雅黑" w:hAnsi="微软雅黑" w:eastAsia="微软雅黑" w:cs="微软雅黑"/>
                  <w:b w:val="0"/>
                  <w:bCs w:val="0"/>
                  <w:i w:val="0"/>
                  <w:iCs w:val="0"/>
                  <w:color w:val="000000"/>
                  <w:kern w:val="2"/>
                  <w:sz w:val="18"/>
                  <w:szCs w:val="18"/>
                  <w:u w:val="none"/>
                  <w:lang w:val="en-US" w:eastAsia="zh-TW" w:bidi="ar-SA"/>
                </w:rPr>
                <w:id w:val="147482084"/>
                <w:lock w:val="sdtContentLocked"/>
                <w:placeholder>
                  <w:docPart w:val="{0daf061f-d72c-4e6a-bb21-74e9fcd2540c}"/>
                </w:placeholder>
              </w:sdtPr>
              <w:sdtEndPr>
                <w:rPr>
                  <w:rFonts w:hint="eastAsia" w:ascii="微软雅黑" w:hAnsi="微软雅黑" w:eastAsia="微软雅黑" w:cs="微软雅黑"/>
                  <w:b w:val="0"/>
                  <w:bCs w:val="0"/>
                  <w:i w:val="0"/>
                  <w:iCs w:val="0"/>
                  <w:color w:val="000000"/>
                  <w:kern w:val="2"/>
                  <w:sz w:val="18"/>
                  <w:szCs w:val="18"/>
                  <w:u w:val="none"/>
                  <w:lang w:val="en-US" w:eastAsia="zh-TW" w:bidi="ar-SA"/>
                </w:rPr>
              </w:sdtEndPr>
              <w:sdtContent>
                <w:r>
                  <w:rPr>
                    <w:rFonts w:hint="eastAsia" w:ascii="微软雅黑" w:hAnsi="微软雅黑" w:eastAsia="微软雅黑" w:cs="微软雅黑"/>
                    <w:b/>
                    <w:bCs/>
                    <w:i w:val="0"/>
                    <w:iCs w:val="0"/>
                    <w:color w:val="000000"/>
                    <w:sz w:val="18"/>
                    <w:szCs w:val="18"/>
                    <w:u w:val="none"/>
                    <w:lang w:val="en-US" w:eastAsia="zh-CN"/>
                  </w:rPr>
                  <w:t>评级报告</w:t>
                </w:r>
              </w:sdtContent>
            </w:sdt>
            <w:r>
              <w:rPr>
                <w:rFonts w:hint="eastAsia" w:ascii="微软雅黑" w:hAnsi="微软雅黑" w:eastAsia="微软雅黑" w:cs="微软雅黑"/>
                <w:b/>
                <w:bCs/>
                <w:i w:val="0"/>
                <w:iCs w:val="0"/>
                <w:color w:val="000000"/>
                <w:sz w:val="18"/>
                <w:szCs w:val="18"/>
                <w:u w:val="none"/>
                <w:lang w:val="en-US" w:eastAsia="zh-CN"/>
              </w:rPr>
              <w:t xml:space="preserve">                                                            </w:t>
            </w:r>
          </w:p>
        </w:tc>
        <w:tc>
          <w:tcPr>
            <w:tcW w:w="2111" w:type="dxa"/>
            <w:gridSpan w:val="2"/>
            <w:tcBorders>
              <w:top w:val="single" w:color="000000" w:sz="4" w:space="0"/>
              <w:left w:val="nil"/>
              <w:bottom w:val="single" w:color="000000" w:sz="4" w:space="0"/>
              <w:right w:val="nil"/>
            </w:tcBorders>
            <w:shd w:val="clear" w:color="auto" w:fill="FFFFFF" w:themeFill="background1"/>
            <w:noWrap/>
            <w:vAlign w:val="center"/>
          </w:tcPr>
          <w:p w14:paraId="642D6B5B">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154" w:type="dxa"/>
            <w:gridSpan w:val="2"/>
            <w:tcBorders>
              <w:top w:val="single" w:color="000000" w:sz="4" w:space="0"/>
              <w:left w:val="nil"/>
              <w:bottom w:val="single" w:color="000000" w:sz="4" w:space="0"/>
              <w:right w:val="nil"/>
            </w:tcBorders>
            <w:shd w:val="clear" w:color="auto" w:fill="FFFFFF" w:themeFill="background1"/>
            <w:noWrap/>
            <w:vAlign w:val="center"/>
          </w:tcPr>
          <w:p w14:paraId="66F9BA31">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074" w:type="dxa"/>
            <w:gridSpan w:val="2"/>
            <w:tcBorders>
              <w:top w:val="single" w:color="000000" w:sz="4" w:space="0"/>
              <w:left w:val="nil"/>
              <w:bottom w:val="single" w:color="000000" w:sz="4" w:space="0"/>
              <w:right w:val="single" w:color="000000" w:sz="4" w:space="0"/>
            </w:tcBorders>
            <w:shd w:val="clear" w:color="auto" w:fill="FFFFFF" w:themeFill="background1"/>
            <w:noWrap/>
            <w:vAlign w:val="center"/>
          </w:tcPr>
          <w:p w14:paraId="248EA507">
            <w:pPr>
              <w:jc w:val="center"/>
              <w:rPr>
                <w:rFonts w:hint="eastAsia" w:ascii="Arial Unicode MS" w:hAnsi="Arial Unicode MS" w:eastAsia="Arial Unicode MS" w:cs="Arial Unicode MS"/>
                <w:b/>
                <w:bCs/>
                <w:i w:val="0"/>
                <w:iCs w:val="0"/>
                <w:color w:val="000000"/>
                <w:sz w:val="15"/>
                <w:szCs w:val="15"/>
                <w:u w:val="none"/>
                <w:lang w:val="en-US" w:eastAsia="zh-CN"/>
              </w:rPr>
            </w:pPr>
            <w:r>
              <w:rPr>
                <w:rFonts w:ascii="微软雅黑" w:hAnsi="微软雅黑" w:eastAsia="微软雅黑" w:cs="微软雅黑"/>
                <w:sz w:val="15"/>
                <w:szCs w:val="15"/>
              </w:rPr>
              <w:drawing>
                <wp:inline distT="0" distB="0" distL="114300" distR="114300">
                  <wp:extent cx="880745" cy="379730"/>
                  <wp:effectExtent l="0" t="0" r="14605" b="1270"/>
                  <wp:docPr id="2" name="图片 1" descr="Bo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Bosera.png"/>
                          <pic:cNvPicPr>
                            <a:picLocks noChangeAspect="1"/>
                          </pic:cNvPicPr>
                        </pic:nvPicPr>
                        <pic:blipFill>
                          <a:blip r:embed="rId5" cstate="print"/>
                          <a:stretch>
                            <a:fillRect/>
                          </a:stretch>
                        </pic:blipFill>
                        <pic:spPr>
                          <a:xfrm>
                            <a:off x="0" y="0"/>
                            <a:ext cx="880745" cy="379730"/>
                          </a:xfrm>
                          <a:prstGeom prst="rect">
                            <a:avLst/>
                          </a:prstGeom>
                        </pic:spPr>
                      </pic:pic>
                    </a:graphicData>
                  </a:graphic>
                </wp:inline>
              </w:drawing>
            </w:r>
          </w:p>
        </w:tc>
      </w:tr>
      <w:bookmarkEnd w:id="0"/>
      <w:bookmarkEnd w:id="1"/>
      <w:bookmarkEnd w:id="2"/>
      <w:tr w14:paraId="2F8D4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BE43C70">
            <w:pPr>
              <w:jc w:val="both"/>
              <w:rPr>
                <w:rFonts w:hint="eastAsia" w:ascii="微软雅黑" w:hAnsi="微软雅黑" w:eastAsia="微软雅黑" w:cs="微软雅黑"/>
                <w:b/>
                <w:bCs/>
                <w:i w:val="0"/>
                <w:iCs w:val="0"/>
                <w:color w:val="000000"/>
                <w:sz w:val="18"/>
                <w:szCs w:val="18"/>
                <w:u w:val="none"/>
                <w:lang w:val="en-US" w:eastAsia="zh-CN"/>
              </w:rPr>
            </w:pPr>
            <w:bookmarkStart w:id="3" w:name="报告标题" w:colFirst="1" w:colLast="1"/>
            <w:bookmarkStart w:id="4" w:name="是否重大推荐" w:colFirst="3" w:colLast="3"/>
            <w:r>
              <w:rPr>
                <w:rFonts w:hint="eastAsia" w:ascii="微软雅黑" w:hAnsi="微软雅黑" w:eastAsia="微软雅黑" w:cs="微软雅黑"/>
                <w:b/>
                <w:bCs/>
                <w:i w:val="0"/>
                <w:iCs w:val="0"/>
                <w:color w:val="000000"/>
                <w:sz w:val="18"/>
                <w:szCs w:val="18"/>
                <w:u w:val="none"/>
                <w:lang w:val="en-US" w:eastAsia="zh-CN"/>
              </w:rPr>
              <w:t>报告标题</w:t>
            </w:r>
          </w:p>
        </w:tc>
        <w:tc>
          <w:tcPr>
            <w:tcW w:w="5208"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73B61E3">
            <w:pPr>
              <w:jc w:val="both"/>
              <w:rPr>
                <w:rFonts w:hint="default" w:ascii="微软雅黑" w:hAnsi="微软雅黑" w:eastAsia="微软雅黑" w:cs="微软雅黑"/>
                <w:b/>
                <w:bCs/>
                <w:i w:val="0"/>
                <w:iCs w:val="0"/>
                <w:color w:val="000000"/>
                <w:sz w:val="18"/>
                <w:szCs w:val="18"/>
                <w:u w:val="none"/>
                <w:lang w:val="en-US" w:eastAsia="zh-TW"/>
              </w:rPr>
            </w:pPr>
            <w:r>
              <w:rPr>
                <w:rFonts w:ascii="微软雅黑" w:hAnsi="微软雅黑" w:eastAsia="微软雅黑" w:cs="微软雅黑"/>
                <w:b/>
                <w:sz w:val="18"/>
              </w:rPr>
              <w:t>26Q1开门红坐实利润可持续，估值历史低位有保护，维持底仓</w:t>
            </w: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204327E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是否重大推荐</w:t>
            </w:r>
          </w:p>
        </w:tc>
        <w:sdt>
          <w:sdtPr>
            <w:rPr>
              <w:rFonts w:hint="default" w:ascii="微软雅黑" w:hAnsi="微软雅黑" w:eastAsia="微软雅黑" w:cs="微软雅黑"/>
              <w:i w:val="0"/>
              <w:iCs w:val="0"/>
              <w:color w:val="000000"/>
              <w:sz w:val="15"/>
              <w:szCs w:val="15"/>
              <w:u w:val="none"/>
              <w:lang w:val="en-US" w:eastAsia="zh-TW"/>
            </w:rPr>
            <w:alias w:val="是否重大推荐"/>
            <w:id w:val="274842591"/>
            <w:lock w:val="sdtLocked"/>
            <w:placeholder>
              <w:docPart w:val="{5b90eca8-60e1-46ed-8f03-92f9c27e6e40}"/>
            </w:placeholder>
            <w:dropDownList>
              <w:listItem w:displayText=" " w:value=" "/>
              <w:listItem w:displayText="是" w:value="是"/>
              <w:listItem w:displayText="否" w:value="否"/>
            </w:dropDownList>
          </w:sdtPr>
          <w:sdtEndPr>
            <w:rPr>
              <w:rFonts w:hint="default" w:ascii="微软雅黑" w:hAnsi="微软雅黑" w:eastAsia="微软雅黑" w:cs="微软雅黑"/>
              <w:i w:val="0"/>
              <w:iCs w:val="0"/>
              <w:color w:val="000000"/>
              <w:sz w:val="15"/>
              <w:szCs w:val="15"/>
              <w:u w:val="none"/>
              <w:lang w:val="en-US" w:eastAsia="zh-TW"/>
            </w:rPr>
          </w:sdtEndPr>
          <w:sdtContent>
            <w:tc>
              <w:tcPr>
                <w:tcW w:w="84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47E485">
                <w:pPr>
                  <w:keepNext w:val="0"/>
                  <w:keepLines w:val="0"/>
                  <w:widowControl/>
                  <w:suppressLineNumbers w:val="0"/>
                  <w:jc w:val="center"/>
                  <w:textAlignment w:val="center"/>
                  <w:rPr>
                    <w:rFonts w:hint="default" w:ascii="微软雅黑" w:hAnsi="微软雅黑" w:eastAsia="微软雅黑" w:cs="微软雅黑"/>
                    <w:i w:val="0"/>
                    <w:iCs w:val="0"/>
                    <w:color w:val="000000"/>
                    <w:sz w:val="15"/>
                    <w:szCs w:val="15"/>
                    <w:u w:val="none"/>
                    <w:lang w:val="en-US" w:eastAsia="zh-TW"/>
                  </w:rPr>
                </w:pPr>
                <w:r>
                  <w:rPr>
                    <w:rFonts w:hint="default" w:ascii="微软雅黑" w:hAnsi="微软雅黑" w:eastAsia="微软雅黑" w:cs="微软雅黑"/>
                    <w:i w:val="0"/>
                    <w:iCs w:val="0"/>
                    <w:color w:val="000000"/>
                    <w:kern w:val="2"/>
                    <w:sz w:val="15"/>
                    <w:szCs w:val="15"/>
                    <w:u w:val="none"/>
                    <w:lang w:val="en-US" w:eastAsia="zh-TW" w:bidi="ar-SA"/>
                  </w:rPr>
                  <w:t xml:space="preserve"> </w:t>
                </w:r>
              </w:p>
            </w:tc>
          </w:sdtContent>
        </w:sdt>
      </w:tr>
      <w:bookmarkEnd w:id="3"/>
      <w:bookmarkEnd w:id="4"/>
      <w:tr w14:paraId="2598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63BA16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5" w:name="股票代码" w:colFirst="1" w:colLast="1"/>
            <w:bookmarkStart w:id="6" w:name="上次评级" w:colFirst="5" w:colLast="5"/>
            <w:bookmarkStart w:id="7" w:name="预期收益率" w:colFirst="7" w:colLast="7"/>
            <w:bookmarkStart w:id="8" w:name="股票评级" w:colFirst="3" w:colLast="3"/>
            <w:r>
              <w:rPr>
                <w:rFonts w:hint="eastAsia" w:ascii="微软雅黑" w:hAnsi="微软雅黑" w:eastAsia="微软雅黑" w:cs="微软雅黑"/>
                <w:i w:val="0"/>
                <w:iCs w:val="0"/>
                <w:color w:val="000000"/>
                <w:sz w:val="15"/>
                <w:szCs w:val="15"/>
                <w:u w:val="none"/>
                <w:lang w:eastAsia="zh-CN"/>
              </w:rPr>
              <w:t>股票代码</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C719">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ascii="微软雅黑" w:hAnsi="微软雅黑" w:eastAsia="微软雅黑" w:cs="微软雅黑"/>
                <w:b w:val="0"/>
                <w:sz w:val="18"/>
              </w:rPr>
              <w:t>000729</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447A0F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股票评级</w:t>
            </w:r>
          </w:p>
        </w:tc>
        <w:sdt>
          <w:sdtPr>
            <w:rPr>
              <w:rFonts w:hint="eastAsia" w:ascii="微软雅黑" w:hAnsi="微软雅黑" w:eastAsia="微软雅黑" w:cs="微软雅黑"/>
              <w:i w:val="0"/>
              <w:iCs w:val="0"/>
              <w:color w:val="000000"/>
              <w:sz w:val="15"/>
              <w:szCs w:val="15"/>
              <w:u w:val="none"/>
              <w:lang w:val="en-US" w:eastAsia="zh-CN"/>
            </w:rPr>
            <w:alias w:val="股票评级"/>
            <w:id w:val="147454962"/>
            <w:lock w:val="sdtLocked"/>
            <w:placeholder>
              <w:docPart w:val="{c29291ec-e9dc-4608-a903-d1366562d724}"/>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1311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kern w:val="2"/>
                    <w:sz w:val="15"/>
                    <w:szCs w:val="15"/>
                    <w:u w:val="none"/>
                    <w:lang w:val="en-US" w:eastAsia="zh-CN" w:bidi="ar-SA"/>
                  </w:rPr>
                  <w:t>强烈买入-1</w:t>
                </w:r>
              </w:p>
            </w:tc>
          </w:sdtContent>
        </w:sdt>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9411E4">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sz w:val="15"/>
                <w:szCs w:val="15"/>
                <w:u w:val="none"/>
                <w:lang w:val="en-US" w:eastAsia="zh-TW"/>
              </w:rPr>
              <w:t>上次评级</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上次评级"/>
              <w:id w:val="144595064"/>
              <w:lock w:val="sdtLocked"/>
              <w:placeholder>
                <w:docPart w:val="{02a91e4c-c88b-425f-b53c-17349660d8d2}"/>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p w14:paraId="2B5AAA2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kern w:val="2"/>
                    <w:sz w:val="15"/>
                    <w:szCs w:val="15"/>
                    <w:u w:val="none"/>
                    <w:lang w:val="en-US" w:eastAsia="zh-CN" w:bidi="ar-SA"/>
                  </w:rPr>
                  <w:t>强烈买入-1</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70021422">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eastAsia="zh-CN"/>
              </w:rPr>
              <w:t>预期收益率</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39095">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5"/>
      <w:bookmarkEnd w:id="6"/>
      <w:bookmarkEnd w:id="7"/>
      <w:bookmarkEnd w:id="8"/>
      <w:tr w14:paraId="6CF94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CEAA696">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9" w:name="当前市值" w:colFirst="3" w:colLast="3"/>
            <w:bookmarkStart w:id="10" w:name="年初以来涨跌幅" w:colFirst="7" w:colLast="7"/>
            <w:bookmarkStart w:id="11" w:name="目标价" w:colFirst="5" w:colLast="5"/>
            <w:bookmarkStart w:id="12" w:name="当前股价" w:colFirst="1" w:colLast="1"/>
            <w:r>
              <w:rPr>
                <w:rFonts w:hint="eastAsia" w:ascii="微软雅黑" w:hAnsi="微软雅黑" w:eastAsia="微软雅黑" w:cs="微软雅黑"/>
                <w:i w:val="0"/>
                <w:iCs w:val="0"/>
                <w:color w:val="000000"/>
                <w:sz w:val="15"/>
                <w:szCs w:val="15"/>
                <w:u w:val="none"/>
                <w:lang w:val="en-US" w:eastAsia="zh-CN"/>
              </w:rPr>
              <w:t>当前股价</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0C7E">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bookmarkStart w:id="22" w:name="_GoBack"/>
            <w:bookmarkEnd w:id="22"/>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0799090">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当前市值</w:t>
            </w:r>
            <w:r>
              <w:rPr>
                <w:rFonts w:hint="eastAsia" w:ascii="微软雅黑" w:hAnsi="微软雅黑" w:eastAsia="微软雅黑" w:cs="微软雅黑"/>
                <w:i w:val="0"/>
                <w:iCs w:val="0"/>
                <w:color w:val="000000"/>
                <w:sz w:val="15"/>
                <w:szCs w:val="15"/>
                <w:u w:val="none"/>
                <w:lang w:val="en-US" w:eastAsia="zh-TW"/>
              </w:rPr>
              <w:t>(亿元)</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589C1">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p>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98AA44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目标价</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D13B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19292B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sz w:val="15"/>
                <w:szCs w:val="15"/>
                <w:u w:val="none"/>
                <w:lang w:val="en-US" w:eastAsia="zh-CN"/>
              </w:rPr>
              <w:t>年初以来涨跌幅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83F38">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9"/>
      <w:bookmarkEnd w:id="10"/>
      <w:bookmarkEnd w:id="11"/>
      <w:bookmarkEnd w:id="12"/>
      <w:tr w14:paraId="6F48F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3B12474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13" w:name="研究员" w:colFirst="1" w:colLast="1"/>
            <w:bookmarkStart w:id="14" w:name="相对行业涨跌幅" w:colFirst="7" w:colLast="7"/>
            <w:bookmarkStart w:id="15" w:name="报告类型" w:colFirst="3" w:colLast="3"/>
            <w:bookmarkStart w:id="16" w:name="报告日期" w:colFirst="5" w:colLast="5"/>
            <w:r>
              <w:rPr>
                <w:rFonts w:hint="eastAsia" w:ascii="微软雅黑" w:hAnsi="微软雅黑" w:eastAsia="微软雅黑" w:cs="微软雅黑"/>
                <w:i w:val="0"/>
                <w:iCs w:val="0"/>
                <w:color w:val="000000"/>
                <w:sz w:val="15"/>
                <w:szCs w:val="15"/>
                <w:u w:val="none"/>
                <w:lang w:eastAsia="zh-TW"/>
              </w:rPr>
              <w:t>研究员</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D72EB">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ascii="微软雅黑" w:hAnsi="微软雅黑" w:eastAsia="微软雅黑" w:cs="微软雅黑"/>
                <w:sz w:val="15"/>
              </w:rPr>
              <w:t>单朔</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5B12C44">
            <w:pPr>
              <w:keepNext w:val="0"/>
              <w:keepLines w:val="0"/>
              <w:widowControl/>
              <w:suppressLineNumbers w:val="0"/>
              <w:jc w:val="left"/>
              <w:textAlignment w:val="center"/>
              <w:rPr>
                <w:rFonts w:hint="eastAsia" w:ascii="微软雅黑" w:hAnsi="微软雅黑" w:eastAsia="微软雅黑" w:cs="微软雅黑"/>
                <w:i w:val="0"/>
                <w:iCs w:val="0"/>
                <w:color w:val="000000"/>
                <w:kern w:val="2"/>
                <w:sz w:val="15"/>
                <w:szCs w:val="15"/>
                <w:u w:val="none"/>
                <w:lang w:val="en-US" w:eastAsia="zh-CN" w:bidi="ar-SA"/>
              </w:rPr>
            </w:pPr>
            <w:r>
              <w:rPr>
                <w:rFonts w:hint="eastAsia" w:ascii="微软雅黑" w:hAnsi="微软雅黑" w:eastAsia="微软雅黑" w:cs="微软雅黑"/>
                <w:i w:val="0"/>
                <w:iCs w:val="0"/>
                <w:color w:val="000000"/>
                <w:sz w:val="15"/>
                <w:szCs w:val="15"/>
                <w:u w:val="none"/>
                <w:lang w:eastAsia="zh-CN"/>
              </w:rPr>
              <w:t>报告类型</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报告类型"/>
              <w:id w:val="147455465"/>
              <w:lock w:val="sdtLocked"/>
              <w:placeholder>
                <w:docPart w:val="{54f684b5-99ba-4458-9b63-c98da7f6cfa6}"/>
              </w:placeholder>
              <w:dropDownList>
                <w:listItem w:displayText="普通模板" w:value="普通模板"/>
                <w:listItem w:displayText="银行模板" w:value="银行模板"/>
                <w:listItem w:displayText="券商模板" w:value="券商模板"/>
                <w:listItem w:displayText="保险模板" w:value="保险模板"/>
              </w:dropDownList>
            </w:sdtPr>
            <w:sdtEndPr>
              <w:rPr>
                <w:rFonts w:hint="eastAsia" w:ascii="微软雅黑" w:hAnsi="微软雅黑" w:eastAsia="微软雅黑" w:cs="微软雅黑"/>
                <w:i w:val="0"/>
                <w:iCs w:val="0"/>
                <w:color w:val="000000"/>
                <w:sz w:val="15"/>
                <w:szCs w:val="15"/>
                <w:u w:val="none"/>
                <w:lang w:val="en-US" w:eastAsia="zh-CN"/>
              </w:rPr>
            </w:sdtEndPr>
            <w:sdtContent>
              <w:p w14:paraId="7CFF5C22">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普通模板</w:t>
                </w:r>
              </w:p>
            </w:sdtContent>
          </w:sdt>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6CE8EB5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报告日期</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default" w:ascii="微软雅黑" w:hAnsi="微软雅黑" w:eastAsia="微软雅黑" w:cs="微软雅黑"/>
                <w:i w:val="0"/>
                <w:iCs w:val="0"/>
                <w:color w:val="000000"/>
                <w:kern w:val="2"/>
                <w:sz w:val="15"/>
                <w:szCs w:val="15"/>
                <w:u w:val="none"/>
                <w:lang w:val="en-US" w:eastAsia="zh-TW" w:bidi="ar-SA"/>
              </w:rPr>
              <w:alias w:val="报告日期"/>
              <w:id w:val="147457270"/>
              <w:lock w:val="sdtLocked"/>
              <w:placeholder>
                <w:docPart w:val="{df61b350-aee6-47bd-944d-08e6078126c1}"/>
              </w:placeholder>
              <w:date w:fullDate="2022-01-01T00:00:00Z">
                <w:dateFormat w:val="YYYY-MM-DD"/>
                <w:lid w:val="zh-CN"/>
                <w:storeMappedDataAs w:val="text"/>
                <w:calendar w:val="gregorian"/>
              </w:date>
            </w:sdtPr>
            <w:sdtEndPr>
              <w:rPr>
                <w:rFonts w:hint="default" w:ascii="微软雅黑" w:hAnsi="微软雅黑" w:eastAsia="微软雅黑" w:cs="微软雅黑"/>
                <w:i w:val="0"/>
                <w:iCs w:val="0"/>
                <w:color w:val="000000"/>
                <w:kern w:val="2"/>
                <w:sz w:val="15"/>
                <w:szCs w:val="15"/>
                <w:u w:val="none"/>
                <w:lang w:val="en-US" w:eastAsia="zh-TW" w:bidi="ar-SA"/>
              </w:rPr>
            </w:sdtEndPr>
            <w:sdtContent>
              <w:p w14:paraId="0065AC32">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kern w:val="2"/>
                    <w:sz w:val="15"/>
                    <w:szCs w:val="15"/>
                    <w:u w:val="none"/>
                    <w:lang w:val="en-US" w:eastAsia="zh-CN" w:bidi="ar-SA"/>
                  </w:rPr>
                  <w:t>2026-06-29</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6EB917">
            <w:pPr>
              <w:keepNext w:val="0"/>
              <w:keepLines w:val="0"/>
              <w:widowControl/>
              <w:suppressLineNumbers w:val="0"/>
              <w:jc w:val="left"/>
              <w:textAlignment w:val="center"/>
              <w:rPr>
                <w:rFonts w:hint="eastAsia" w:ascii="微软雅黑" w:hAnsi="微软雅黑" w:eastAsia="PMingLiU" w:cs="微软雅黑"/>
                <w:i w:val="0"/>
                <w:iCs w:val="0"/>
                <w:color w:val="000000"/>
                <w:sz w:val="15"/>
                <w:szCs w:val="15"/>
                <w:u w:val="none"/>
                <w:lang w:eastAsia="zh-TW"/>
              </w:rPr>
            </w:pPr>
            <w:r>
              <w:rPr>
                <w:rFonts w:hint="eastAsia" w:ascii="微软雅黑" w:hAnsi="微软雅黑" w:eastAsia="微软雅黑" w:cs="微软雅黑"/>
                <w:i w:val="0"/>
                <w:iCs w:val="0"/>
                <w:color w:val="000000"/>
                <w:sz w:val="15"/>
                <w:szCs w:val="15"/>
                <w:u w:val="none"/>
                <w:lang w:eastAsia="zh-TW"/>
              </w:rPr>
              <w:t>年初以来相对行业涨跌幅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0C99">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TW"/>
              </w:rPr>
            </w:pPr>
          </w:p>
        </w:tc>
      </w:tr>
      <w:bookmarkEnd w:id="13"/>
      <w:bookmarkEnd w:id="14"/>
      <w:bookmarkEnd w:id="15"/>
      <w:bookmarkEnd w:id="16"/>
      <w:tr w14:paraId="1C2E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BA084">
            <w:pPr>
              <w:keepNext w:val="0"/>
              <w:keepLines w:val="0"/>
              <w:widowControl/>
              <w:suppressLineNumbers w:val="0"/>
              <w:jc w:val="left"/>
              <w:textAlignment w:val="center"/>
              <w:rPr>
                <w:rFonts w:hint="default" w:ascii="Arial Unicode MS" w:hAnsi="Arial Unicode MS" w:eastAsia="PMingLiU" w:cs="Arial Unicode MS"/>
                <w:i w:val="0"/>
                <w:iCs w:val="0"/>
                <w:color w:val="FFFFFF"/>
                <w:sz w:val="15"/>
                <w:szCs w:val="15"/>
                <w:u w:val="none"/>
                <w:lang w:val="en-US" w:eastAsia="zh-TW"/>
              </w:rPr>
            </w:pPr>
            <w:r>
              <w:rPr>
                <w:rFonts w:hint="default" w:ascii="微软雅黑" w:hAnsi="微软雅黑" w:eastAsia="微软雅黑" w:cs="微软雅黑"/>
                <w:b/>
                <w:bCs/>
                <w:i w:val="0"/>
                <w:iCs w:val="0"/>
                <w:color w:val="000000"/>
                <w:sz w:val="15"/>
                <w:szCs w:val="15"/>
                <w:u w:val="none"/>
                <w:lang w:val="en-US" w:eastAsia="zh-CN"/>
              </w:rPr>
              <w:t>研究结论</w:t>
            </w:r>
          </w:p>
        </w:tc>
      </w:tr>
      <w:tr w14:paraId="0801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2"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2A13213A">
            <w:pPr>
              <w:keepNext w:val="0"/>
              <w:keepLines w:val="0"/>
              <w:widowControl/>
              <w:suppressLineNumbers w:val="0"/>
              <w:jc w:val="both"/>
              <w:textAlignment w:val="center"/>
              <w:rPr>
                <w:rFonts w:hint="eastAsia" w:ascii="微软雅黑" w:hAnsi="微软雅黑" w:eastAsia="微软雅黑" w:cs="微软雅黑"/>
                <w:i w:val="0"/>
                <w:iCs w:val="0"/>
                <w:color w:val="000000"/>
                <w:sz w:val="15"/>
                <w:szCs w:val="15"/>
                <w:u w:val="none"/>
                <w:lang w:val="en-US" w:eastAsia="zh-CN"/>
              </w:rPr>
            </w:pPr>
            <w:bookmarkStart w:id="17" w:name="研究结论" w:colFirst="0" w:colLast="0"/>
            <w:r>
              <w:rPr>
                <w:rFonts w:ascii="微软雅黑" w:hAnsi="微软雅黑" w:eastAsia="微软雅黑" w:cs="微软雅黑"/>
                <w:b/>
                <w:sz w:val="18"/>
              </w:rPr>
              <w:t>短期：26Q1开门红验证利润释放可持续，旺季成色待验</w:t>
            </w:r>
          </w:p>
          <w:p>
            <w:r>
              <w:rPr>
                <w:rFonts w:ascii="微软雅黑" w:hAnsi="微软雅黑" w:eastAsia="微软雅黑" w:cs="微软雅黑"/>
                <w:b w:val="0"/>
                <w:sz w:val="18"/>
              </w:rPr>
              <w:t xml:space="preserve">1. </w:t>
            </w:r>
            <w:r>
              <w:rPr>
                <w:rFonts w:ascii="微软雅黑" w:hAnsi="微软雅黑" w:eastAsia="微软雅黑" w:cs="微软雅黑"/>
                <w:b/>
                <w:sz w:val="18"/>
              </w:rPr>
              <w:t>开门红坐实放利润可持续性</w:t>
            </w:r>
            <w:r>
              <w:rPr>
                <w:rFonts w:ascii="微软雅黑" w:hAnsi="微软雅黑" w:eastAsia="微软雅黑" w:cs="微软雅黑"/>
                <w:b w:val="0"/>
                <w:sz w:val="18"/>
              </w:rPr>
              <w:t>：26Q1营收+7%、归母+60%、扣非+69%，且建立在2025Q1+61%的高基数之上；毛利率46.3%同比+3.5pct，吨成本-3.9%，成本红利与结构升级共振。这是连续第六个季度放利润，市场此前疑虑"25年只是兑现前期故事"被证伪。</w:t>
            </w:r>
          </w:p>
          <w:p>
            <w:r>
              <w:rPr>
                <w:rFonts w:ascii="微软雅黑" w:hAnsi="微软雅黑" w:eastAsia="微软雅黑" w:cs="微软雅黑"/>
                <w:b w:val="0"/>
                <w:sz w:val="18"/>
              </w:rPr>
              <w:t xml:space="preserve">2. </w:t>
            </w:r>
            <w:r>
              <w:rPr>
                <w:rFonts w:ascii="微软雅黑" w:hAnsi="微软雅黑" w:eastAsia="微软雅黑" w:cs="微软雅黑"/>
                <w:b/>
                <w:sz w:val="18"/>
              </w:rPr>
              <w:t>U8止跌企稳</w:t>
            </w:r>
            <w:r>
              <w:rPr>
                <w:rFonts w:ascii="微软雅黑" w:hAnsi="微软雅黑" w:eastAsia="微软雅黑" w:cs="微软雅黑"/>
                <w:b w:val="0"/>
                <w:sz w:val="18"/>
              </w:rPr>
              <w:t>：26Q1 U8销量增速近30%，与2025年29.3%基本持平，降速趋势止住；90万吨基础上向百万吨级迈进。渠道反馈非基地市场（西南、华中、华南）通过O2O与竞对薄弱渠道抢份额，比此前按省级空白市场拍的更乐观。</w:t>
            </w:r>
          </w:p>
          <w:p>
            <w:r>
              <w:rPr>
                <w:rFonts w:ascii="微软雅黑" w:hAnsi="微软雅黑" w:eastAsia="微软雅黑" w:cs="微软雅黑"/>
                <w:b w:val="0"/>
                <w:sz w:val="18"/>
              </w:rPr>
              <w:t xml:space="preserve">3. </w:t>
            </w:r>
            <w:r>
              <w:rPr>
                <w:rFonts w:ascii="微软雅黑" w:hAnsi="微软雅黑" w:eastAsia="微软雅黑" w:cs="微软雅黑"/>
                <w:b/>
                <w:sz w:val="18"/>
              </w:rPr>
              <w:t>旺季成色仍是未解变量</w:t>
            </w:r>
            <w:r>
              <w:rPr>
                <w:rFonts w:ascii="微软雅黑" w:hAnsi="微软雅黑" w:eastAsia="微软雅黑" w:cs="微软雅黑"/>
                <w:b w:val="0"/>
                <w:sz w:val="18"/>
              </w:rPr>
              <w:t>：啤酒未进旺季、5月行业单月产量-6.2%、今年需求尚未彻底调研，放利润能持续多久难预判，需跟踪。这是当前最大的不确定性。</w:t>
            </w:r>
          </w:p>
          <w:p/>
          <w:p>
            <w:r>
              <w:rPr>
                <w:rFonts w:ascii="微软雅黑" w:hAnsi="微软雅黑" w:eastAsia="微软雅黑" w:cs="微软雅黑"/>
                <w:b/>
                <w:sz w:val="18"/>
              </w:rPr>
              <w:t>中长期：U8结构升级+改革降本双引擎，净利率向龙头靠拢</w:t>
            </w:r>
          </w:p>
          <w:p>
            <w:r>
              <w:rPr>
                <w:rFonts w:ascii="微软雅黑" w:hAnsi="微软雅黑" w:eastAsia="微软雅黑" w:cs="微软雅黑"/>
                <w:b w:val="0"/>
                <w:sz w:val="18"/>
              </w:rPr>
              <w:t xml:space="preserve">1. </w:t>
            </w:r>
            <w:r>
              <w:rPr>
                <w:rFonts w:ascii="微软雅黑" w:hAnsi="微软雅黑" w:eastAsia="微软雅黑" w:cs="微软雅黑"/>
                <w:b/>
                <w:sz w:val="18"/>
              </w:rPr>
              <w:t>U8是结构升级与盈利弹性的核心引擎</w:t>
            </w:r>
            <w:r>
              <w:rPr>
                <w:rFonts w:ascii="微软雅黑" w:hAnsi="微软雅黑" w:eastAsia="微软雅黑" w:cs="微软雅黑"/>
                <w:b w:val="0"/>
                <w:sz w:val="18"/>
              </w:rPr>
              <w:t>：U8从2020年10万吨增至2025年90万吨、占比22%，天花板参考漓泉1988在广西约40%渗透率，仍有向120-150万吨、占比30%+迈进的空间；高端化直接拉升整体毛利率（2025年43.6%，显式期向50%+演进）。</w:t>
            </w:r>
          </w:p>
          <w:p>
            <w:r>
              <w:rPr>
                <w:rFonts w:ascii="微软雅黑" w:hAnsi="微软雅黑" w:eastAsia="微软雅黑" w:cs="微软雅黑"/>
                <w:b w:val="0"/>
                <w:sz w:val="18"/>
              </w:rPr>
              <w:t xml:space="preserve">2. </w:t>
            </w:r>
            <w:r>
              <w:rPr>
                <w:rFonts w:ascii="微软雅黑" w:hAnsi="微软雅黑" w:eastAsia="微软雅黑" w:cs="微软雅黑"/>
                <w:b/>
                <w:sz w:val="18"/>
              </w:rPr>
              <w:t>改革降本红利仍在兑现通道</w:t>
            </w:r>
            <w:r>
              <w:rPr>
                <w:rFonts w:ascii="微软雅黑" w:hAnsi="微软雅黑" w:eastAsia="微软雅黑" w:cs="微软雅黑"/>
                <w:b w:val="0"/>
                <w:sz w:val="18"/>
              </w:rPr>
              <w:t>：净利率从2021年1.9%升至2025年11%，管理费用率10.7%→9.8%继续向行业个位数靠拢，对标青啤14-15%净利率仍有3-5pct空间；耿超"二次创业"改革释放人效与子公司减亏，斜率虽放缓但方向明确。</w:t>
            </w:r>
          </w:p>
          <w:p>
            <w:r>
              <w:rPr>
                <w:rFonts w:ascii="微软雅黑" w:hAnsi="微软雅黑" w:eastAsia="微软雅黑" w:cs="微软雅黑"/>
                <w:b w:val="0"/>
                <w:sz w:val="18"/>
              </w:rPr>
              <w:t xml:space="preserve">3. </w:t>
            </w:r>
            <w:r>
              <w:rPr>
                <w:rFonts w:ascii="微软雅黑" w:hAnsi="微软雅黑" w:eastAsia="微软雅黑" w:cs="微软雅黑"/>
                <w:b/>
                <w:sz w:val="18"/>
              </w:rPr>
              <w:t>第二曲线已布局但暂不构成主逻辑</w:t>
            </w:r>
            <w:r>
              <w:rPr>
                <w:rFonts w:ascii="微软雅黑" w:hAnsi="微软雅黑" w:eastAsia="微软雅黑" w:cs="微软雅黑"/>
                <w:b w:val="0"/>
                <w:sz w:val="18"/>
              </w:rPr>
              <w:t>：A10（2026年3月上市）、倍斯特汽水、纳豆保健品"一核两翼"布局，当前贡献&lt;2%，作为期权跟踪，不作为核心估值支撑。</w:t>
            </w:r>
          </w:p>
          <w:p/>
          <w:p>
            <w:r>
              <w:rPr>
                <w:rFonts w:ascii="微软雅黑" w:hAnsi="微软雅黑" w:eastAsia="微软雅黑" w:cs="微软雅黑"/>
                <w:b/>
                <w:sz w:val="18"/>
              </w:rPr>
              <w:t>投资建议：</w:t>
            </w:r>
          </w:p>
          <w:p>
            <w:r>
              <w:rPr>
                <w:rFonts w:ascii="微软雅黑" w:hAnsi="微软雅黑" w:eastAsia="微软雅黑" w:cs="微软雅黑"/>
                <w:b w:val="0"/>
                <w:sz w:val="18"/>
              </w:rPr>
              <w:t>预计2026年销售收入165.0亿，yoy 8%，归母净利润22.2亿，yoy 32%，对应PE 13倍；2027年销售收入176.7亿，yoy 7%，归母净利润27.4亿，yoy 23%，对应PE 11倍。当前PE-TTM仅16倍、处历史0.45%分位，板块内经营势能最强而估值最不贵，啤酒板块若要配置燕京性价比最高，维持底仓配置。</w:t>
            </w:r>
          </w:p>
        </w:tc>
      </w:tr>
      <w:bookmarkEnd w:id="17"/>
      <w:tr w14:paraId="3AED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E227C">
            <w:pPr>
              <w:keepNext w:val="0"/>
              <w:keepLines w:val="0"/>
              <w:widowControl/>
              <w:suppressLineNumbers w:val="0"/>
              <w:jc w:val="left"/>
              <w:textAlignment w:val="center"/>
              <w:rPr>
                <w:rFonts w:hint="eastAsia" w:ascii="Arial Unicode MS" w:hAnsi="Arial Unicode MS" w:eastAsia="PMingLiU" w:cs="Arial Unicode MS"/>
                <w:i w:val="0"/>
                <w:iCs w:val="0"/>
                <w:color w:val="FFFFFF"/>
                <w:kern w:val="2"/>
                <w:sz w:val="15"/>
                <w:szCs w:val="15"/>
                <w:u w:val="none"/>
                <w:lang w:val="en-US" w:eastAsia="zh-CN" w:bidi="ar-SA"/>
              </w:rPr>
            </w:pPr>
            <w:r>
              <w:rPr>
                <w:rFonts w:hint="eastAsia" w:ascii="微软雅黑" w:hAnsi="微软雅黑" w:eastAsia="微软雅黑" w:cs="微软雅黑"/>
                <w:b/>
                <w:bCs/>
                <w:i w:val="0"/>
                <w:iCs w:val="0"/>
                <w:color w:val="000000"/>
                <w:sz w:val="15"/>
                <w:szCs w:val="15"/>
                <w:u w:val="none"/>
                <w:lang w:val="en-US" w:eastAsia="zh-CN"/>
              </w:rPr>
              <w:t>盈利预测</w:t>
            </w:r>
            <w:r>
              <w:rPr>
                <w:rFonts w:hint="eastAsia" w:ascii="微软雅黑" w:hAnsi="微软雅黑" w:eastAsia="微软雅黑" w:cs="微软雅黑"/>
                <w:b/>
                <w:bCs/>
                <w:i w:val="0"/>
                <w:iCs w:val="0"/>
                <w:color w:val="000000"/>
                <w:sz w:val="15"/>
                <w:szCs w:val="15"/>
                <w:u w:val="none"/>
                <w:lang w:val="en-US" w:eastAsia="zh-TW"/>
              </w:rPr>
              <w:t>(</w:t>
            </w:r>
            <w:r>
              <w:rPr>
                <w:rFonts w:hint="eastAsia" w:ascii="微软雅黑" w:hAnsi="微软雅黑" w:eastAsia="微软雅黑" w:cs="微软雅黑"/>
                <w:b/>
                <w:bCs/>
                <w:i w:val="0"/>
                <w:iCs w:val="0"/>
                <w:color w:val="000000"/>
                <w:sz w:val="15"/>
                <w:szCs w:val="15"/>
                <w:u w:val="none"/>
                <w:lang w:val="en-US" w:eastAsia="zh-CN"/>
              </w:rPr>
              <w:t>年度</w:t>
            </w:r>
            <w:r>
              <w:rPr>
                <w:rFonts w:hint="eastAsia" w:ascii="微软雅黑" w:hAnsi="微软雅黑" w:eastAsia="微软雅黑" w:cs="微软雅黑"/>
                <w:b/>
                <w:bCs/>
                <w:i w:val="0"/>
                <w:iCs w:val="0"/>
                <w:color w:val="000000"/>
                <w:sz w:val="15"/>
                <w:szCs w:val="15"/>
                <w:u w:val="none"/>
                <w:lang w:val="en-US" w:eastAsia="zh-TW"/>
              </w:rPr>
              <w:t>)</w:t>
            </w:r>
          </w:p>
        </w:tc>
      </w:tr>
      <w:tr w14:paraId="2708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tbl>
            <w:tblPr>
              <w:tblStyle w:val="6"/>
              <w:tblW w:w="8094" w:type="dxa"/>
              <w:tblInd w:w="5" w:type="dxa"/>
              <w:tblBorders>
                <w:top w:val="none" w:color="auto" w:sz="4" w:space="0"/>
                <w:left w:val="none" w:color="auto" w:sz="4" w:space="0"/>
                <w:bottom w:val="none" w:color="auto" w:sz="4" w:space="0"/>
                <w:right w:val="none" w:color="auto" w:sz="4" w:space="0"/>
                <w:insideH w:val="single" w:color="auto" w:sz="4" w:space="0"/>
                <w:insideV w:val="dotted" w:color="C0C0C0" w:sz="4" w:space="0"/>
              </w:tblBorders>
              <w:tblLayout w:type="fixed"/>
              <w:tblCellMar>
                <w:left w:w="108" w:type="dxa"/>
                <w:right w:w="108" w:type="dxa"/>
              </w:tblCellMar>
            </w:tblPr>
            <w:tblGrid>
              <w:gridCol w:w="1644"/>
              <w:gridCol w:w="1075"/>
              <w:gridCol w:w="1075"/>
              <w:gridCol w:w="1075"/>
              <w:gridCol w:w="1075"/>
              <w:gridCol w:w="1075"/>
              <w:gridCol w:w="1075"/>
            </w:tblGrid>
            <w:tr w14:paraId="759E18FE">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280CA40A">
                  <w:pPr>
                    <w:jc w:val="both"/>
                    <w:rPr>
                      <w:rFonts w:hint="eastAsia" w:ascii="微软雅黑" w:hAnsi="微软雅黑" w:eastAsia="微软雅黑" w:cs="微软雅黑"/>
                      <w:b/>
                      <w:i w:val="0"/>
                      <w:iCs w:val="0"/>
                      <w:color w:val="000000"/>
                      <w:sz w:val="15"/>
                      <w:szCs w:val="15"/>
                      <w:u w:val="none"/>
                      <w:vertAlign w:val="baseline"/>
                      <w:lang w:eastAsia="zh-CN"/>
                    </w:rPr>
                  </w:pPr>
                  <w:bookmarkStart w:id="18" w:name="财务"/>
                  <w:bookmarkStart w:id="19" w:name="盈利预测" w:colFirst="0" w:colLast="0"/>
                  <w:r>
                    <w:rPr>
                      <w:rFonts w:hint="eastAsia" w:ascii="微软雅黑" w:hAnsi="微软雅黑" w:eastAsia="微软雅黑" w:cs="微软雅黑"/>
                      <w:b/>
                      <w:i w:val="0"/>
                      <w:iCs w:val="0"/>
                      <w:color w:val="000000"/>
                      <w:sz w:val="15"/>
                      <w:szCs w:val="15"/>
                      <w:u w:val="none"/>
                      <w:vertAlign w:val="baseline"/>
                      <w:lang w:eastAsia="zh-CN"/>
                    </w:rPr>
                    <w:t>财务指标</w:t>
                  </w:r>
                </w:p>
              </w:tc>
              <w:tc>
                <w:tcPr>
                  <w:tcW w:w="1075" w:type="dxa"/>
                </w:tcPr>
                <w:p w14:paraId="79DCD15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2023</w:t>
                  </w:r>
                </w:p>
              </w:tc>
              <w:tc>
                <w:tcPr>
                  <w:tcW w:w="1075" w:type="dxa"/>
                </w:tcPr>
                <w:p w14:paraId="478981C9">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2024</w:t>
                  </w:r>
                </w:p>
              </w:tc>
              <w:tc>
                <w:tcPr>
                  <w:tcW w:w="1075" w:type="dxa"/>
                </w:tcPr>
                <w:p w14:paraId="0AD24977">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2025</w:t>
                  </w:r>
                </w:p>
              </w:tc>
              <w:tc>
                <w:tcPr>
                  <w:tcW w:w="1075" w:type="dxa"/>
                </w:tcPr>
                <w:p w14:paraId="199B0BB6">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2026E</w:t>
                  </w:r>
                </w:p>
              </w:tc>
              <w:tc>
                <w:tcPr>
                  <w:tcW w:w="1075" w:type="dxa"/>
                </w:tcPr>
                <w:p w14:paraId="60147B9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2027E</w:t>
                  </w:r>
                </w:p>
              </w:tc>
              <w:tc>
                <w:tcPr>
                  <w:tcW w:w="1075" w:type="dxa"/>
                </w:tcPr>
                <w:p w14:paraId="6211DCBA">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2028E</w:t>
                  </w:r>
                </w:p>
              </w:tc>
            </w:tr>
            <w:tr w14:paraId="706C7977">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FA8E9F1">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营业收入(百万)</w:t>
                  </w:r>
                </w:p>
              </w:tc>
              <w:tc>
                <w:tcPr>
                  <w:tcW w:w="1075" w:type="dxa"/>
                </w:tcPr>
                <w:p w14:paraId="6C4F184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14,213</w:t>
                  </w:r>
                </w:p>
              </w:tc>
              <w:tc>
                <w:tcPr>
                  <w:tcW w:w="1075" w:type="dxa"/>
                </w:tcPr>
                <w:p w14:paraId="2118B22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14,667</w:t>
                  </w:r>
                </w:p>
              </w:tc>
              <w:tc>
                <w:tcPr>
                  <w:tcW w:w="1075" w:type="dxa"/>
                </w:tcPr>
                <w:p w14:paraId="43FE060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15,333</w:t>
                  </w:r>
                </w:p>
              </w:tc>
              <w:tc>
                <w:tcPr>
                  <w:tcW w:w="1075" w:type="dxa"/>
                </w:tcPr>
                <w:p w14:paraId="53887A4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16,499</w:t>
                  </w:r>
                </w:p>
              </w:tc>
              <w:tc>
                <w:tcPr>
                  <w:tcW w:w="1075" w:type="dxa"/>
                </w:tcPr>
                <w:p w14:paraId="23808BB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17,665</w:t>
                  </w:r>
                </w:p>
              </w:tc>
              <w:tc>
                <w:tcPr>
                  <w:tcW w:w="1075" w:type="dxa"/>
                </w:tcPr>
                <w:p w14:paraId="53F8549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18,773</w:t>
                  </w:r>
                </w:p>
              </w:tc>
            </w:tr>
            <w:tr w14:paraId="4CAA850B">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F500D25">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营收YOY %</w:t>
                  </w:r>
                </w:p>
              </w:tc>
              <w:tc>
                <w:tcPr>
                  <w:tcW w:w="1075" w:type="dxa"/>
                </w:tcPr>
                <w:p w14:paraId="619EF75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7.7%</w:t>
                  </w:r>
                </w:p>
              </w:tc>
              <w:tc>
                <w:tcPr>
                  <w:tcW w:w="1075" w:type="dxa"/>
                </w:tcPr>
                <w:p w14:paraId="368A519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w:t>
                  </w:r>
                </w:p>
              </w:tc>
              <w:tc>
                <w:tcPr>
                  <w:tcW w:w="1075" w:type="dxa"/>
                </w:tcPr>
                <w:p w14:paraId="0CEAF0F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4.5%</w:t>
                  </w:r>
                </w:p>
              </w:tc>
              <w:tc>
                <w:tcPr>
                  <w:tcW w:w="1075" w:type="dxa"/>
                </w:tcPr>
                <w:p w14:paraId="2CEA0B0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7.6%</w:t>
                  </w:r>
                </w:p>
              </w:tc>
              <w:tc>
                <w:tcPr>
                  <w:tcW w:w="1075" w:type="dxa"/>
                </w:tcPr>
                <w:p w14:paraId="6A346A5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7.1%</w:t>
                  </w:r>
                </w:p>
              </w:tc>
              <w:tc>
                <w:tcPr>
                  <w:tcW w:w="1075" w:type="dxa"/>
                </w:tcPr>
                <w:p w14:paraId="5F8F383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6.3%</w:t>
                  </w:r>
                </w:p>
              </w:tc>
            </w:tr>
            <w:tr w14:paraId="4F90956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2E681DA2">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毛利率</w:t>
                  </w:r>
                </w:p>
              </w:tc>
              <w:tc>
                <w:tcPr>
                  <w:tcW w:w="1075" w:type="dxa"/>
                </w:tcPr>
                <w:p w14:paraId="002DBFF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37.6%</w:t>
                  </w:r>
                </w:p>
              </w:tc>
              <w:tc>
                <w:tcPr>
                  <w:tcW w:w="1075" w:type="dxa"/>
                </w:tcPr>
                <w:p w14:paraId="0651207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40.7%</w:t>
                  </w:r>
                </w:p>
              </w:tc>
              <w:tc>
                <w:tcPr>
                  <w:tcW w:w="1075" w:type="dxa"/>
                </w:tcPr>
                <w:p w14:paraId="26A2715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43.6%</w:t>
                  </w:r>
                </w:p>
              </w:tc>
              <w:tc>
                <w:tcPr>
                  <w:tcW w:w="1075" w:type="dxa"/>
                </w:tcPr>
                <w:p w14:paraId="1091F4B5">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47.0%</w:t>
                  </w:r>
                </w:p>
              </w:tc>
              <w:tc>
                <w:tcPr>
                  <w:tcW w:w="1075" w:type="dxa"/>
                </w:tcPr>
                <w:p w14:paraId="536B17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49.0%</w:t>
                  </w:r>
                </w:p>
              </w:tc>
              <w:tc>
                <w:tcPr>
                  <w:tcW w:w="1075" w:type="dxa"/>
                </w:tcPr>
                <w:p w14:paraId="23F52C2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50.5%</w:t>
                  </w:r>
                </w:p>
              </w:tc>
            </w:tr>
            <w:tr w14:paraId="6A9FD9D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07FD1DE">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归母净利润(百万)</w:t>
                  </w:r>
                </w:p>
              </w:tc>
              <w:tc>
                <w:tcPr>
                  <w:tcW w:w="1075" w:type="dxa"/>
                </w:tcPr>
                <w:p w14:paraId="7E829C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645</w:t>
                  </w:r>
                </w:p>
              </w:tc>
              <w:tc>
                <w:tcPr>
                  <w:tcW w:w="1075" w:type="dxa"/>
                </w:tcPr>
                <w:p w14:paraId="23276A7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1,056</w:t>
                  </w:r>
                </w:p>
              </w:tc>
              <w:tc>
                <w:tcPr>
                  <w:tcW w:w="1075" w:type="dxa"/>
                </w:tcPr>
                <w:p w14:paraId="7B3754F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1,679</w:t>
                  </w:r>
                </w:p>
              </w:tc>
              <w:tc>
                <w:tcPr>
                  <w:tcW w:w="1075" w:type="dxa"/>
                </w:tcPr>
                <w:p w14:paraId="652876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2,218</w:t>
                  </w:r>
                </w:p>
              </w:tc>
              <w:tc>
                <w:tcPr>
                  <w:tcW w:w="1075" w:type="dxa"/>
                </w:tcPr>
                <w:p w14:paraId="2367A39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2,736</w:t>
                  </w:r>
                </w:p>
              </w:tc>
              <w:tc>
                <w:tcPr>
                  <w:tcW w:w="1075" w:type="dxa"/>
                </w:tcPr>
                <w:p w14:paraId="77A835CE">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3,209</w:t>
                  </w:r>
                </w:p>
              </w:tc>
            </w:tr>
            <w:tr w14:paraId="519FA45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EE31D2D">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归母净利润YOY %</w:t>
                  </w:r>
                </w:p>
              </w:tc>
              <w:tc>
                <w:tcPr>
                  <w:tcW w:w="1075" w:type="dxa"/>
                </w:tcPr>
                <w:p w14:paraId="2CA73F4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83.0%</w:t>
                  </w:r>
                </w:p>
              </w:tc>
              <w:tc>
                <w:tcPr>
                  <w:tcW w:w="1075" w:type="dxa"/>
                </w:tcPr>
                <w:p w14:paraId="45FD6DF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63.7%</w:t>
                  </w:r>
                </w:p>
              </w:tc>
              <w:tc>
                <w:tcPr>
                  <w:tcW w:w="1075" w:type="dxa"/>
                </w:tcPr>
                <w:p w14:paraId="0AE09D4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59.1%</w:t>
                  </w:r>
                </w:p>
              </w:tc>
              <w:tc>
                <w:tcPr>
                  <w:tcW w:w="1075" w:type="dxa"/>
                </w:tcPr>
                <w:p w14:paraId="34DEB96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32.1%</w:t>
                  </w:r>
                </w:p>
              </w:tc>
              <w:tc>
                <w:tcPr>
                  <w:tcW w:w="1075" w:type="dxa"/>
                </w:tcPr>
                <w:p w14:paraId="52985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23.4%</w:t>
                  </w:r>
                </w:p>
              </w:tc>
              <w:tc>
                <w:tcPr>
                  <w:tcW w:w="1075" w:type="dxa"/>
                </w:tcPr>
                <w:p w14:paraId="6849370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17.3%</w:t>
                  </w:r>
                </w:p>
              </w:tc>
            </w:tr>
            <w:tr w14:paraId="5373C6B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D0BE0E7">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ROE %</w:t>
                  </w:r>
                </w:p>
              </w:tc>
              <w:tc>
                <w:tcPr>
                  <w:tcW w:w="1075" w:type="dxa"/>
                </w:tcPr>
                <w:p w14:paraId="1F004B1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4.7%</w:t>
                  </w:r>
                </w:p>
              </w:tc>
              <w:tc>
                <w:tcPr>
                  <w:tcW w:w="1075" w:type="dxa"/>
                </w:tcPr>
                <w:p w14:paraId="16D1BEF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7.4%</w:t>
                  </w:r>
                </w:p>
              </w:tc>
              <w:tc>
                <w:tcPr>
                  <w:tcW w:w="1075" w:type="dxa"/>
                </w:tcPr>
                <w:p w14:paraId="21AD63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11.2%</w:t>
                  </w:r>
                </w:p>
              </w:tc>
              <w:tc>
                <w:tcPr>
                  <w:tcW w:w="1075" w:type="dxa"/>
                </w:tcPr>
                <w:p w14:paraId="35B4ED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13.9%</w:t>
                  </w:r>
                </w:p>
              </w:tc>
              <w:tc>
                <w:tcPr>
                  <w:tcW w:w="1075" w:type="dxa"/>
                </w:tcPr>
                <w:p w14:paraId="1F4337E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16.0%</w:t>
                  </w:r>
                </w:p>
              </w:tc>
              <w:tc>
                <w:tcPr>
                  <w:tcW w:w="1075" w:type="dxa"/>
                </w:tcPr>
                <w:p w14:paraId="690C1F2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17.4%</w:t>
                  </w:r>
                </w:p>
              </w:tc>
            </w:tr>
            <w:tr w14:paraId="21BCBD2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B86503">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EPS</w:t>
                  </w:r>
                </w:p>
              </w:tc>
              <w:tc>
                <w:tcPr>
                  <w:tcW w:w="1075" w:type="dxa"/>
                </w:tcPr>
                <w:p w14:paraId="1D2A543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0.23</w:t>
                  </w:r>
                </w:p>
              </w:tc>
              <w:tc>
                <w:tcPr>
                  <w:tcW w:w="1075" w:type="dxa"/>
                </w:tcPr>
                <w:p w14:paraId="1C19DD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0.37</w:t>
                  </w:r>
                </w:p>
              </w:tc>
              <w:tc>
                <w:tcPr>
                  <w:tcW w:w="1075" w:type="dxa"/>
                </w:tcPr>
                <w:p w14:paraId="074FDCB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0.60</w:t>
                  </w:r>
                </w:p>
              </w:tc>
              <w:tc>
                <w:tcPr>
                  <w:tcW w:w="1075" w:type="dxa"/>
                </w:tcPr>
                <w:p w14:paraId="384914B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0.79</w:t>
                  </w:r>
                </w:p>
              </w:tc>
              <w:tc>
                <w:tcPr>
                  <w:tcW w:w="1075" w:type="dxa"/>
                </w:tcPr>
                <w:p w14:paraId="5A77393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0.97</w:t>
                  </w:r>
                </w:p>
              </w:tc>
              <w:tc>
                <w:tcPr>
                  <w:tcW w:w="1075" w:type="dxa"/>
                </w:tcPr>
                <w:p w14:paraId="05903B9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1.14</w:t>
                  </w:r>
                </w:p>
              </w:tc>
            </w:tr>
            <w:tr w14:paraId="4E3379A6">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6B2F0F">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PE</w:t>
                  </w:r>
                </w:p>
              </w:tc>
              <w:tc>
                <w:tcPr>
                  <w:tcW w:w="1075" w:type="dxa"/>
                </w:tcPr>
                <w:p w14:paraId="518F0A7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44.9</w:t>
                  </w:r>
                </w:p>
              </w:tc>
              <w:tc>
                <w:tcPr>
                  <w:tcW w:w="1075" w:type="dxa"/>
                </w:tcPr>
                <w:p w14:paraId="343E222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27.4</w:t>
                  </w:r>
                </w:p>
              </w:tc>
              <w:tc>
                <w:tcPr>
                  <w:tcW w:w="1075" w:type="dxa"/>
                </w:tcPr>
                <w:p w14:paraId="22091E9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17.3</w:t>
                  </w:r>
                </w:p>
              </w:tc>
              <w:tc>
                <w:tcPr>
                  <w:tcW w:w="1075" w:type="dxa"/>
                </w:tcPr>
                <w:p w14:paraId="1E29A9F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13.1</w:t>
                  </w:r>
                </w:p>
              </w:tc>
              <w:tc>
                <w:tcPr>
                  <w:tcW w:w="1075" w:type="dxa"/>
                </w:tcPr>
                <w:p w14:paraId="74E56FD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10.6</w:t>
                  </w:r>
                </w:p>
              </w:tc>
              <w:tc>
                <w:tcPr>
                  <w:tcW w:w="1075" w:type="dxa"/>
                </w:tcPr>
                <w:p w14:paraId="743050D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9.0</w:t>
                  </w:r>
                </w:p>
              </w:tc>
            </w:tr>
            <w:tr w14:paraId="5767CEE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26A1C2A">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PB</w:t>
                  </w:r>
                </w:p>
              </w:tc>
              <w:tc>
                <w:tcPr>
                  <w:tcW w:w="1075" w:type="dxa"/>
                </w:tcPr>
                <w:p w14:paraId="0395B9A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w:t>
                  </w:r>
                </w:p>
              </w:tc>
              <w:tc>
                <w:tcPr>
                  <w:tcW w:w="1075" w:type="dxa"/>
                </w:tcPr>
                <w:p w14:paraId="74FDE06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w:t>
                  </w:r>
                </w:p>
              </w:tc>
              <w:tc>
                <w:tcPr>
                  <w:tcW w:w="1075" w:type="dxa"/>
                </w:tcPr>
                <w:p w14:paraId="6C31586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w:t>
                  </w:r>
                </w:p>
              </w:tc>
              <w:tc>
                <w:tcPr>
                  <w:tcW w:w="1075" w:type="dxa"/>
                </w:tcPr>
                <w:p w14:paraId="7883F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w:t>
                  </w:r>
                </w:p>
              </w:tc>
              <w:tc>
                <w:tcPr>
                  <w:tcW w:w="1075" w:type="dxa"/>
                </w:tcPr>
                <w:p w14:paraId="202A9FA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w:t>
                  </w:r>
                </w:p>
              </w:tc>
              <w:tc>
                <w:tcPr>
                  <w:tcW w:w="1075" w:type="dxa"/>
                </w:tcPr>
                <w:p w14:paraId="2299A31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w:t>
                  </w:r>
                </w:p>
              </w:tc>
            </w:tr>
            <w:tr w14:paraId="7F46868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035DAB08">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EV/EBITDA</w:t>
                  </w:r>
                </w:p>
              </w:tc>
              <w:tc>
                <w:tcPr>
                  <w:tcW w:w="1075" w:type="dxa"/>
                </w:tcPr>
                <w:p w14:paraId="7BDA50C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14.2</w:t>
                  </w:r>
                </w:p>
              </w:tc>
              <w:tc>
                <w:tcPr>
                  <w:tcW w:w="1075" w:type="dxa"/>
                </w:tcPr>
                <w:p w14:paraId="51144E4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10.6</w:t>
                  </w:r>
                </w:p>
              </w:tc>
              <w:tc>
                <w:tcPr>
                  <w:tcW w:w="1075" w:type="dxa"/>
                </w:tcPr>
                <w:p w14:paraId="35A829A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8.2</w:t>
                  </w:r>
                </w:p>
              </w:tc>
              <w:tc>
                <w:tcPr>
                  <w:tcW w:w="1075" w:type="dxa"/>
                </w:tcPr>
                <w:p w14:paraId="7A957BD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6.0</w:t>
                  </w:r>
                </w:p>
              </w:tc>
              <w:tc>
                <w:tcPr>
                  <w:tcW w:w="1075" w:type="dxa"/>
                </w:tcPr>
                <w:p w14:paraId="2CC9BD9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4.7</w:t>
                  </w:r>
                </w:p>
              </w:tc>
              <w:tc>
                <w:tcPr>
                  <w:tcW w:w="1075" w:type="dxa"/>
                </w:tcPr>
                <w:p w14:paraId="1BC4AD2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3.7</w:t>
                  </w:r>
                </w:p>
              </w:tc>
            </w:tr>
            <w:bookmarkEnd w:id="18"/>
          </w:tbl>
          <w:p w14:paraId="5B8D3CD5">
            <w:pPr>
              <w:jc w:val="both"/>
              <w:rPr>
                <w:rFonts w:hint="eastAsia" w:ascii="微软雅黑" w:hAnsi="微软雅黑" w:eastAsia="微软雅黑" w:cs="微软雅黑"/>
                <w:i w:val="0"/>
                <w:iCs w:val="0"/>
                <w:color w:val="000000"/>
                <w:sz w:val="15"/>
                <w:szCs w:val="15"/>
                <w:u w:val="none"/>
                <w:lang w:eastAsia="zh-TW"/>
              </w:rPr>
            </w:pPr>
          </w:p>
        </w:tc>
      </w:tr>
      <w:bookmarkEnd w:id="19"/>
      <w:tr w14:paraId="5D59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67C46">
            <w:pPr>
              <w:keepNext w:val="0"/>
              <w:keepLines w:val="0"/>
              <w:widowControl/>
              <w:suppressLineNumbers w:val="0"/>
              <w:jc w:val="left"/>
              <w:textAlignment w:val="center"/>
              <w:rPr>
                <w:rFonts w:hint="eastAsia" w:ascii="Arial Unicode MS" w:hAnsi="Arial Unicode MS" w:eastAsia="PMingLiU" w:cs="Arial Unicode MS"/>
                <w:b/>
                <w:bCs/>
                <w:i w:val="0"/>
                <w:iCs w:val="0"/>
                <w:color w:val="000000"/>
                <w:sz w:val="15"/>
                <w:szCs w:val="15"/>
                <w:u w:val="none"/>
                <w:lang w:eastAsia="zh-TW"/>
              </w:rPr>
            </w:pPr>
            <w:r>
              <w:rPr>
                <w:rFonts w:hint="eastAsia" w:ascii="微软雅黑" w:hAnsi="微软雅黑" w:eastAsia="微软雅黑" w:cs="微软雅黑"/>
                <w:b/>
                <w:bCs/>
                <w:i w:val="0"/>
                <w:iCs w:val="0"/>
                <w:color w:val="000000"/>
                <w:sz w:val="15"/>
                <w:szCs w:val="15"/>
                <w:u w:val="none"/>
                <w:lang w:val="en-US" w:eastAsia="zh-CN"/>
              </w:rPr>
              <w:t>投资</w:t>
            </w:r>
            <w:r>
              <w:rPr>
                <w:rFonts w:hint="eastAsia" w:ascii="微软雅黑" w:hAnsi="微软雅黑" w:eastAsia="微软雅黑" w:cs="微软雅黑"/>
                <w:b/>
                <w:bCs/>
                <w:i w:val="0"/>
                <w:iCs w:val="0"/>
                <w:color w:val="000000"/>
                <w:sz w:val="15"/>
                <w:szCs w:val="15"/>
                <w:u w:val="none"/>
                <w:lang w:val="en-US" w:eastAsia="zh-TW"/>
              </w:rPr>
              <w:t>要点</w:t>
            </w:r>
          </w:p>
        </w:tc>
      </w:tr>
      <w:tr w14:paraId="09B1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7C7C5F89">
            <w:pPr>
              <w:jc w:val="both"/>
              <w:rPr>
                <w:rFonts w:hint="eastAsia" w:ascii="微软雅黑" w:hAnsi="微软雅黑" w:eastAsia="微软雅黑" w:cs="微软雅黑"/>
                <w:i w:val="0"/>
                <w:iCs w:val="0"/>
                <w:color w:val="000000"/>
                <w:sz w:val="15"/>
                <w:szCs w:val="15"/>
                <w:u w:val="none"/>
              </w:rPr>
            </w:pPr>
            <w:bookmarkStart w:id="20" w:name="投资逻辑" w:colFirst="0" w:colLast="0"/>
            <w:r>
              <w:rPr>
                <w:rFonts w:ascii="微软雅黑" w:hAnsi="微软雅黑" w:eastAsia="微软雅黑" w:cs="微软雅黑"/>
              </w:rPr>
              <w:t>见附件</w:t>
            </w:r>
          </w:p>
        </w:tc>
      </w:tr>
      <w:bookmarkEnd w:id="20"/>
      <w:tr w14:paraId="6870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4979A">
            <w:pPr>
              <w:keepNext w:val="0"/>
              <w:keepLines w:val="0"/>
              <w:widowControl/>
              <w:suppressLineNumbers w:val="0"/>
              <w:jc w:val="left"/>
              <w:textAlignment w:val="center"/>
              <w:rPr>
                <w:rFonts w:hint="eastAsia" w:ascii="Arial Unicode MS" w:hAnsi="Arial Unicode MS" w:eastAsia="Arial Unicode MS" w:cs="Arial Unicode MS"/>
                <w:b/>
                <w:bCs/>
                <w:i w:val="0"/>
                <w:iCs w:val="0"/>
                <w:color w:val="000000"/>
                <w:sz w:val="15"/>
                <w:szCs w:val="15"/>
                <w:u w:val="none"/>
              </w:rPr>
            </w:pPr>
            <w:r>
              <w:rPr>
                <w:rFonts w:hint="eastAsia" w:ascii="微软雅黑" w:hAnsi="微软雅黑" w:eastAsia="微软雅黑" w:cs="微软雅黑"/>
                <w:b/>
                <w:bCs/>
                <w:i w:val="0"/>
                <w:iCs w:val="0"/>
                <w:color w:val="000000"/>
                <w:sz w:val="15"/>
                <w:szCs w:val="15"/>
                <w:u w:val="none"/>
                <w:lang w:val="en-US" w:eastAsia="zh-CN"/>
              </w:rPr>
              <w:t>正文部分</w:t>
            </w:r>
          </w:p>
        </w:tc>
      </w:tr>
      <w:tr w14:paraId="47179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363EE3ED">
            <w:pPr>
              <w:jc w:val="both"/>
              <w:rPr>
                <w:rFonts w:hint="eastAsia" w:ascii="微软雅黑" w:hAnsi="微软雅黑" w:eastAsia="微软雅黑" w:cs="微软雅黑"/>
                <w:i w:val="0"/>
                <w:iCs w:val="0"/>
                <w:color w:val="000000"/>
                <w:sz w:val="15"/>
                <w:szCs w:val="15"/>
                <w:u w:val="none"/>
              </w:rPr>
            </w:pPr>
            <w:bookmarkStart w:id="21" w:name="正文" w:colFirst="0" w:colLast="0"/>
            <w:r>
              <w:rPr>
                <w:rFonts w:ascii="微软雅黑" w:hAnsi="微软雅黑" w:eastAsia="微软雅黑" w:cs="微软雅黑"/>
              </w:rPr>
              <w:t>见附件</w:t>
            </w:r>
          </w:p>
        </w:tc>
      </w:tr>
      <w:bookmarkEnd w:id="21"/>
    </w:tbl>
    <w:p w14:paraId="39F5FEF2">
      <w:pPr>
        <w:rPr>
          <w:rFonts w:hint="eastAsia" w:ascii="微软雅黑" w:hAnsi="微软雅黑" w:eastAsia="微软雅黑" w:cs="微软雅黑"/>
          <w:color w:val="808080" w:themeColor="background1" w:themeShade="80"/>
          <w:sz w:val="20"/>
          <w:szCs w:val="20"/>
        </w:rPr>
        <w:sectPr>
          <w:head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ABDC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lang w:eastAsia="zh-CN"/>
        </w:rPr>
      </w:pPr>
      <w:r>
        <w:rPr>
          <w:rFonts w:hint="eastAsia" w:ascii="微软雅黑" w:hAnsi="微软雅黑" w:eastAsia="微软雅黑" w:cs="微软雅黑"/>
          <w:i w:val="0"/>
          <w:iCs w:val="0"/>
          <w:caps w:val="0"/>
          <w:color w:val="4B4A48"/>
          <w:spacing w:val="0"/>
          <w:sz w:val="24"/>
          <w:szCs w:val="24"/>
          <w:shd w:val="clear" w:fill="FFFFFF"/>
        </w:rPr>
        <w:t>报告评级对应的预期收益率</w:t>
      </w:r>
      <w:r>
        <w:rPr>
          <w:rFonts w:hint="eastAsia" w:ascii="微软雅黑" w:hAnsi="微软雅黑" w:eastAsia="微软雅黑" w:cs="微软雅黑"/>
          <w:i w:val="0"/>
          <w:iCs w:val="0"/>
          <w:caps w:val="0"/>
          <w:color w:val="4B4A48"/>
          <w:spacing w:val="0"/>
          <w:sz w:val="24"/>
          <w:szCs w:val="24"/>
          <w:shd w:val="clear" w:fill="FFFFFF"/>
          <w:lang w:eastAsia="zh-CN"/>
        </w:rPr>
        <w:t>（</w:t>
      </w:r>
      <w:r>
        <w:rPr>
          <w:rFonts w:hint="eastAsia" w:ascii="微软雅黑" w:hAnsi="微软雅黑" w:eastAsia="微软雅黑" w:cs="微软雅黑"/>
          <w:i w:val="0"/>
          <w:iCs w:val="0"/>
          <w:caps w:val="0"/>
          <w:color w:val="4B4A48"/>
          <w:spacing w:val="0"/>
          <w:sz w:val="24"/>
          <w:szCs w:val="24"/>
          <w:shd w:val="clear" w:fill="FFFFFF"/>
          <w:lang w:val="en-US" w:eastAsia="zh-CN"/>
        </w:rPr>
        <w:t>9个月</w:t>
      </w:r>
      <w:r>
        <w:rPr>
          <w:rFonts w:hint="eastAsia" w:ascii="微软雅黑" w:hAnsi="微软雅黑" w:eastAsia="微软雅黑" w:cs="微软雅黑"/>
          <w:i w:val="0"/>
          <w:iCs w:val="0"/>
          <w:caps w:val="0"/>
          <w:color w:val="4B4A48"/>
          <w:spacing w:val="0"/>
          <w:sz w:val="24"/>
          <w:szCs w:val="24"/>
          <w:shd w:val="clear" w:fill="FFFFFF"/>
          <w:lang w:eastAsia="zh-CN"/>
        </w:rPr>
        <w:t>）：</w:t>
      </w:r>
    </w:p>
    <w:p w14:paraId="2CD1354D">
      <w:pPr>
        <w:rPr>
          <w:rFonts w:hint="eastAsia" w:ascii="微软雅黑" w:hAnsi="微软雅黑" w:eastAsia="微软雅黑" w:cs="微软雅黑"/>
          <w:color w:val="44546A" w:themeColor="text2"/>
          <w:sz w:val="18"/>
          <w:szCs w:val="18"/>
          <w:lang w:val="en-US" w:eastAsia="zh-CN"/>
          <w14:textFill>
            <w14:solidFill>
              <w14:schemeClr w14:val="tx2"/>
            </w14:solidFill>
          </w14:textFill>
        </w:rPr>
      </w:pPr>
      <w:r>
        <w:rPr>
          <w:rFonts w:hint="eastAsia" w:ascii="微软雅黑" w:hAnsi="微软雅黑" w:eastAsia="微软雅黑" w:cs="微软雅黑"/>
          <w:color w:val="808080" w:themeColor="background1" w:themeShade="80"/>
          <w:sz w:val="18"/>
          <w:szCs w:val="18"/>
          <w:lang w:val="en-US" w:eastAsia="zh-CN"/>
        </w:rPr>
        <w:t>请根据股票评级给出</w:t>
      </w:r>
      <w:r>
        <w:rPr>
          <w:rFonts w:hint="eastAsia" w:ascii="微软雅黑" w:hAnsi="微软雅黑" w:eastAsia="微软雅黑" w:cs="微软雅黑"/>
          <w:color w:val="808080" w:themeColor="background1" w:themeShade="80"/>
          <w:sz w:val="18"/>
          <w:szCs w:val="18"/>
          <w:lang w:eastAsia="zh-CN"/>
        </w:rPr>
        <w:t>预期收益率，</w:t>
      </w:r>
      <w:r>
        <w:rPr>
          <w:rFonts w:hint="eastAsia" w:ascii="微软雅黑" w:hAnsi="微软雅黑" w:eastAsia="微软雅黑" w:cs="微软雅黑"/>
          <w:color w:val="808080" w:themeColor="background1" w:themeShade="80"/>
          <w:sz w:val="18"/>
          <w:szCs w:val="18"/>
          <w:lang w:val="en-US" w:eastAsia="zh-CN"/>
        </w:rPr>
        <w:t>给出的预期收益率不可低于评级范围的下限</w:t>
      </w:r>
    </w:p>
    <w:p w14:paraId="62A4B030">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强烈买入（50%以上）</w:t>
      </w:r>
    </w:p>
    <w:p w14:paraId="780EEA6A">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买入（10%</w:t>
      </w:r>
      <w:r>
        <w:rPr>
          <w:rFonts w:hint="eastAsia" w:ascii="微软雅黑" w:hAnsi="微软雅黑" w:eastAsia="微软雅黑" w:cs="微软雅黑"/>
          <w:color w:val="808080" w:themeColor="background1" w:themeShade="80"/>
          <w:sz w:val="18"/>
          <w:szCs w:val="18"/>
          <w:lang w:val="en-US" w:eastAsia="zh-CN"/>
        </w:rPr>
        <w:t>~50%</w:t>
      </w:r>
      <w:r>
        <w:rPr>
          <w:rFonts w:hint="eastAsia" w:ascii="微软雅黑" w:hAnsi="微软雅黑" w:eastAsia="微软雅黑" w:cs="微软雅黑"/>
          <w:color w:val="808080" w:themeColor="background1" w:themeShade="80"/>
          <w:sz w:val="18"/>
          <w:szCs w:val="18"/>
        </w:rPr>
        <w:t>）</w:t>
      </w:r>
    </w:p>
    <w:p w14:paraId="32F00FDF">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持有（</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p>
    <w:p w14:paraId="4B4BDB7B">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卖出（-</w:t>
      </w:r>
      <w:r>
        <w:rPr>
          <w:rFonts w:hint="eastAsia" w:ascii="微软雅黑" w:hAnsi="微软雅黑" w:eastAsia="微软雅黑" w:cs="微软雅黑"/>
          <w:color w:val="808080" w:themeColor="background1" w:themeShade="80"/>
          <w:sz w:val="18"/>
          <w:szCs w:val="18"/>
          <w:lang w:val="en-US" w:eastAsia="zh-CN"/>
        </w:rPr>
        <w:t>5</w:t>
      </w:r>
      <w:r>
        <w:rPr>
          <w:rFonts w:hint="eastAsia" w:ascii="微软雅黑" w:hAnsi="微软雅黑" w:eastAsia="微软雅黑" w:cs="微软雅黑"/>
          <w:color w:val="808080" w:themeColor="background1" w:themeShade="80"/>
          <w:sz w:val="18"/>
          <w:szCs w:val="18"/>
        </w:rPr>
        <w:t>0%</w:t>
      </w:r>
      <w:r>
        <w:rPr>
          <w:rFonts w:hint="eastAsia" w:ascii="微软雅黑" w:hAnsi="微软雅黑" w:eastAsia="微软雅黑" w:cs="微软雅黑"/>
          <w:color w:val="808080" w:themeColor="background1" w:themeShade="80"/>
          <w:sz w:val="18"/>
          <w:szCs w:val="18"/>
          <w:lang w:val="en-US" w:eastAsia="zh-CN"/>
        </w:rPr>
        <w:t>~-10%</w:t>
      </w:r>
      <w:r>
        <w:rPr>
          <w:rFonts w:hint="eastAsia" w:ascii="微软雅黑" w:hAnsi="微软雅黑" w:eastAsia="微软雅黑" w:cs="微软雅黑"/>
          <w:color w:val="808080" w:themeColor="background1" w:themeShade="80"/>
          <w:sz w:val="18"/>
          <w:szCs w:val="18"/>
        </w:rPr>
        <w:t>）</w:t>
      </w:r>
    </w:p>
    <w:p w14:paraId="49366263">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lang w:eastAsia="zh-CN"/>
        </w:rPr>
      </w:pPr>
      <w:r>
        <w:rPr>
          <w:rFonts w:hint="eastAsia" w:ascii="微软雅黑" w:hAnsi="微软雅黑" w:eastAsia="微软雅黑" w:cs="微软雅黑"/>
          <w:color w:val="808080" w:themeColor="background1" w:themeShade="80"/>
          <w:sz w:val="18"/>
          <w:szCs w:val="18"/>
        </w:rPr>
        <w:t>强烈卖出</w:t>
      </w:r>
      <w:r>
        <w:rPr>
          <w:rFonts w:hint="eastAsia" w:ascii="微软雅黑" w:hAnsi="微软雅黑" w:eastAsia="微软雅黑" w:cs="微软雅黑"/>
          <w:color w:val="808080" w:themeColor="background1" w:themeShade="80"/>
          <w:sz w:val="18"/>
          <w:szCs w:val="18"/>
          <w:lang w:eastAsia="zh-CN"/>
        </w:rPr>
        <w:t>（</w:t>
      </w:r>
      <w:r>
        <w:rPr>
          <w:rFonts w:hint="eastAsia" w:ascii="微软雅黑" w:hAnsi="微软雅黑" w:eastAsia="微软雅黑" w:cs="微软雅黑"/>
          <w:color w:val="808080" w:themeColor="background1" w:themeShade="80"/>
          <w:sz w:val="18"/>
          <w:szCs w:val="18"/>
          <w:lang w:val="en-US" w:eastAsia="zh-CN"/>
        </w:rPr>
        <w:t>-50%以下</w:t>
      </w:r>
      <w:r>
        <w:rPr>
          <w:rFonts w:hint="eastAsia" w:ascii="微软雅黑" w:hAnsi="微软雅黑" w:eastAsia="微软雅黑" w:cs="微软雅黑"/>
          <w:color w:val="808080" w:themeColor="background1" w:themeShade="80"/>
          <w:sz w:val="18"/>
          <w:szCs w:val="18"/>
          <w:lang w:eastAsia="zh-CN"/>
        </w:rPr>
        <w:t>）</w:t>
      </w:r>
    </w:p>
    <w:p w14:paraId="7F42D26F">
      <w:pPr>
        <w:rPr>
          <w:rFonts w:hint="eastAsia" w:ascii="微软雅黑" w:hAnsi="微软雅黑" w:eastAsia="微软雅黑" w:cs="微软雅黑"/>
          <w:color w:val="808080" w:themeColor="background1" w:themeShade="80"/>
          <w:sz w:val="20"/>
          <w:szCs w:val="20"/>
        </w:rPr>
      </w:pPr>
    </w:p>
    <w:p w14:paraId="23B55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rPr>
      </w:pPr>
      <w:r>
        <w:rPr>
          <w:rFonts w:hint="eastAsia" w:ascii="微软雅黑" w:hAnsi="微软雅黑" w:eastAsia="微软雅黑" w:cs="微软雅黑"/>
          <w:i w:val="0"/>
          <w:iCs w:val="0"/>
          <w:caps w:val="0"/>
          <w:color w:val="4B4A48"/>
          <w:spacing w:val="0"/>
          <w:sz w:val="24"/>
          <w:szCs w:val="24"/>
          <w:shd w:val="clear" w:fill="FFFFFF"/>
        </w:rPr>
        <w:t>重要声明</w:t>
      </w:r>
    </w:p>
    <w:p w14:paraId="206E1BFF">
      <w:pPr>
        <w:ind w:firstLine="360" w:firstLineChars="20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本报告由博时基金管理有限公司（博时基金）编制。本报告中的信息来源于公开资料，公司对该等信息的准确性和完整性不作任何保证。报告中的信息、观点等仅供参考，在任何情况下不构成对任何人的投资建议，亦不构成我司的实际投资结果。取得本报告的机构或人员应对本报告中的信息和观点进行独立评估，自主审慎做出决策并自行承担风险。博时基金及/或其关联人员均不承担任何责任。本报告版权均归博时基金管理有限公司所有，且该报告为公司商业秘密，未经授权，任何机构或个人不得以任何形式复制、转发或公开传播本报告的全部或部分内容。</w:t>
      </w:r>
    </w:p>
    <w:p w14:paraId="367E1ACC">
      <w:pPr>
        <w:rPr>
          <w:rFonts w:ascii="微软雅黑" w:hAnsi="微软雅黑" w:eastAsia="微软雅黑" w:cs="微软雅黑"/>
          <w:b/>
          <w:bCs/>
          <w:i w:val="0"/>
          <w:iCs w:val="0"/>
          <w:caps w:val="0"/>
          <w:color w:val="606266"/>
          <w:spacing w:val="0"/>
          <w:sz w:val="21"/>
          <w:szCs w:val="21"/>
          <w:shd w:val="clear" w:fill="FFFFFF"/>
        </w:rPr>
      </w:pPr>
      <w:r>
        <w:rPr>
          <w:rFonts w:ascii="微软雅黑" w:hAnsi="微软雅黑" w:eastAsia="微软雅黑" w:cs="微软雅黑"/>
          <w:b/>
          <w:bCs/>
          <w:i w:val="0"/>
          <w:iCs w:val="0"/>
          <w:caps w:val="0"/>
          <w:color w:val="606266"/>
          <w:spacing w:val="0"/>
          <w:sz w:val="21"/>
          <w:szCs w:val="21"/>
          <w:shd w:val="clear" w:fill="FFFFFF"/>
        </w:rPr>
        <w:t>Disclaimer</w:t>
      </w:r>
    </w:p>
    <w:p w14:paraId="1E5BA716">
      <w:pPr>
        <w:ind w:firstLine="360" w:firstLineChars="200"/>
        <w:rPr>
          <w:rFonts w:hint="eastAsia" w:ascii="微软雅黑" w:hAnsi="微软雅黑" w:eastAsia="微软雅黑" w:cs="微软雅黑"/>
          <w:color w:val="808080" w:themeColor="background1" w:themeShade="80"/>
          <w:sz w:val="20"/>
          <w:szCs w:val="20"/>
        </w:rPr>
      </w:pPr>
      <w:r>
        <w:rPr>
          <w:rFonts w:hint="eastAsia" w:ascii="微软雅黑" w:hAnsi="微软雅黑" w:eastAsia="微软雅黑" w:cs="微软雅黑"/>
          <w:b w:val="0"/>
          <w:bCs w:val="0"/>
          <w:i w:val="0"/>
          <w:iCs w:val="0"/>
          <w:caps w:val="0"/>
          <w:color w:val="606266"/>
          <w:spacing w:val="0"/>
          <w:sz w:val="18"/>
          <w:szCs w:val="18"/>
          <w:shd w:val="clear" w:fill="FFFFFF"/>
        </w:rPr>
        <w:t>This report has been produced by Bosera Asset Management Co., Limited (“Bosera”). This report is based on information available to the public that we consider reliable, but Bosera do not represent that it is accurate or complete. The information and opinions contained herein are for reference only and are not an offer to buy or sell any securities/financial products or to participate in any particular trading strategy. Under no circumstances shall the information contained herein or the opinions expressed herein constitute a personal recommendation to anyone. Institution or person who obtained this report should make their own independent evaluation of the information contained in this report. Neither Bosera nor its related persons shall be liable in any manner whatsoever for any consequences of any reliance thereon or usage thereof. This report is distributed by Bosera Asset Management Co., Limited (“Bosera”). Any organization or individual may not copy, forward or publicly distribute all or part of this report in any form without authorisation.</w:t>
      </w:r>
    </w:p>
    <w:p w14:paraId="2C5BA1FB">
      <w:pPr>
        <w:ind w:firstLine="400" w:firstLineChars="200"/>
        <w:rPr>
          <w:rFonts w:hint="eastAsia" w:ascii="微软雅黑" w:hAnsi="微软雅黑" w:eastAsia="微软雅黑" w:cs="微软雅黑"/>
          <w:color w:val="808080" w:themeColor="background1" w:themeShade="80"/>
          <w:sz w:val="20"/>
          <w:szCs w:val="20"/>
        </w:rPr>
      </w:pPr>
    </w:p>
    <w:p w14:paraId="22AC6C72">
      <w:pPr>
        <w:ind w:firstLine="400" w:firstLineChars="200"/>
        <w:rPr>
          <w:rFonts w:hint="eastAsia" w:ascii="微软雅黑" w:hAnsi="微软雅黑" w:eastAsia="微软雅黑" w:cs="微软雅黑"/>
          <w:color w:val="808080" w:themeColor="background1" w:themeShade="80"/>
          <w:sz w:val="20"/>
          <w:szCs w:val="20"/>
        </w:rPr>
      </w:pPr>
    </w:p>
    <w:p w14:paraId="375EBBD0">
      <w:pPr>
        <w:ind w:firstLine="400" w:firstLineChars="200"/>
        <w:rPr>
          <w:rFonts w:hint="eastAsia" w:ascii="微软雅黑" w:hAnsi="微软雅黑" w:eastAsia="微软雅黑" w:cs="微软雅黑"/>
          <w:color w:val="808080" w:themeColor="background1" w:themeShade="80"/>
          <w:sz w:val="20"/>
          <w:szCs w:val="20"/>
        </w:rPr>
      </w:pPr>
    </w:p>
    <w:p w14:paraId="1EBC4ABF">
      <w:pPr>
        <w:ind w:firstLine="400" w:firstLineChars="200"/>
        <w:rPr>
          <w:rFonts w:hint="eastAsia" w:ascii="微软雅黑" w:hAnsi="微软雅黑" w:eastAsia="微软雅黑" w:cs="微软雅黑"/>
          <w:color w:val="808080" w:themeColor="background1" w:themeShade="80"/>
          <w:sz w:val="20"/>
          <w:szCs w:val="20"/>
        </w:rPr>
      </w:pPr>
    </w:p>
    <w:p w14:paraId="50E5BFF2">
      <w:pPr>
        <w:ind w:firstLine="400" w:firstLineChars="200"/>
        <w:rPr>
          <w:rFonts w:hint="eastAsia" w:ascii="微软雅黑" w:hAnsi="微软雅黑" w:eastAsia="微软雅黑" w:cs="微软雅黑"/>
          <w:color w:val="808080" w:themeColor="background1" w:themeShade="80"/>
          <w:sz w:val="20"/>
          <w:szCs w:val="20"/>
        </w:rPr>
      </w:pPr>
    </w:p>
    <w:p w14:paraId="40951D94">
      <w:pPr>
        <w:ind w:firstLine="400" w:firstLineChars="200"/>
        <w:rPr>
          <w:rFonts w:hint="eastAsia" w:ascii="微软雅黑" w:hAnsi="微软雅黑" w:eastAsia="微软雅黑" w:cs="微软雅黑"/>
          <w:color w:val="808080" w:themeColor="background1" w:themeShade="80"/>
          <w:sz w:val="20"/>
          <w:szCs w:val="20"/>
        </w:rPr>
      </w:pPr>
    </w:p>
    <w:p w14:paraId="0B406201">
      <w:pPr>
        <w:ind w:firstLine="400" w:firstLineChars="200"/>
        <w:rPr>
          <w:rFonts w:hint="eastAsia" w:ascii="微软雅黑" w:hAnsi="微软雅黑" w:eastAsia="微软雅黑" w:cs="微软雅黑"/>
          <w:color w:val="808080" w:themeColor="background1" w:themeShade="80"/>
          <w:sz w:val="20"/>
          <w:szCs w:val="20"/>
        </w:rPr>
      </w:pPr>
    </w:p>
    <w:p w14:paraId="199A5A08">
      <w:pPr>
        <w:ind w:firstLine="400" w:firstLineChars="200"/>
        <w:rPr>
          <w:rFonts w:hint="eastAsia" w:ascii="微软雅黑" w:hAnsi="微软雅黑" w:eastAsia="微软雅黑" w:cs="微软雅黑"/>
          <w:color w:val="808080" w:themeColor="background1" w:themeShade="80"/>
          <w:sz w:val="20"/>
          <w:szCs w:val="20"/>
        </w:rPr>
      </w:pPr>
    </w:p>
    <w:p w14:paraId="3EAE6CFA">
      <w:pPr>
        <w:ind w:firstLine="400" w:firstLineChars="200"/>
        <w:rPr>
          <w:rFonts w:hint="eastAsia" w:ascii="微软雅黑" w:hAnsi="微软雅黑" w:eastAsia="微软雅黑" w:cs="微软雅黑"/>
          <w:color w:val="808080" w:themeColor="background1" w:themeShade="80"/>
          <w:sz w:val="20"/>
          <w:szCs w:val="20"/>
        </w:rPr>
      </w:pPr>
    </w:p>
    <w:p w14:paraId="76C97CA3"/>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BBA48">
    <w:pPr>
      <w:pStyle w:val="4"/>
      <w:rPr>
        <w:rFonts w:hint="eastAsia" w:ascii="黑体" w:hAnsi="黑体" w:eastAsia="黑体"/>
        <w:color w:val="FF0000"/>
        <w:sz w:val="15"/>
        <w:szCs w:val="15"/>
      </w:rPr>
    </w:pPr>
  </w:p>
  <w:p w14:paraId="43F25F8B">
    <w:pPr>
      <w:pStyle w:val="4"/>
    </w:pPr>
    <w:r>
      <w:rPr>
        <w:rFonts w:hint="default" w:ascii="黑体" w:hAnsi="黑体" w:eastAsia="黑体"/>
        <w:color w:val="FF0000"/>
        <w:sz w:val="13"/>
        <w:szCs w:val="13"/>
        <w:lang w:val="en-US" w:eastAsia="zh-CN"/>
      </w:rPr>
      <w:t>博时基金内部</w:t>
    </w:r>
  </w:p>
  <w:p w14:paraId="667149A4">
    <w:pPr>
      <w:pStyle w:val="4"/>
    </w:pPr>
    <w:r>
      <w:rPr>
        <w:rFonts w:hint="eastAsia" w:ascii="黑体" w:hAnsi="黑体" w:eastAsia="黑体"/>
        <w:color w:val="FF0000"/>
        <w:sz w:val="13"/>
        <w:szCs w:val="13"/>
        <w:lang w:eastAsia="zh-CN"/>
      </w:rPr>
      <w:t>内部资料，严禁以任何形式外发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3BAC5"/>
    <w:multiLevelType w:val="singleLevel"/>
    <w:tmpl w:val="4AD3BAC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9E6DCC"/>
    <w:rsid w:val="042B546D"/>
    <w:rsid w:val="0C630610"/>
    <w:rsid w:val="10054457"/>
    <w:rsid w:val="11D91E11"/>
    <w:rsid w:val="15CB025E"/>
    <w:rsid w:val="16E4330B"/>
    <w:rsid w:val="17AB7891"/>
    <w:rsid w:val="1849118F"/>
    <w:rsid w:val="185A3823"/>
    <w:rsid w:val="19F608D3"/>
    <w:rsid w:val="1A2E74A7"/>
    <w:rsid w:val="1A980DEB"/>
    <w:rsid w:val="1AA06D71"/>
    <w:rsid w:val="1B9A7D02"/>
    <w:rsid w:val="1DAC29C4"/>
    <w:rsid w:val="1E1D08CD"/>
    <w:rsid w:val="1F2917BE"/>
    <w:rsid w:val="1F900288"/>
    <w:rsid w:val="20E4496A"/>
    <w:rsid w:val="22644917"/>
    <w:rsid w:val="229E3895"/>
    <w:rsid w:val="240D37EF"/>
    <w:rsid w:val="25257879"/>
    <w:rsid w:val="267D2CF3"/>
    <w:rsid w:val="2B841891"/>
    <w:rsid w:val="2EAF61D1"/>
    <w:rsid w:val="2EB246E5"/>
    <w:rsid w:val="312B436A"/>
    <w:rsid w:val="3256265D"/>
    <w:rsid w:val="33146A1F"/>
    <w:rsid w:val="35933BA3"/>
    <w:rsid w:val="3BE12CF0"/>
    <w:rsid w:val="3EBB6D81"/>
    <w:rsid w:val="3FFE708C"/>
    <w:rsid w:val="4403255B"/>
    <w:rsid w:val="440A0DFD"/>
    <w:rsid w:val="481028EF"/>
    <w:rsid w:val="48444E3E"/>
    <w:rsid w:val="4C07329C"/>
    <w:rsid w:val="4DCE0537"/>
    <w:rsid w:val="4F0A49F1"/>
    <w:rsid w:val="517107F5"/>
    <w:rsid w:val="542E5ED7"/>
    <w:rsid w:val="544B1D99"/>
    <w:rsid w:val="561828FD"/>
    <w:rsid w:val="5ACF37ED"/>
    <w:rsid w:val="5CB0049F"/>
    <w:rsid w:val="5DE26666"/>
    <w:rsid w:val="5F28ADE4"/>
    <w:rsid w:val="600A0FE7"/>
    <w:rsid w:val="609472C8"/>
    <w:rsid w:val="60EE2C3D"/>
    <w:rsid w:val="62A9767F"/>
    <w:rsid w:val="65915055"/>
    <w:rsid w:val="6AF55AB3"/>
    <w:rsid w:val="6B874DA8"/>
    <w:rsid w:val="6D2300B2"/>
    <w:rsid w:val="6DD57BDE"/>
    <w:rsid w:val="6DFFC0FE"/>
    <w:rsid w:val="6E090BD8"/>
    <w:rsid w:val="6FF63393"/>
    <w:rsid w:val="702D2468"/>
    <w:rsid w:val="73D4378B"/>
    <w:rsid w:val="755810B1"/>
    <w:rsid w:val="75722D85"/>
    <w:rsid w:val="75D24577"/>
    <w:rsid w:val="761E54F1"/>
    <w:rsid w:val="762F6FCD"/>
    <w:rsid w:val="77BFB76E"/>
    <w:rsid w:val="7990566B"/>
    <w:rsid w:val="7AE01111"/>
    <w:rsid w:val="7B514346"/>
    <w:rsid w:val="7D143A7A"/>
    <w:rsid w:val="7D596445"/>
    <w:rsid w:val="7D6E3139"/>
    <w:rsid w:val="BC5F93B1"/>
    <w:rsid w:val="DFDDCE82"/>
    <w:rsid w:val="EBBDCB6F"/>
    <w:rsid w:val="F99F24B2"/>
    <w:rsid w:val="FBBF0D8D"/>
    <w:rsid w:val="FC65A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样式1"/>
    <w:basedOn w:val="1"/>
    <w:link w:val="9"/>
    <w:qFormat/>
    <w:uiPriority w:val="0"/>
    <w:rPr>
      <w:rFonts w:eastAsia="Arial Unicode MS" w:asciiTheme="minorAscii" w:hAnsiTheme="minorAscii"/>
      <w:sz w:val="15"/>
    </w:rPr>
  </w:style>
  <w:style w:type="character" w:customStyle="1" w:styleId="9">
    <w:name w:val="样式1 Char"/>
    <w:link w:val="8"/>
    <w:qFormat/>
    <w:uiPriority w:val="0"/>
    <w:rPr>
      <w:rFonts w:eastAsia="Arial Unicode MS" w:asciiTheme="minorAscii" w:hAnsiTheme="minorAscii"/>
      <w:sz w:val="15"/>
    </w:rPr>
  </w:style>
  <w:style w:type="paragraph" w:customStyle="1" w:styleId="10">
    <w:name w:val="样式2"/>
    <w:basedOn w:val="1"/>
    <w:link w:val="11"/>
    <w:qFormat/>
    <w:uiPriority w:val="0"/>
    <w:rPr>
      <w:rFonts w:eastAsia="Arial Unicode MS" w:asciiTheme="minorAscii" w:hAnsiTheme="minorAscii"/>
      <w:sz w:val="15"/>
    </w:rPr>
  </w:style>
  <w:style w:type="character" w:customStyle="1" w:styleId="11">
    <w:name w:val="样式2 Char"/>
    <w:link w:val="10"/>
    <w:qFormat/>
    <w:uiPriority w:val="0"/>
    <w:rPr>
      <w:rFonts w:eastAsia="Arial Unicode MS" w:asciiTheme="minorAscii" w:hAnsiTheme="minorAscii"/>
      <w:sz w:val="15"/>
    </w:rPr>
  </w:style>
  <w:style w:type="paragraph" w:customStyle="1" w:styleId="12">
    <w:name w:val="样式3"/>
    <w:basedOn w:val="1"/>
    <w:link w:val="13"/>
    <w:qFormat/>
    <w:uiPriority w:val="0"/>
    <w:rPr>
      <w:rFonts w:eastAsia="Arial Unicode MS" w:asciiTheme="minorAscii" w:hAnsiTheme="minorAscii"/>
      <w:sz w:val="15"/>
    </w:rPr>
  </w:style>
  <w:style w:type="character" w:customStyle="1" w:styleId="13">
    <w:name w:val="样式3 Char"/>
    <w:link w:val="12"/>
    <w:qFormat/>
    <w:uiPriority w:val="0"/>
    <w:rPr>
      <w:rFonts w:eastAsia="Arial Unicode MS" w:asciiTheme="minorAscii" w:hAnsiTheme="minorAscii"/>
      <w:sz w:val="15"/>
    </w:rPr>
  </w:style>
  <w:style w:type="paragraph" w:customStyle="1" w:styleId="14">
    <w:name w:val="样式4"/>
    <w:basedOn w:val="1"/>
    <w:link w:val="15"/>
    <w:qFormat/>
    <w:uiPriority w:val="0"/>
    <w:rPr>
      <w:rFonts w:eastAsia="Arial Unicode MS" w:asciiTheme="minorAscii" w:hAnsiTheme="minorAscii"/>
      <w:sz w:val="13"/>
    </w:rPr>
  </w:style>
  <w:style w:type="character" w:customStyle="1" w:styleId="15">
    <w:name w:val="样式4 Char"/>
    <w:link w:val="14"/>
    <w:qFormat/>
    <w:uiPriority w:val="0"/>
    <w:rPr>
      <w:rFonts w:eastAsia="Arial Unicode MS" w:asciiTheme="minorAscii" w:hAnsiTheme="minorAscii"/>
      <w:sz w:val="13"/>
    </w:rPr>
  </w:style>
  <w:style w:type="paragraph" w:customStyle="1" w:styleId="16">
    <w:name w:val="样式5"/>
    <w:basedOn w:val="1"/>
    <w:link w:val="17"/>
    <w:qFormat/>
    <w:uiPriority w:val="0"/>
    <w:rPr>
      <w:rFonts w:eastAsia="Arial Unicode MS" w:asciiTheme="minorAscii" w:hAnsiTheme="minorAscii"/>
      <w:sz w:val="15"/>
    </w:rPr>
  </w:style>
  <w:style w:type="character" w:customStyle="1" w:styleId="17">
    <w:name w:val="样式5 Char"/>
    <w:link w:val="16"/>
    <w:qFormat/>
    <w:uiPriority w:val="0"/>
    <w:rPr>
      <w:rFonts w:eastAsia="Arial Unicode MS" w:asciiTheme="minorAscii" w:hAnsiTheme="minorAscii"/>
      <w:sz w:val="15"/>
    </w:rPr>
  </w:style>
  <w:style w:type="paragraph" w:customStyle="1" w:styleId="18">
    <w:name w:val="样式6"/>
    <w:basedOn w:val="1"/>
    <w:link w:val="19"/>
    <w:qFormat/>
    <w:uiPriority w:val="0"/>
    <w:rPr>
      <w:rFonts w:eastAsia="Arial Unicode MS" w:asciiTheme="minorAscii" w:hAnsiTheme="minorAscii"/>
      <w:sz w:val="15"/>
    </w:rPr>
  </w:style>
  <w:style w:type="character" w:customStyle="1" w:styleId="19">
    <w:name w:val="样式6 Char"/>
    <w:link w:val="18"/>
    <w:qFormat/>
    <w:uiPriority w:val="0"/>
    <w:rPr>
      <w:rFonts w:eastAsia="Arial Unicode MS" w:asciiTheme="minorAscii" w:hAnsiTheme="minorAscii"/>
      <w:sz w:val="15"/>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9291ec-e9dc-4608-a903-d1366562d724}"/>
        <w:style w:val=""/>
        <w:category>
          <w:name w:val="常规"/>
          <w:gallery w:val="placeholder"/>
        </w:category>
        <w:types>
          <w:type w:val="bbPlcHdr"/>
        </w:types>
        <w:behaviors>
          <w:behavior w:val="content"/>
        </w:behaviors>
        <w:description w:val=""/>
        <w:guid w:val="{c29291ec-e9dc-4608-a903-d1366562d724}"/>
      </w:docPartPr>
      <w:docPartBody>
        <w:p w14:paraId="51E57562">
          <w:r>
            <w:rPr>
              <w:color w:val="808080"/>
            </w:rPr>
            <w:t>选择一项。</w:t>
          </w:r>
        </w:p>
      </w:docPartBody>
    </w:docPart>
    <w:docPart>
      <w:docPartPr>
        <w:name w:val="{0daf061f-d72c-4e6a-bb21-74e9fcd2540c}"/>
        <w:style w:val=""/>
        <w:category>
          <w:name w:val="常规"/>
          <w:gallery w:val="placeholder"/>
        </w:category>
        <w:types>
          <w:type w:val="bbPlcHdr"/>
        </w:types>
        <w:behaviors>
          <w:behavior w:val="content"/>
        </w:behaviors>
        <w:description w:val=""/>
        <w:guid w:val="{0daf061f-d72c-4e6a-bb21-74e9fcd2540c}"/>
      </w:docPartPr>
      <w:docPartBody>
        <w:p w14:paraId="75C9E3F5">
          <w:r>
            <w:rPr>
              <w:color w:val="808080"/>
            </w:rPr>
            <w:t>单击此处输入文字。</w:t>
          </w:r>
        </w:p>
      </w:docPartBody>
    </w:docPart>
    <w:docPart>
      <w:docPartPr>
        <w:name w:val="{df61b350-aee6-47bd-944d-08e6078126c1}"/>
        <w:style w:val=""/>
        <w:category>
          <w:name w:val="常规"/>
          <w:gallery w:val="placeholder"/>
        </w:category>
        <w:types>
          <w:type w:val="bbPlcHdr"/>
        </w:types>
        <w:behaviors>
          <w:behavior w:val="content"/>
        </w:behaviors>
        <w:description w:val=""/>
        <w:guid w:val="{df61b350-aee6-47bd-944d-08e6078126c1}"/>
      </w:docPartPr>
      <w:docPartBody>
        <w:p w14:paraId="16C0C1F4">
          <w:r>
            <w:rPr>
              <w:color w:val="808080"/>
            </w:rPr>
            <w:t>单击此处输入日期。</w:t>
          </w:r>
        </w:p>
      </w:docPartBody>
    </w:docPart>
    <w:docPart>
      <w:docPartPr>
        <w:name w:val="{02a91e4c-c88b-425f-b53c-17349660d8d2}"/>
        <w:style w:val=""/>
        <w:category>
          <w:name w:val="常规"/>
          <w:gallery w:val="placeholder"/>
        </w:category>
        <w:types>
          <w:type w:val="bbPlcHdr"/>
        </w:types>
        <w:behaviors>
          <w:behavior w:val="content"/>
        </w:behaviors>
        <w:description w:val=""/>
        <w:guid w:val="{02a91e4c-c88b-425f-b53c-17349660d8d2}"/>
      </w:docPartPr>
      <w:docPartBody>
        <w:p w14:paraId="669A7B3D">
          <w:r>
            <w:rPr>
              <w:color w:val="808080"/>
            </w:rPr>
            <w:t>选择一项。</w:t>
          </w:r>
        </w:p>
      </w:docPartBody>
    </w:docPart>
    <w:docPart>
      <w:docPartPr>
        <w:name w:val="{54f684b5-99ba-4458-9b63-c98da7f6cfa6}"/>
        <w:style w:val=""/>
        <w:category>
          <w:name w:val="常规"/>
          <w:gallery w:val="placeholder"/>
        </w:category>
        <w:types>
          <w:type w:val="bbPlcHdr"/>
        </w:types>
        <w:behaviors>
          <w:behavior w:val="content"/>
        </w:behaviors>
        <w:description w:val=""/>
        <w:guid w:val="{54f684b5-99ba-4458-9b63-c98da7f6cfa6}"/>
      </w:docPartPr>
      <w:docPartBody>
        <w:p w14:paraId="16814FDE">
          <w:r>
            <w:rPr>
              <w:color w:val="808080"/>
            </w:rPr>
            <w:t>选择一项。</w:t>
          </w:r>
        </w:p>
      </w:docPartBody>
    </w:docPart>
    <w:docPart>
      <w:docPartPr>
        <w:name w:val="{5b90eca8-60e1-46ed-8f03-92f9c27e6e40}"/>
        <w:style w:val=""/>
        <w:category>
          <w:name w:val="常规"/>
          <w:gallery w:val="placeholder"/>
        </w:category>
        <w:types>
          <w:type w:val="bbPlcHdr"/>
        </w:types>
        <w:behaviors>
          <w:behavior w:val="content"/>
        </w:behaviors>
        <w:description w:val=""/>
        <w:guid w:val="{5b90eca8-60e1-46ed-8f03-92f9c27e6e40}"/>
      </w:docPartPr>
      <w:docPartBody>
        <w:p w14:paraId="0BBB260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1254</Words>
  <Characters>2312</Characters>
  <Lines>0</Lines>
  <Paragraphs>0</Paragraphs>
  <TotalTime>24</TotalTime>
  <ScaleCrop>false</ScaleCrop>
  <LinksUpToDate>false</LinksUpToDate>
  <CharactersWithSpaces>2571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2022-03-03T10:04:00Z</dcterms:created>
  <dc:creator>wanli</dc:creator>
  <cp:lastModifiedBy>shans739</cp:lastModifiedBy>
  <dcterms:modified xsi:type="dcterms:W3CDTF">2026-06-29T01:46:25Z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169A89A17C3441CCAAF764253CCD8B00_13</vt:lpwstr>
  </property>
  <property fmtid="{D5CDD505-2E9C-101B-9397-08002B2CF9AE}" pid="4" name="username">
    <vt:lpwstr>bsjj</vt:lpwstr>
  </property>
</Properties>
</file>