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威士忌故事兑现、业绩环比加速，消费风偏逆风压制估值，继续持有</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002568</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短期：业绩环比加速，基本面兑现中</w:t>
            </w:r>
          </w:p>
          <w:p>
            <w:r>
              <w:rPr>
                <w:rFonts w:ascii="微软雅黑" w:hAnsi="微软雅黑" w:eastAsia="微软雅黑" w:cs="微软雅黑"/>
                <w:b w:val="0"/>
                <w:sz w:val="18"/>
              </w:rPr>
              <w:t xml:space="preserve">1. </w:t>
            </w:r>
            <w:r>
              <w:rPr>
                <w:rFonts w:ascii="微软雅黑" w:hAnsi="微软雅黑" w:eastAsia="微软雅黑" w:cs="微软雅黑"/>
                <w:b/>
                <w:sz w:val="18"/>
              </w:rPr>
              <w:t>业绩小超预期</w:t>
            </w:r>
            <w:r>
              <w:rPr>
                <w:rFonts w:ascii="微软雅黑" w:hAnsi="微软雅黑" w:eastAsia="微软雅黑" w:cs="微软雅黑"/>
                <w:b w:val="0"/>
                <w:sz w:val="18"/>
              </w:rPr>
              <w:t>：H1 预告归母 +20% 左右（4.65–4.90 亿），Q1 营收 +8.5% 已转正、毛利率 70.3% 验证回升真实，威士忌也在落地，是从下滑过渡到基本面兑现、业绩环比加速的拐点。</w:t>
            </w:r>
          </w:p>
          <w:p>
            <w:r>
              <w:rPr>
                <w:rFonts w:ascii="微软雅黑" w:hAnsi="微软雅黑" w:eastAsia="微软雅黑" w:cs="微软雅黑"/>
                <w:b w:val="0"/>
                <w:sz w:val="18"/>
              </w:rPr>
              <w:t xml:space="preserve">2. </w:t>
            </w:r>
            <w:r>
              <w:rPr>
                <w:rFonts w:ascii="微软雅黑" w:hAnsi="微软雅黑" w:eastAsia="微软雅黑" w:cs="微软雅黑"/>
                <w:b/>
                <w:sz w:val="18"/>
              </w:rPr>
              <w:t>预调酒环比恢复</w:t>
            </w:r>
            <w:r>
              <w:rPr>
                <w:rFonts w:ascii="微软雅黑" w:hAnsi="微软雅黑" w:eastAsia="微软雅黑" w:cs="微软雅黑"/>
                <w:b w:val="0"/>
                <w:sz w:val="18"/>
              </w:rPr>
              <w:t>：去年 Q4 起在果冻酒基础上环比恢复，强爽见底、微醺恢复性增长、果冻酒 5000 万量级 Q2 可能更高；渠道库存从高点 2.4–2.8 个月降至 1.5 个月轻装上阵，主业修复趋势确立。</w:t>
            </w:r>
          </w:p>
          <w:p>
            <w:r>
              <w:rPr>
                <w:rFonts w:ascii="微软雅黑" w:hAnsi="微软雅黑" w:eastAsia="微软雅黑" w:cs="微软雅黑"/>
                <w:b w:val="0"/>
                <w:sz w:val="18"/>
              </w:rPr>
              <w:t xml:space="preserve">3. </w:t>
            </w:r>
            <w:r>
              <w:rPr>
                <w:rFonts w:ascii="微软雅黑" w:hAnsi="微软雅黑" w:eastAsia="微软雅黑" w:cs="微软雅黑"/>
                <w:b/>
                <w:sz w:val="18"/>
              </w:rPr>
              <w:t>威士忌故事在兑现</w:t>
            </w:r>
            <w:r>
              <w:rPr>
                <w:rFonts w:ascii="微软雅黑" w:hAnsi="微软雅黑" w:eastAsia="微软雅黑" w:cs="微软雅黑"/>
                <w:b w:val="0"/>
                <w:sz w:val="18"/>
              </w:rPr>
              <w:t>：2025 销售 2 亿多、2026 指引 3 亿以上，31 省铺市、8 万终端覆盖，方向不变；消费者培育周期长、经销商备货谨慎，利润率贡献逐步释放，是基本面兑现的主线。</w:t>
            </w:r>
          </w:p>
          <w:p/>
          <w:p>
            <w:r>
              <w:rPr>
                <w:rFonts w:ascii="微软雅黑" w:hAnsi="微软雅黑" w:eastAsia="微软雅黑" w:cs="微软雅黑"/>
                <w:b/>
                <w:sz w:val="18"/>
              </w:rPr>
              <w:t>中长期：基本面就是威士忌故事，在兑现</w:t>
            </w:r>
          </w:p>
          <w:p>
            <w:r>
              <w:rPr>
                <w:rFonts w:ascii="微软雅黑" w:hAnsi="微软雅黑" w:eastAsia="微软雅黑" w:cs="微软雅黑"/>
                <w:b w:val="0"/>
                <w:sz w:val="18"/>
              </w:rPr>
              <w:t xml:space="preserve">1. </w:t>
            </w:r>
            <w:r>
              <w:rPr>
                <w:rFonts w:ascii="微软雅黑" w:hAnsi="微软雅黑" w:eastAsia="微软雅黑" w:cs="微软雅黑"/>
                <w:b/>
                <w:sz w:val="18"/>
              </w:rPr>
              <w:t>威士忌是核心故事与真实壁垒</w:t>
            </w:r>
            <w:r>
              <w:rPr>
                <w:rFonts w:ascii="微软雅黑" w:hAnsi="微软雅黑" w:eastAsia="微软雅黑" w:cs="微软雅黑"/>
                <w:b w:val="0"/>
                <w:sz w:val="18"/>
              </w:rPr>
              <w:t>：储酒近 60 万桶国内第一、IWSC 98 分杰出金奖、崃州+百利得双品牌矩阵成型，是本土威士忌龙头候选；2025 已落地 2 亿多、2026 指引 3 亿以上，从储酒壁垒向利润率兑现推进，是支撑基本面与估值想象空间的主线，兑现需 3–5 年但路径清晰。</w:t>
            </w:r>
          </w:p>
          <w:p>
            <w:r>
              <w:rPr>
                <w:rFonts w:ascii="微软雅黑" w:hAnsi="微软雅黑" w:eastAsia="微软雅黑" w:cs="微软雅黑"/>
                <w:b w:val="0"/>
                <w:sz w:val="18"/>
              </w:rPr>
              <w:t xml:space="preserve">2. </w:t>
            </w:r>
            <w:r>
              <w:rPr>
                <w:rFonts w:ascii="微软雅黑" w:hAnsi="微软雅黑" w:eastAsia="微软雅黑" w:cs="微软雅黑"/>
                <w:b/>
                <w:sz w:val="18"/>
              </w:rPr>
              <w:t>预调酒现金牛底座稳</w:t>
            </w:r>
            <w:r>
              <w:rPr>
                <w:rFonts w:ascii="微软雅黑" w:hAnsi="微软雅黑" w:eastAsia="微软雅黑" w:cs="微软雅黑"/>
                <w:b w:val="0"/>
                <w:sz w:val="18"/>
              </w:rPr>
              <w:t>：RIO 市占率 72.5%、寡头格局稳定，强爽见底、微醺恢复性增长，渠道库存健康，为主业提供稳定现金流支撑威士忌长期投入，生意模式稳、现金流好（2025 经营性现金流 8.8 亿）。</w:t>
            </w:r>
          </w:p>
          <w:p>
            <w:r>
              <w:rPr>
                <w:rFonts w:ascii="微软雅黑" w:hAnsi="微软雅黑" w:eastAsia="微软雅黑" w:cs="微软雅黑"/>
                <w:b w:val="0"/>
                <w:sz w:val="18"/>
              </w:rPr>
              <w:t xml:space="preserve">3. </w:t>
            </w:r>
            <w:r>
              <w:rPr>
                <w:rFonts w:ascii="微软雅黑" w:hAnsi="微软雅黑" w:eastAsia="微软雅黑" w:cs="微软雅黑"/>
                <w:b/>
                <w:sz w:val="18"/>
              </w:rPr>
              <w:t>估值压制来自消费风偏而非基本面</w:t>
            </w:r>
            <w:r>
              <w:rPr>
                <w:rFonts w:ascii="微软雅黑" w:hAnsi="微软雅黑" w:eastAsia="微软雅黑" w:cs="微软雅黑"/>
                <w:b w:val="0"/>
                <w:sz w:val="18"/>
              </w:rPr>
              <w:t>：储酒与产能投入期叠加定增阶段性扰动，当前消费板块整体风偏下行，资金面逆风使估值受压制；但基本面兑现路径明确，待整体消费风偏回升有望释放估值空间。</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32.7 亿，yoy +11%，归母净利润 7.5 亿，yoy +18%，对应 PE 24 倍；2027 年销售收入 36.1 亿，yoy +10%，归母净利润 8.6 亿，yoy +15%，对应 PE 21 倍。基本面（威士忌故事）在兑现、业绩环比加速，PE 18–24 倍不算贵，但当前消费风格不利、资金面逆风较难拔估值，继续持有；跟随整体消费风偏上升才能看拔估值机会。</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3,264</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3,048</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2,944</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3,269</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3,608</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3,970</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25.9%</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-6.6%</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11.0%</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10.4%</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10.0%</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66.7%</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69.7%</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69.2%</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69.8%</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70.2%</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70.5%</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809</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719</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637</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751</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864</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977</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55.3%</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-11.2%</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-11.4%</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17.8%</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15.0%</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13.1%</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20.7%</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16.5%</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13.2%</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14.5%</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15.2%</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15.6%</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0.77</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0.69</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0.61</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0.72</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0.82</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0.93</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22.3</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25.1</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28.3</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24.0</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20.9</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18.5</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4.5</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3.8</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3.6</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3.0</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14.9</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15.8</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16.4</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14.1</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12.4</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11.0</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