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8335" w:type="dxa"/>
        <w:tblInd w:w="9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3"/>
        <w:gridCol w:w="943"/>
        <w:gridCol w:w="932"/>
        <w:gridCol w:w="1179"/>
        <w:gridCol w:w="900"/>
        <w:gridCol w:w="1254"/>
        <w:gridCol w:w="1232"/>
        <w:gridCol w:w="842"/>
      </w:tblGrid>
      <w:tr w14:paraId="7DCB1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6" w:hRule="atLeast"/>
        </w:trPr>
        <w:tc>
          <w:tcPr>
            <w:tcW w:w="1996" w:type="dxa"/>
            <w:gridSpan w:val="2"/>
            <w:tcBorders>
              <w:top w:val="single" w:color="000000" w:sz="4" w:space="0"/>
              <w:left w:val="single" w:color="000000" w:sz="4" w:space="0"/>
              <w:bottom w:val="single" w:color="000000" w:sz="4" w:space="0"/>
              <w:right w:val="nil"/>
            </w:tcBorders>
            <w:shd w:val="clear" w:color="auto" w:fill="FFFFFF" w:themeFill="background1"/>
            <w:noWrap/>
            <w:vAlign w:val="center"/>
          </w:tcPr>
          <w:p w14:paraId="565C9F77">
            <w:pPr>
              <w:jc w:val="left"/>
              <w:rPr>
                <w:rFonts w:hint="eastAsia" w:ascii="微软雅黑" w:hAnsi="微软雅黑" w:eastAsia="微软雅黑" w:cs="微软雅黑"/>
                <w:b/>
                <w:bCs/>
                <w:i w:val="0"/>
                <w:iCs w:val="0"/>
                <w:color w:val="000000"/>
                <w:sz w:val="18"/>
                <w:szCs w:val="18"/>
                <w:u w:val="none"/>
                <w:lang w:val="en-US" w:eastAsia="zh-CN"/>
              </w:rPr>
            </w:pPr>
            <w:bookmarkStart w:id="0" w:name="股票名称" w:colFirst="1" w:colLast="1"/>
            <w:bookmarkStart w:id="1" w:name="行业名称" w:colFirst="2" w:colLast="2"/>
            <w:bookmarkStart w:id="2" w:name="报告名称" w:colFirst="0" w:colLast="0"/>
            <w:sdt>
              <w:sdtPr>
                <w:rPr>
                  <w:rFonts w:hint="eastAsia" w:ascii="微软雅黑" w:hAnsi="微软雅黑" w:eastAsia="微软雅黑" w:cs="微软雅黑"/>
                  <w:b w:val="0"/>
                  <w:bCs w:val="0"/>
                  <w:i w:val="0"/>
                  <w:iCs w:val="0"/>
                  <w:color w:val="000000"/>
                  <w:kern w:val="2"/>
                  <w:sz w:val="18"/>
                  <w:szCs w:val="18"/>
                  <w:u w:val="none"/>
                  <w:lang w:val="en-US" w:eastAsia="zh-TW" w:bidi="ar-SA"/>
                </w:rPr>
                <w:id w:val="147482084"/>
                <w:lock w:val="sdtContentLocked"/>
                <w:placeholder>
                  <w:docPart w:val="{0daf061f-d72c-4e6a-bb21-74e9fcd2540c}"/>
                </w:placeholder>
              </w:sdtPr>
              <w:sdtEndPr>
                <w:rPr>
                  <w:rFonts w:hint="eastAsia" w:ascii="微软雅黑" w:hAnsi="微软雅黑" w:eastAsia="微软雅黑" w:cs="微软雅黑"/>
                  <w:b w:val="0"/>
                  <w:bCs w:val="0"/>
                  <w:i w:val="0"/>
                  <w:iCs w:val="0"/>
                  <w:color w:val="000000"/>
                  <w:kern w:val="2"/>
                  <w:sz w:val="18"/>
                  <w:szCs w:val="18"/>
                  <w:u w:val="none"/>
                  <w:lang w:val="en-US" w:eastAsia="zh-TW" w:bidi="ar-SA"/>
                </w:rPr>
              </w:sdtEndPr>
              <w:sdtContent>
                <w:r>
                  <w:rPr>
                    <w:rFonts w:hint="eastAsia" w:ascii="微软雅黑" w:hAnsi="微软雅黑" w:eastAsia="微软雅黑" w:cs="微软雅黑"/>
                    <w:b/>
                    <w:bCs/>
                    <w:i w:val="0"/>
                    <w:iCs w:val="0"/>
                    <w:color w:val="000000"/>
                    <w:sz w:val="18"/>
                    <w:szCs w:val="18"/>
                    <w:u w:val="none"/>
                    <w:lang w:val="en-US" w:eastAsia="zh-CN"/>
                  </w:rPr>
                  <w:t>评级报告</w:t>
                </w:r>
              </w:sdtContent>
            </w:sdt>
            <w:r>
              <w:rPr>
                <w:rFonts w:hint="eastAsia" w:ascii="微软雅黑" w:hAnsi="微软雅黑" w:eastAsia="微软雅黑" w:cs="微软雅黑"/>
                <w:b/>
                <w:bCs/>
                <w:i w:val="0"/>
                <w:iCs w:val="0"/>
                <w:color w:val="000000"/>
                <w:sz w:val="18"/>
                <w:szCs w:val="18"/>
                <w:u w:val="none"/>
                <w:lang w:val="en-US" w:eastAsia="zh-CN"/>
              </w:rPr>
              <w:t xml:space="preserve">                                                            </w:t>
            </w:r>
          </w:p>
        </w:tc>
        <w:tc>
          <w:tcPr>
            <w:tcW w:w="2111" w:type="dxa"/>
            <w:gridSpan w:val="2"/>
            <w:tcBorders>
              <w:top w:val="single" w:color="000000" w:sz="4" w:space="0"/>
              <w:left w:val="nil"/>
              <w:bottom w:val="single" w:color="000000" w:sz="4" w:space="0"/>
              <w:right w:val="nil"/>
            </w:tcBorders>
            <w:shd w:val="clear" w:color="auto" w:fill="FFFFFF" w:themeFill="background1"/>
            <w:noWrap/>
            <w:vAlign w:val="center"/>
          </w:tcPr>
          <w:p w14:paraId="642D6B5B">
            <w:pPr>
              <w:jc w:val="center"/>
              <w:rPr>
                <w:rFonts w:hint="eastAsia" w:ascii="微软雅黑" w:hAnsi="微软雅黑" w:eastAsia="微软雅黑" w:cs="微软雅黑"/>
                <w:b w:val="0"/>
                <w:bCs w:val="0"/>
                <w:i w:val="0"/>
                <w:iCs w:val="0"/>
                <w:color w:val="000000"/>
                <w:sz w:val="18"/>
                <w:szCs w:val="18"/>
                <w:u w:val="none"/>
                <w:lang w:val="en-US" w:eastAsia="zh-TW"/>
              </w:rPr>
            </w:pPr>
          </w:p>
        </w:tc>
        <w:tc>
          <w:tcPr>
            <w:tcW w:w="2154" w:type="dxa"/>
            <w:gridSpan w:val="2"/>
            <w:tcBorders>
              <w:top w:val="single" w:color="000000" w:sz="4" w:space="0"/>
              <w:left w:val="nil"/>
              <w:bottom w:val="single" w:color="000000" w:sz="4" w:space="0"/>
              <w:right w:val="nil"/>
            </w:tcBorders>
            <w:shd w:val="clear" w:color="auto" w:fill="FFFFFF" w:themeFill="background1"/>
            <w:noWrap/>
            <w:vAlign w:val="center"/>
          </w:tcPr>
          <w:p w14:paraId="66F9BA31">
            <w:pPr>
              <w:jc w:val="center"/>
              <w:rPr>
                <w:rFonts w:hint="eastAsia" w:ascii="微软雅黑" w:hAnsi="微软雅黑" w:eastAsia="微软雅黑" w:cs="微软雅黑"/>
                <w:b w:val="0"/>
                <w:bCs w:val="0"/>
                <w:i w:val="0"/>
                <w:iCs w:val="0"/>
                <w:color w:val="000000"/>
                <w:sz w:val="18"/>
                <w:szCs w:val="18"/>
                <w:u w:val="none"/>
                <w:lang w:val="en-US" w:eastAsia="zh-TW"/>
              </w:rPr>
            </w:pPr>
          </w:p>
        </w:tc>
        <w:tc>
          <w:tcPr>
            <w:tcW w:w="2074" w:type="dxa"/>
            <w:gridSpan w:val="2"/>
            <w:tcBorders>
              <w:top w:val="single" w:color="000000" w:sz="4" w:space="0"/>
              <w:left w:val="nil"/>
              <w:bottom w:val="single" w:color="000000" w:sz="4" w:space="0"/>
              <w:right w:val="single" w:color="000000" w:sz="4" w:space="0"/>
            </w:tcBorders>
            <w:shd w:val="clear" w:color="auto" w:fill="FFFFFF" w:themeFill="background1"/>
            <w:noWrap/>
            <w:vAlign w:val="center"/>
          </w:tcPr>
          <w:p w14:paraId="248EA507">
            <w:pPr>
              <w:jc w:val="center"/>
              <w:rPr>
                <w:rFonts w:hint="eastAsia" w:ascii="Arial Unicode MS" w:hAnsi="Arial Unicode MS" w:eastAsia="Arial Unicode MS" w:cs="Arial Unicode MS"/>
                <w:b/>
                <w:bCs/>
                <w:i w:val="0"/>
                <w:iCs w:val="0"/>
                <w:color w:val="000000"/>
                <w:sz w:val="15"/>
                <w:szCs w:val="15"/>
                <w:u w:val="none"/>
                <w:lang w:val="en-US" w:eastAsia="zh-CN"/>
              </w:rPr>
            </w:pPr>
            <w:r>
              <w:rPr>
                <w:rFonts w:ascii="微软雅黑" w:hAnsi="微软雅黑" w:eastAsia="微软雅黑" w:cs="微软雅黑"/>
                <w:sz w:val="15"/>
                <w:szCs w:val="15"/>
              </w:rPr>
              <w:drawing>
                <wp:inline distT="0" distB="0" distL="114300" distR="114300">
                  <wp:extent cx="880745" cy="379730"/>
                  <wp:effectExtent l="0" t="0" r="14605" b="1270"/>
                  <wp:docPr id="2" name="图片 1" descr="Bose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Bosera.png"/>
                          <pic:cNvPicPr>
                            <a:picLocks noChangeAspect="1"/>
                          </pic:cNvPicPr>
                        </pic:nvPicPr>
                        <pic:blipFill>
                          <a:blip r:embed="rId5" cstate="print"/>
                          <a:stretch>
                            <a:fillRect/>
                          </a:stretch>
                        </pic:blipFill>
                        <pic:spPr>
                          <a:xfrm>
                            <a:off x="0" y="0"/>
                            <a:ext cx="880745" cy="379730"/>
                          </a:xfrm>
                          <a:prstGeom prst="rect">
                            <a:avLst/>
                          </a:prstGeom>
                        </pic:spPr>
                      </pic:pic>
                    </a:graphicData>
                  </a:graphic>
                </wp:inline>
              </w:drawing>
            </w:r>
          </w:p>
        </w:tc>
      </w:tr>
      <w:bookmarkEnd w:id="0"/>
      <w:bookmarkEnd w:id="1"/>
      <w:bookmarkEnd w:id="2"/>
      <w:tr w14:paraId="2F8D4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BE43C70">
            <w:pPr>
              <w:jc w:val="both"/>
              <w:rPr>
                <w:rFonts w:hint="eastAsia" w:ascii="微软雅黑" w:hAnsi="微软雅黑" w:eastAsia="微软雅黑" w:cs="微软雅黑"/>
                <w:b/>
                <w:bCs/>
                <w:i w:val="0"/>
                <w:iCs w:val="0"/>
                <w:color w:val="000000"/>
                <w:sz w:val="18"/>
                <w:szCs w:val="18"/>
                <w:u w:val="none"/>
                <w:lang w:val="en-US" w:eastAsia="zh-CN"/>
              </w:rPr>
            </w:pPr>
            <w:bookmarkStart w:id="3" w:name="报告标题" w:colFirst="1" w:colLast="1"/>
            <w:bookmarkStart w:id="4" w:name="是否重大推荐" w:colFirst="3" w:colLast="3"/>
            <w:r>
              <w:rPr>
                <w:rFonts w:hint="eastAsia" w:ascii="微软雅黑" w:hAnsi="微软雅黑" w:eastAsia="微软雅黑" w:cs="微软雅黑"/>
                <w:b/>
                <w:bCs/>
                <w:i w:val="0"/>
                <w:iCs w:val="0"/>
                <w:color w:val="000000"/>
                <w:sz w:val="18"/>
                <w:szCs w:val="18"/>
                <w:u w:val="none"/>
                <w:lang w:val="en-US" w:eastAsia="zh-CN"/>
              </w:rPr>
              <w:t>报告标题</w:t>
            </w:r>
          </w:p>
        </w:tc>
        <w:tc>
          <w:tcPr>
            <w:tcW w:w="5208" w:type="dxa"/>
            <w:gridSpan w:val="5"/>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73B61E3">
            <w:pPr>
              <w:jc w:val="both"/>
              <w:rPr>
                <w:rFonts w:hint="default" w:ascii="微软雅黑" w:hAnsi="微软雅黑" w:eastAsia="微软雅黑" w:cs="微软雅黑"/>
                <w:b/>
                <w:bCs/>
                <w:i w:val="0"/>
                <w:iCs w:val="0"/>
                <w:color w:val="000000"/>
                <w:sz w:val="18"/>
                <w:szCs w:val="18"/>
                <w:u w:val="none"/>
                <w:lang w:val="en-US" w:eastAsia="zh-TW"/>
              </w:rPr>
            </w:pPr>
            <w:r>
              <w:rPr>
                <w:rFonts w:ascii="微软雅黑" w:hAnsi="微软雅黑" w:eastAsia="微软雅黑" w:cs="微软雅黑"/>
                <w:b/>
                <w:sz w:val="18"/>
              </w:rPr>
              <w:t>Q1利润加速下滑，渠道混乱叠加大单品miss，不推荐</w:t>
            </w:r>
          </w:p>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204327E3">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是否重大推荐</w:t>
            </w:r>
          </w:p>
        </w:tc>
        <w:sdt>
          <w:sdtPr>
            <w:rPr>
              <w:rFonts w:hint="default" w:ascii="微软雅黑" w:hAnsi="微软雅黑" w:eastAsia="微软雅黑" w:cs="微软雅黑"/>
              <w:i w:val="0"/>
              <w:iCs w:val="0"/>
              <w:color w:val="000000"/>
              <w:sz w:val="15"/>
              <w:szCs w:val="15"/>
              <w:u w:val="none"/>
              <w:lang w:val="en-US" w:eastAsia="zh-TW"/>
            </w:rPr>
            <w:alias w:val="是否重大推荐"/>
            <w:id w:val="274842591"/>
            <w:lock w:val="sdtLocked"/>
            <w:placeholder>
              <w:docPart w:val="{5b90eca8-60e1-46ed-8f03-92f9c27e6e40}"/>
            </w:placeholder>
            <w:dropDownList>
              <w:listItem w:displayText=" " w:value=" "/>
              <w:listItem w:displayText="是" w:value="是"/>
              <w:listItem w:displayText="否" w:value="否"/>
            </w:dropDownList>
          </w:sdtPr>
          <w:sdtEndPr>
            <w:rPr>
              <w:rFonts w:hint="default" w:ascii="微软雅黑" w:hAnsi="微软雅黑" w:eastAsia="微软雅黑" w:cs="微软雅黑"/>
              <w:i w:val="0"/>
              <w:iCs w:val="0"/>
              <w:color w:val="000000"/>
              <w:sz w:val="15"/>
              <w:szCs w:val="15"/>
              <w:u w:val="none"/>
              <w:lang w:val="en-US" w:eastAsia="zh-TW"/>
            </w:rPr>
          </w:sdtEndPr>
          <w:sdtContent>
            <w:tc>
              <w:tcPr>
                <w:tcW w:w="842"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C47E485">
                <w:pPr>
                  <w:keepNext w:val="0"/>
                  <w:keepLines w:val="0"/>
                  <w:widowControl/>
                  <w:suppressLineNumbers w:val="0"/>
                  <w:jc w:val="center"/>
                  <w:textAlignment w:val="center"/>
                  <w:rPr>
                    <w:rFonts w:hint="default" w:ascii="微软雅黑" w:hAnsi="微软雅黑" w:eastAsia="微软雅黑" w:cs="微软雅黑"/>
                    <w:i w:val="0"/>
                    <w:iCs w:val="0"/>
                    <w:color w:val="000000"/>
                    <w:sz w:val="15"/>
                    <w:szCs w:val="15"/>
                    <w:u w:val="none"/>
                    <w:lang w:val="en-US" w:eastAsia="zh-TW"/>
                  </w:rPr>
                </w:pPr>
                <w:r>
                  <w:rPr>
                    <w:rFonts w:hint="default" w:ascii="微软雅黑" w:hAnsi="微软雅黑" w:eastAsia="微软雅黑" w:cs="微软雅黑"/>
                    <w:i w:val="0"/>
                    <w:iCs w:val="0"/>
                    <w:color w:val="000000"/>
                    <w:kern w:val="2"/>
                    <w:sz w:val="15"/>
                    <w:szCs w:val="15"/>
                    <w:u w:val="none"/>
                    <w:lang w:val="en-US" w:eastAsia="zh-TW" w:bidi="ar-SA"/>
                  </w:rPr>
                  <w:t xml:space="preserve"> </w:t>
                </w:r>
              </w:p>
            </w:tc>
          </w:sdtContent>
        </w:sdt>
      </w:tr>
      <w:bookmarkEnd w:id="3"/>
      <w:bookmarkEnd w:id="4"/>
      <w:tr w14:paraId="25987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563BA16A">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bookmarkStart w:id="5" w:name="股票代码" w:colFirst="1" w:colLast="1"/>
            <w:bookmarkStart w:id="6" w:name="上次评级" w:colFirst="5" w:colLast="5"/>
            <w:bookmarkStart w:id="7" w:name="预期收益率" w:colFirst="7" w:colLast="7"/>
            <w:bookmarkStart w:id="8" w:name="股票评级" w:colFirst="3" w:colLast="3"/>
            <w:r>
              <w:rPr>
                <w:rFonts w:hint="eastAsia" w:ascii="微软雅黑" w:hAnsi="微软雅黑" w:eastAsia="微软雅黑" w:cs="微软雅黑"/>
                <w:i w:val="0"/>
                <w:iCs w:val="0"/>
                <w:color w:val="000000"/>
                <w:sz w:val="15"/>
                <w:szCs w:val="15"/>
                <w:u w:val="none"/>
                <w:lang w:eastAsia="zh-CN"/>
              </w:rPr>
              <w:t>股票代码</w:t>
            </w:r>
          </w:p>
        </w:tc>
        <w:tc>
          <w:tcPr>
            <w:tcW w:w="9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2AC719">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r>
              <w:rPr>
                <w:rFonts w:ascii="微软雅黑" w:hAnsi="微软雅黑" w:eastAsia="微软雅黑" w:cs="微软雅黑"/>
                <w:b w:val="0"/>
                <w:sz w:val="18"/>
              </w:rPr>
              <w:t>600132</w:t>
            </w:r>
          </w:p>
        </w:tc>
        <w:tc>
          <w:tcPr>
            <w:tcW w:w="9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447A0FA">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股票评级</w:t>
            </w:r>
          </w:p>
        </w:tc>
        <w:sdt>
          <w:sdtPr>
            <w:rPr>
              <w:rFonts w:hint="eastAsia" w:ascii="微软雅黑" w:hAnsi="微软雅黑" w:eastAsia="微软雅黑" w:cs="微软雅黑"/>
              <w:i w:val="0"/>
              <w:iCs w:val="0"/>
              <w:color w:val="000000"/>
              <w:sz w:val="15"/>
              <w:szCs w:val="15"/>
              <w:u w:val="none"/>
              <w:lang w:val="en-US" w:eastAsia="zh-CN"/>
            </w:rPr>
            <w:alias w:val="股票评级"/>
            <w:id w:val="147454962"/>
            <w:lock w:val="sdtLocked"/>
            <w:placeholder>
              <w:docPart w:val="{c29291ec-e9dc-4608-a903-d1366562d724}"/>
            </w:placeholder>
            <w:dropDownList>
              <w:listItem w:displayText="强烈买入-1" w:value="强烈买入-1"/>
              <w:listItem w:displayText="买入-2" w:value="买入-2"/>
              <w:listItem w:displayText="持有-3" w:value="持有-3"/>
              <w:listItem w:displayText="卖出-4" w:value="卖出-4"/>
              <w:listItem w:displayText="强烈卖出-5" w:value="强烈卖出-5"/>
            </w:dropDownList>
          </w:sdtPr>
          <w:sdtEndPr>
            <w:rPr>
              <w:rFonts w:hint="eastAsia" w:ascii="微软雅黑" w:hAnsi="微软雅黑" w:eastAsia="微软雅黑" w:cs="微软雅黑"/>
              <w:i w:val="0"/>
              <w:iCs w:val="0"/>
              <w:color w:val="000000"/>
              <w:sz w:val="15"/>
              <w:szCs w:val="15"/>
              <w:u w:val="none"/>
              <w:lang w:val="en-US" w:eastAsia="zh-CN"/>
            </w:rPr>
          </w:sdtEndPr>
          <w:sdtContent>
            <w:tc>
              <w:tcPr>
                <w:tcW w:w="11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71311E">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r>
                  <w:rPr>
                    <w:rFonts w:hint="eastAsia" w:ascii="微软雅黑" w:hAnsi="微软雅黑" w:eastAsia="微软雅黑" w:cs="微软雅黑"/>
                    <w:i w:val="0"/>
                    <w:iCs w:val="0"/>
                    <w:color w:val="000000"/>
                    <w:kern w:val="2"/>
                    <w:sz w:val="15"/>
                    <w:szCs w:val="15"/>
                    <w:u w:val="none"/>
                    <w:lang w:val="en-US" w:eastAsia="zh-CN" w:bidi="ar-SA"/>
                  </w:rPr>
                  <w:t>强烈买入-1</w:t>
                </w:r>
              </w:p>
            </w:tc>
          </w:sdtContent>
        </w:sdt>
        <w:tc>
          <w:tcPr>
            <w:tcW w:w="900"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69411E4">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r>
              <w:rPr>
                <w:rFonts w:hint="eastAsia" w:ascii="微软雅黑" w:hAnsi="微软雅黑" w:eastAsia="微软雅黑" w:cs="微软雅黑"/>
                <w:i w:val="0"/>
                <w:iCs w:val="0"/>
                <w:color w:val="000000"/>
                <w:sz w:val="15"/>
                <w:szCs w:val="15"/>
                <w:u w:val="none"/>
                <w:lang w:val="en-US" w:eastAsia="zh-TW"/>
              </w:rPr>
              <w:t>上次评级</w:t>
            </w:r>
          </w:p>
        </w:tc>
        <w:tc>
          <w:tcPr>
            <w:tcW w:w="1254" w:type="dxa"/>
            <w:tcBorders>
              <w:top w:val="single" w:color="000000" w:sz="4" w:space="0"/>
              <w:left w:val="single" w:color="000000" w:sz="4" w:space="0"/>
              <w:bottom w:val="single" w:color="000000" w:sz="4" w:space="0"/>
              <w:right w:val="single" w:color="000000" w:sz="4" w:space="0"/>
            </w:tcBorders>
            <w:shd w:val="clear" w:color="auto" w:fill="auto"/>
            <w:noWrap/>
            <w:vAlign w:val="center"/>
          </w:tcPr>
          <w:sdt>
            <w:sdtPr>
              <w:rPr>
                <w:rFonts w:hint="eastAsia" w:ascii="微软雅黑" w:hAnsi="微软雅黑" w:eastAsia="微软雅黑" w:cs="微软雅黑"/>
                <w:i w:val="0"/>
                <w:iCs w:val="0"/>
                <w:color w:val="000000"/>
                <w:sz w:val="15"/>
                <w:szCs w:val="15"/>
                <w:u w:val="none"/>
                <w:lang w:val="en-US" w:eastAsia="zh-CN"/>
              </w:rPr>
              <w:alias w:val="上次评级"/>
              <w:id w:val="144595064"/>
              <w:lock w:val="sdtLocked"/>
              <w:placeholder>
                <w:docPart w:val="{02a91e4c-c88b-425f-b53c-17349660d8d2}"/>
              </w:placeholder>
              <w:dropDownList>
                <w:listItem w:displayText="强烈买入-1" w:value="强烈买入-1"/>
                <w:listItem w:displayText="买入-2" w:value="买入-2"/>
                <w:listItem w:displayText="持有-3" w:value="持有-3"/>
                <w:listItem w:displayText="卖出-4" w:value="卖出-4"/>
                <w:listItem w:displayText="强烈卖出-5" w:value="强烈卖出-5"/>
              </w:dropDownList>
            </w:sdtPr>
            <w:sdtEndPr>
              <w:rPr>
                <w:rFonts w:hint="eastAsia" w:ascii="微软雅黑" w:hAnsi="微软雅黑" w:eastAsia="微软雅黑" w:cs="微软雅黑"/>
                <w:i w:val="0"/>
                <w:iCs w:val="0"/>
                <w:color w:val="000000"/>
                <w:sz w:val="15"/>
                <w:szCs w:val="15"/>
                <w:u w:val="none"/>
                <w:lang w:val="en-US" w:eastAsia="zh-CN"/>
              </w:rPr>
            </w:sdtEndPr>
            <w:sdtContent>
              <w:p w14:paraId="2B5AAA27">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r>
                  <w:rPr>
                    <w:rFonts w:hint="eastAsia" w:ascii="微软雅黑" w:hAnsi="微软雅黑" w:eastAsia="微软雅黑" w:cs="微软雅黑"/>
                    <w:i w:val="0"/>
                    <w:iCs w:val="0"/>
                    <w:color w:val="000000"/>
                    <w:kern w:val="2"/>
                    <w:sz w:val="15"/>
                    <w:szCs w:val="15"/>
                    <w:u w:val="none"/>
                    <w:lang w:val="en-US" w:eastAsia="zh-CN" w:bidi="ar-SA"/>
                  </w:rPr>
                  <w:t>强烈买入-1</w:t>
                </w:r>
              </w:p>
            </w:sdtContent>
          </w:sdt>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70021422">
            <w:pPr>
              <w:keepNext w:val="0"/>
              <w:keepLines w:val="0"/>
              <w:widowControl/>
              <w:suppressLineNumbers w:val="0"/>
              <w:jc w:val="left"/>
              <w:textAlignment w:val="center"/>
              <w:rPr>
                <w:rFonts w:hint="default" w:ascii="微软雅黑" w:hAnsi="微软雅黑" w:eastAsia="PMingLiU" w:cs="微软雅黑"/>
                <w:i w:val="0"/>
                <w:iCs w:val="0"/>
                <w:color w:val="000000"/>
                <w:sz w:val="15"/>
                <w:szCs w:val="15"/>
                <w:u w:val="none"/>
                <w:lang w:val="en-US" w:eastAsia="zh-TW"/>
              </w:rPr>
            </w:pPr>
            <w:r>
              <w:rPr>
                <w:rFonts w:hint="eastAsia" w:ascii="微软雅黑" w:hAnsi="微软雅黑" w:eastAsia="微软雅黑" w:cs="微软雅黑"/>
                <w:i w:val="0"/>
                <w:iCs w:val="0"/>
                <w:color w:val="000000"/>
                <w:sz w:val="15"/>
                <w:szCs w:val="15"/>
                <w:u w:val="none"/>
                <w:lang w:eastAsia="zh-CN"/>
              </w:rPr>
              <w:t>预期收益率</w:t>
            </w:r>
            <w:r>
              <w:rPr>
                <w:rFonts w:hint="eastAsia" w:ascii="微软雅黑" w:hAnsi="微软雅黑" w:eastAsia="微软雅黑" w:cs="微软雅黑"/>
                <w:i w:val="0"/>
                <w:iCs w:val="0"/>
                <w:color w:val="000000"/>
                <w:sz w:val="15"/>
                <w:szCs w:val="15"/>
                <w:u w:val="none"/>
                <w:lang w:val="en-US" w:eastAsia="zh-TW"/>
              </w:rPr>
              <w:t>(%)</w:t>
            </w:r>
          </w:p>
        </w:tc>
        <w:tc>
          <w:tcPr>
            <w:tcW w:w="8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239095">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p>
        </w:tc>
      </w:tr>
      <w:bookmarkEnd w:id="5"/>
      <w:bookmarkEnd w:id="6"/>
      <w:bookmarkEnd w:id="7"/>
      <w:bookmarkEnd w:id="8"/>
      <w:tr w14:paraId="6CF94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0CEAA696">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bookmarkStart w:id="9" w:name="当前市值" w:colFirst="3" w:colLast="3"/>
            <w:bookmarkStart w:id="10" w:name="年初以来涨跌幅" w:colFirst="7" w:colLast="7"/>
            <w:bookmarkStart w:id="11" w:name="目标价" w:colFirst="5" w:colLast="5"/>
            <w:bookmarkStart w:id="12" w:name="当前股价" w:colFirst="1" w:colLast="1"/>
            <w:r>
              <w:rPr>
                <w:rFonts w:hint="eastAsia" w:ascii="微软雅黑" w:hAnsi="微软雅黑" w:eastAsia="微软雅黑" w:cs="微软雅黑"/>
                <w:i w:val="0"/>
                <w:iCs w:val="0"/>
                <w:color w:val="000000"/>
                <w:sz w:val="15"/>
                <w:szCs w:val="15"/>
                <w:u w:val="none"/>
                <w:lang w:val="en-US" w:eastAsia="zh-CN"/>
              </w:rPr>
              <w:t>当前股价</w:t>
            </w:r>
          </w:p>
        </w:tc>
        <w:tc>
          <w:tcPr>
            <w:tcW w:w="9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8D0C7E">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bookmarkStart w:id="22" w:name="_GoBack"/>
            <w:bookmarkEnd w:id="22"/>
          </w:p>
        </w:tc>
        <w:tc>
          <w:tcPr>
            <w:tcW w:w="9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00799090">
            <w:pPr>
              <w:keepNext w:val="0"/>
              <w:keepLines w:val="0"/>
              <w:widowControl/>
              <w:suppressLineNumbers w:val="0"/>
              <w:jc w:val="left"/>
              <w:textAlignment w:val="center"/>
              <w:rPr>
                <w:rFonts w:hint="default" w:ascii="微软雅黑" w:hAnsi="微软雅黑" w:eastAsia="PMingLiU" w:cs="微软雅黑"/>
                <w:i w:val="0"/>
                <w:iCs w:val="0"/>
                <w:color w:val="000000"/>
                <w:sz w:val="15"/>
                <w:szCs w:val="15"/>
                <w:u w:val="none"/>
                <w:lang w:val="en-US" w:eastAsia="zh-TW"/>
              </w:rPr>
            </w:pPr>
            <w:r>
              <w:rPr>
                <w:rFonts w:hint="eastAsia" w:ascii="微软雅黑" w:hAnsi="微软雅黑" w:eastAsia="微软雅黑" w:cs="微软雅黑"/>
                <w:i w:val="0"/>
                <w:iCs w:val="0"/>
                <w:color w:val="000000"/>
                <w:sz w:val="15"/>
                <w:szCs w:val="15"/>
                <w:u w:val="none"/>
                <w:lang w:val="en-US" w:eastAsia="zh-CN"/>
              </w:rPr>
              <w:t>当前市值</w:t>
            </w:r>
            <w:r>
              <w:rPr>
                <w:rFonts w:hint="eastAsia" w:ascii="微软雅黑" w:hAnsi="微软雅黑" w:eastAsia="微软雅黑" w:cs="微软雅黑"/>
                <w:i w:val="0"/>
                <w:iCs w:val="0"/>
                <w:color w:val="000000"/>
                <w:sz w:val="15"/>
                <w:szCs w:val="15"/>
                <w:u w:val="none"/>
                <w:lang w:val="en-US" w:eastAsia="zh-TW"/>
              </w:rPr>
              <w:t>(亿元)</w:t>
            </w:r>
          </w:p>
        </w:tc>
        <w:tc>
          <w:tcPr>
            <w:tcW w:w="11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8589C1">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p>
        </w:tc>
        <w:tc>
          <w:tcPr>
            <w:tcW w:w="900"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598AA44E">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目标价</w:t>
            </w:r>
          </w:p>
        </w:tc>
        <w:tc>
          <w:tcPr>
            <w:tcW w:w="12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7D13B7">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p>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19292B3">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r>
              <w:rPr>
                <w:rFonts w:hint="eastAsia" w:ascii="微软雅黑" w:hAnsi="微软雅黑" w:eastAsia="微软雅黑" w:cs="微软雅黑"/>
                <w:i w:val="0"/>
                <w:iCs w:val="0"/>
                <w:color w:val="000000"/>
                <w:sz w:val="15"/>
                <w:szCs w:val="15"/>
                <w:u w:val="none"/>
                <w:lang w:val="en-US" w:eastAsia="zh-CN"/>
              </w:rPr>
              <w:t>年初以来涨跌幅</w:t>
            </w:r>
            <w:r>
              <w:rPr>
                <w:rFonts w:hint="eastAsia" w:ascii="微软雅黑" w:hAnsi="微软雅黑" w:eastAsia="微软雅黑" w:cs="微软雅黑"/>
                <w:i w:val="0"/>
                <w:iCs w:val="0"/>
                <w:color w:val="000000"/>
                <w:sz w:val="15"/>
                <w:szCs w:val="15"/>
                <w:u w:val="none"/>
                <w:lang w:val="en-US" w:eastAsia="zh-TW"/>
              </w:rPr>
              <w:t>(%)</w:t>
            </w:r>
          </w:p>
        </w:tc>
        <w:tc>
          <w:tcPr>
            <w:tcW w:w="8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B83F38">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p>
        </w:tc>
      </w:tr>
      <w:bookmarkEnd w:id="9"/>
      <w:bookmarkEnd w:id="10"/>
      <w:bookmarkEnd w:id="11"/>
      <w:bookmarkEnd w:id="12"/>
      <w:tr w14:paraId="6F48F5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3B124740">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bookmarkStart w:id="13" w:name="研究员" w:colFirst="1" w:colLast="1"/>
            <w:bookmarkStart w:id="14" w:name="相对行业涨跌幅" w:colFirst="7" w:colLast="7"/>
            <w:bookmarkStart w:id="15" w:name="报告类型" w:colFirst="3" w:colLast="3"/>
            <w:bookmarkStart w:id="16" w:name="报告日期" w:colFirst="5" w:colLast="5"/>
            <w:r>
              <w:rPr>
                <w:rFonts w:hint="eastAsia" w:ascii="微软雅黑" w:hAnsi="微软雅黑" w:eastAsia="微软雅黑" w:cs="微软雅黑"/>
                <w:i w:val="0"/>
                <w:iCs w:val="0"/>
                <w:color w:val="000000"/>
                <w:sz w:val="15"/>
                <w:szCs w:val="15"/>
                <w:u w:val="none"/>
                <w:lang w:eastAsia="zh-TW"/>
              </w:rPr>
              <w:t>研究员</w:t>
            </w:r>
          </w:p>
        </w:tc>
        <w:tc>
          <w:tcPr>
            <w:tcW w:w="9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3D72EB">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ascii="微软雅黑" w:hAnsi="微软雅黑" w:eastAsia="微软雅黑" w:cs="微软雅黑"/>
                <w:sz w:val="15"/>
              </w:rPr>
              <w:t>单朔</w:t>
            </w:r>
          </w:p>
        </w:tc>
        <w:tc>
          <w:tcPr>
            <w:tcW w:w="9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05B12C44">
            <w:pPr>
              <w:keepNext w:val="0"/>
              <w:keepLines w:val="0"/>
              <w:widowControl/>
              <w:suppressLineNumbers w:val="0"/>
              <w:jc w:val="left"/>
              <w:textAlignment w:val="center"/>
              <w:rPr>
                <w:rFonts w:hint="eastAsia" w:ascii="微软雅黑" w:hAnsi="微软雅黑" w:eastAsia="微软雅黑" w:cs="微软雅黑"/>
                <w:i w:val="0"/>
                <w:iCs w:val="0"/>
                <w:color w:val="000000"/>
                <w:kern w:val="2"/>
                <w:sz w:val="15"/>
                <w:szCs w:val="15"/>
                <w:u w:val="none"/>
                <w:lang w:val="en-US" w:eastAsia="zh-CN" w:bidi="ar-SA"/>
              </w:rPr>
            </w:pPr>
            <w:r>
              <w:rPr>
                <w:rFonts w:hint="eastAsia" w:ascii="微软雅黑" w:hAnsi="微软雅黑" w:eastAsia="微软雅黑" w:cs="微软雅黑"/>
                <w:i w:val="0"/>
                <w:iCs w:val="0"/>
                <w:color w:val="000000"/>
                <w:sz w:val="15"/>
                <w:szCs w:val="15"/>
                <w:u w:val="none"/>
                <w:lang w:eastAsia="zh-CN"/>
              </w:rPr>
              <w:t>报告类型</w:t>
            </w:r>
          </w:p>
        </w:tc>
        <w:tc>
          <w:tcPr>
            <w:tcW w:w="1179" w:type="dxa"/>
            <w:tcBorders>
              <w:top w:val="single" w:color="000000" w:sz="4" w:space="0"/>
              <w:left w:val="single" w:color="000000" w:sz="4" w:space="0"/>
              <w:bottom w:val="single" w:color="000000" w:sz="4" w:space="0"/>
              <w:right w:val="single" w:color="000000" w:sz="4" w:space="0"/>
            </w:tcBorders>
            <w:shd w:val="clear" w:color="auto" w:fill="auto"/>
            <w:noWrap/>
            <w:vAlign w:val="center"/>
          </w:tcPr>
          <w:sdt>
            <w:sdtPr>
              <w:rPr>
                <w:rFonts w:hint="eastAsia" w:ascii="微软雅黑" w:hAnsi="微软雅黑" w:eastAsia="微软雅黑" w:cs="微软雅黑"/>
                <w:i w:val="0"/>
                <w:iCs w:val="0"/>
                <w:color w:val="000000"/>
                <w:sz w:val="15"/>
                <w:szCs w:val="15"/>
                <w:u w:val="none"/>
                <w:lang w:val="en-US" w:eastAsia="zh-CN"/>
              </w:rPr>
              <w:alias w:val="报告类型"/>
              <w:id w:val="147455465"/>
              <w:lock w:val="sdtLocked"/>
              <w:placeholder>
                <w:docPart w:val="{54f684b5-99ba-4458-9b63-c98da7f6cfa6}"/>
              </w:placeholder>
              <w:dropDownList>
                <w:listItem w:displayText="普通模板" w:value="普通模板"/>
                <w:listItem w:displayText="银行模板" w:value="银行模板"/>
                <w:listItem w:displayText="券商模板" w:value="券商模板"/>
                <w:listItem w:displayText="保险模板" w:value="保险模板"/>
              </w:dropDownList>
            </w:sdtPr>
            <w:sdtEndPr>
              <w:rPr>
                <w:rFonts w:hint="eastAsia" w:ascii="微软雅黑" w:hAnsi="微软雅黑" w:eastAsia="微软雅黑" w:cs="微软雅黑"/>
                <w:i w:val="0"/>
                <w:iCs w:val="0"/>
                <w:color w:val="000000"/>
                <w:sz w:val="15"/>
                <w:szCs w:val="15"/>
                <w:u w:val="none"/>
                <w:lang w:val="en-US" w:eastAsia="zh-CN"/>
              </w:rPr>
            </w:sdtEndPr>
            <w:sdtContent>
              <w:p w14:paraId="7CFF5C22">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r>
                  <w:rPr>
                    <w:rFonts w:hint="eastAsia" w:ascii="微软雅黑" w:hAnsi="微软雅黑" w:eastAsia="微软雅黑" w:cs="微软雅黑"/>
                    <w:i w:val="0"/>
                    <w:iCs w:val="0"/>
                    <w:color w:val="000000"/>
                    <w:sz w:val="15"/>
                    <w:szCs w:val="15"/>
                    <w:u w:val="none"/>
                    <w:lang w:val="en-US" w:eastAsia="zh-CN"/>
                  </w:rPr>
                  <w:t>普通模板</w:t>
                </w:r>
              </w:p>
            </w:sdtContent>
          </w:sdt>
        </w:tc>
        <w:tc>
          <w:tcPr>
            <w:tcW w:w="900"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6CE8EB50">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报告日期</w:t>
            </w:r>
          </w:p>
        </w:tc>
        <w:tc>
          <w:tcPr>
            <w:tcW w:w="1254" w:type="dxa"/>
            <w:tcBorders>
              <w:top w:val="single" w:color="000000" w:sz="4" w:space="0"/>
              <w:left w:val="single" w:color="000000" w:sz="4" w:space="0"/>
              <w:bottom w:val="single" w:color="000000" w:sz="4" w:space="0"/>
              <w:right w:val="single" w:color="000000" w:sz="4" w:space="0"/>
            </w:tcBorders>
            <w:shd w:val="clear" w:color="auto" w:fill="auto"/>
            <w:noWrap/>
            <w:vAlign w:val="center"/>
          </w:tcPr>
          <w:sdt>
            <w:sdtPr>
              <w:rPr>
                <w:rFonts w:hint="default" w:ascii="微软雅黑" w:hAnsi="微软雅黑" w:eastAsia="微软雅黑" w:cs="微软雅黑"/>
                <w:i w:val="0"/>
                <w:iCs w:val="0"/>
                <w:color w:val="000000"/>
                <w:kern w:val="2"/>
                <w:sz w:val="15"/>
                <w:szCs w:val="15"/>
                <w:u w:val="none"/>
                <w:lang w:val="en-US" w:eastAsia="zh-TW" w:bidi="ar-SA"/>
              </w:rPr>
              <w:alias w:val="报告日期"/>
              <w:id w:val="147457270"/>
              <w:lock w:val="sdtLocked"/>
              <w:placeholder>
                <w:docPart w:val="{df61b350-aee6-47bd-944d-08e6078126c1}"/>
              </w:placeholder>
              <w:date w:fullDate="2022-01-01T00:00:00Z">
                <w:dateFormat w:val="YYYY-MM-DD"/>
                <w:lid w:val="zh-CN"/>
                <w:storeMappedDataAs w:val="text"/>
                <w:calendar w:val="gregorian"/>
              </w:date>
            </w:sdtPr>
            <w:sdtEndPr>
              <w:rPr>
                <w:rFonts w:hint="default" w:ascii="微软雅黑" w:hAnsi="微软雅黑" w:eastAsia="微软雅黑" w:cs="微软雅黑"/>
                <w:i w:val="0"/>
                <w:iCs w:val="0"/>
                <w:color w:val="000000"/>
                <w:kern w:val="2"/>
                <w:sz w:val="15"/>
                <w:szCs w:val="15"/>
                <w:u w:val="none"/>
                <w:lang w:val="en-US" w:eastAsia="zh-TW" w:bidi="ar-SA"/>
              </w:rPr>
            </w:sdtEndPr>
            <w:sdtContent>
              <w:p w14:paraId="0065AC32">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r>
                  <w:rPr>
                    <w:rFonts w:hint="eastAsia" w:ascii="微软雅黑" w:hAnsi="微软雅黑" w:eastAsia="微软雅黑" w:cs="微软雅黑"/>
                    <w:i w:val="0"/>
                    <w:iCs w:val="0"/>
                    <w:color w:val="000000"/>
                    <w:kern w:val="2"/>
                    <w:sz w:val="15"/>
                    <w:szCs w:val="15"/>
                    <w:u w:val="none"/>
                    <w:lang w:val="en-US" w:eastAsia="zh-CN" w:bidi="ar-SA"/>
                  </w:rPr>
                  <w:t>2026-06-29</w:t>
                </w:r>
              </w:p>
            </w:sdtContent>
          </w:sdt>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66EB917">
            <w:pPr>
              <w:keepNext w:val="0"/>
              <w:keepLines w:val="0"/>
              <w:widowControl/>
              <w:suppressLineNumbers w:val="0"/>
              <w:jc w:val="left"/>
              <w:textAlignment w:val="center"/>
              <w:rPr>
                <w:rFonts w:hint="eastAsia" w:ascii="微软雅黑" w:hAnsi="微软雅黑" w:eastAsia="PMingLiU" w:cs="微软雅黑"/>
                <w:i w:val="0"/>
                <w:iCs w:val="0"/>
                <w:color w:val="000000"/>
                <w:sz w:val="15"/>
                <w:szCs w:val="15"/>
                <w:u w:val="none"/>
                <w:lang w:eastAsia="zh-TW"/>
              </w:rPr>
            </w:pPr>
            <w:r>
              <w:rPr>
                <w:rFonts w:hint="eastAsia" w:ascii="微软雅黑" w:hAnsi="微软雅黑" w:eastAsia="微软雅黑" w:cs="微软雅黑"/>
                <w:i w:val="0"/>
                <w:iCs w:val="0"/>
                <w:color w:val="000000"/>
                <w:sz w:val="15"/>
                <w:szCs w:val="15"/>
                <w:u w:val="none"/>
                <w:lang w:eastAsia="zh-TW"/>
              </w:rPr>
              <w:t>年初以来相对行业涨跌幅</w:t>
            </w:r>
            <w:r>
              <w:rPr>
                <w:rFonts w:hint="eastAsia" w:ascii="微软雅黑" w:hAnsi="微软雅黑" w:eastAsia="微软雅黑" w:cs="微软雅黑"/>
                <w:i w:val="0"/>
                <w:iCs w:val="0"/>
                <w:color w:val="000000"/>
                <w:sz w:val="15"/>
                <w:szCs w:val="15"/>
                <w:u w:val="none"/>
                <w:lang w:val="en-US" w:eastAsia="zh-TW"/>
              </w:rPr>
              <w:t>(%)</w:t>
            </w:r>
          </w:p>
        </w:tc>
        <w:tc>
          <w:tcPr>
            <w:tcW w:w="8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4D0C99">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TW"/>
              </w:rPr>
            </w:pPr>
          </w:p>
        </w:tc>
      </w:tr>
      <w:bookmarkEnd w:id="13"/>
      <w:bookmarkEnd w:id="14"/>
      <w:bookmarkEnd w:id="15"/>
      <w:bookmarkEnd w:id="16"/>
      <w:tr w14:paraId="1C2E4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3BA084">
            <w:pPr>
              <w:keepNext w:val="0"/>
              <w:keepLines w:val="0"/>
              <w:widowControl/>
              <w:suppressLineNumbers w:val="0"/>
              <w:jc w:val="left"/>
              <w:textAlignment w:val="center"/>
              <w:rPr>
                <w:rFonts w:hint="default" w:ascii="Arial Unicode MS" w:hAnsi="Arial Unicode MS" w:eastAsia="PMingLiU" w:cs="Arial Unicode MS"/>
                <w:i w:val="0"/>
                <w:iCs w:val="0"/>
                <w:color w:val="FFFFFF"/>
                <w:sz w:val="15"/>
                <w:szCs w:val="15"/>
                <w:u w:val="none"/>
                <w:lang w:val="en-US" w:eastAsia="zh-TW"/>
              </w:rPr>
            </w:pPr>
            <w:r>
              <w:rPr>
                <w:rFonts w:hint="default" w:ascii="微软雅黑" w:hAnsi="微软雅黑" w:eastAsia="微软雅黑" w:cs="微软雅黑"/>
                <w:b/>
                <w:bCs/>
                <w:i w:val="0"/>
                <w:iCs w:val="0"/>
                <w:color w:val="000000"/>
                <w:sz w:val="15"/>
                <w:szCs w:val="15"/>
                <w:u w:val="none"/>
                <w:lang w:val="en-US" w:eastAsia="zh-CN"/>
              </w:rPr>
              <w:t>研究结论</w:t>
            </w:r>
          </w:p>
        </w:tc>
      </w:tr>
      <w:tr w14:paraId="08015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2"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top"/>
          </w:tcPr>
          <w:p w14:paraId="2A13213A">
            <w:pPr>
              <w:keepNext w:val="0"/>
              <w:keepLines w:val="0"/>
              <w:widowControl/>
              <w:suppressLineNumbers w:val="0"/>
              <w:jc w:val="both"/>
              <w:textAlignment w:val="center"/>
              <w:rPr>
                <w:rFonts w:hint="eastAsia" w:ascii="微软雅黑" w:hAnsi="微软雅黑" w:eastAsia="微软雅黑" w:cs="微软雅黑"/>
                <w:i w:val="0"/>
                <w:iCs w:val="0"/>
                <w:color w:val="000000"/>
                <w:sz w:val="15"/>
                <w:szCs w:val="15"/>
                <w:u w:val="none"/>
                <w:lang w:val="en-US" w:eastAsia="zh-CN"/>
              </w:rPr>
            </w:pPr>
            <w:bookmarkStart w:id="17" w:name="研究结论" w:colFirst="0" w:colLast="0"/>
            <w:r>
              <w:rPr>
                <w:rFonts w:ascii="微软雅黑" w:hAnsi="微软雅黑" w:eastAsia="微软雅黑" w:cs="微软雅黑"/>
                <w:b/>
                <w:sz w:val="18"/>
              </w:rPr>
              <w:t>短期：边际加速恶化，旺季催化证伪、拐点未见</w:t>
            </w:r>
          </w:p>
          <w:p>
            <w:r>
              <w:rPr>
                <w:rFonts w:ascii="微软雅黑" w:hAnsi="微软雅黑" w:eastAsia="微软雅黑" w:cs="微软雅黑"/>
                <w:b w:val="0"/>
                <w:sz w:val="18"/>
              </w:rPr>
              <w:t xml:space="preserve">1. </w:t>
            </w:r>
            <w:r>
              <w:rPr>
                <w:rFonts w:ascii="微软雅黑" w:hAnsi="微软雅黑" w:eastAsia="微软雅黑" w:cs="微软雅黑"/>
                <w:b/>
                <w:sz w:val="18"/>
              </w:rPr>
              <w:t>量价双杀</w:t>
            </w:r>
            <w:r>
              <w:rPr>
                <w:rFonts w:ascii="微软雅黑" w:hAnsi="微软雅黑" w:eastAsia="微软雅黑" w:cs="微软雅黑"/>
                <w:b w:val="0"/>
                <w:sz w:val="18"/>
              </w:rPr>
              <w:t>：26Q1营收-0.12%转负（25Q1为+1.46%），归母-7.40%加速下行（25Q1为+4.59%），销量+0.34%降速、吨价-0.15%由正转负。非现饮占比55%结构性稀释ASP，吨价已连续两期停滞。</w:t>
            </w:r>
          </w:p>
          <w:p>
            <w:r>
              <w:rPr>
                <w:rFonts w:ascii="微软雅黑" w:hAnsi="微软雅黑" w:eastAsia="微软雅黑" w:cs="微软雅黑"/>
                <w:b w:val="0"/>
                <w:sz w:val="18"/>
              </w:rPr>
              <w:t xml:space="preserve">2. </w:t>
            </w:r>
            <w:r>
              <w:rPr>
                <w:rFonts w:ascii="微软雅黑" w:hAnsi="微软雅黑" w:eastAsia="微软雅黑" w:cs="微软雅黑"/>
                <w:b/>
                <w:sz w:val="18"/>
              </w:rPr>
              <w:t>大单品连续miss</w:t>
            </w:r>
            <w:r>
              <w:rPr>
                <w:rFonts w:ascii="微软雅黑" w:hAnsi="微软雅黑" w:eastAsia="微软雅黑" w:cs="微软雅黑"/>
                <w:b w:val="0"/>
                <w:sz w:val="18"/>
              </w:rPr>
              <w:t>：乌苏（60多万吨级、与烧烤现饮绑定）仅低个位数增长，主流档26Q1收入-3.75%加速下滑，管理层寄望的1L罐装"尚未放量"——ASP拉动迟迟不兑现。</w:t>
            </w:r>
          </w:p>
          <w:p>
            <w:r>
              <w:rPr>
                <w:rFonts w:ascii="微软雅黑" w:hAnsi="微软雅黑" w:eastAsia="微软雅黑" w:cs="微软雅黑"/>
                <w:b w:val="0"/>
                <w:sz w:val="18"/>
              </w:rPr>
              <w:t xml:space="preserve">3. </w:t>
            </w:r>
            <w:r>
              <w:rPr>
                <w:rFonts w:ascii="微软雅黑" w:hAnsi="微软雅黑" w:eastAsia="微软雅黑" w:cs="微软雅黑"/>
                <w:b/>
                <w:sz w:val="18"/>
              </w:rPr>
              <w:t>中区基地失速</w:t>
            </w:r>
            <w:r>
              <w:rPr>
                <w:rFonts w:ascii="微软雅黑" w:hAnsi="微软雅黑" w:eastAsia="微软雅黑" w:cs="微软雅黑"/>
                <w:b w:val="0"/>
                <w:sz w:val="18"/>
              </w:rPr>
              <w:t>：中区占收入41.8%，26Q1 -3.08%，公司明确"二季度餐饮又有往下趋势""暂时没有看到好的恢复迹象"，基地市场无恢复信号。</w:t>
            </w:r>
          </w:p>
          <w:p>
            <w:r>
              <w:rPr>
                <w:rFonts w:ascii="微软雅黑" w:hAnsi="微软雅黑" w:eastAsia="微软雅黑" w:cs="微软雅黑"/>
                <w:b w:val="0"/>
                <w:sz w:val="18"/>
              </w:rPr>
              <w:t xml:space="preserve">4. </w:t>
            </w:r>
            <w:r>
              <w:rPr>
                <w:rFonts w:ascii="微软雅黑" w:hAnsi="微软雅黑" w:eastAsia="微软雅黑" w:cs="微软雅黑"/>
                <w:b/>
                <w:sz w:val="18"/>
              </w:rPr>
              <w:t>税率结构性冲击</w:t>
            </w:r>
            <w:r>
              <w:rPr>
                <w:rFonts w:ascii="微软雅黑" w:hAnsi="微软雅黑" w:eastAsia="微软雅黑" w:cs="微软雅黑"/>
                <w:b w:val="0"/>
                <w:sz w:val="18"/>
              </w:rPr>
              <w:t>：西部大开发优惠取消（15%→25%），26Q1所得税率24.06%（+6.17pct），直接吃掉营业利润的正增长——这是结构性下移，不是周期波动。</w:t>
            </w:r>
          </w:p>
          <w:p/>
          <w:p>
            <w:r>
              <w:rPr>
                <w:rFonts w:ascii="微软雅黑" w:hAnsi="微软雅黑" w:eastAsia="微软雅黑" w:cs="微软雅黑"/>
                <w:b/>
                <w:sz w:val="18"/>
              </w:rPr>
              <w:t>中长期：存量行业+渠道反噬+利润归属缺陷，三重天花板封死成长性</w:t>
            </w:r>
          </w:p>
          <w:p>
            <w:r>
              <w:rPr>
                <w:rFonts w:ascii="微软雅黑" w:hAnsi="微软雅黑" w:eastAsia="微软雅黑" w:cs="微软雅黑"/>
                <w:b w:val="0"/>
                <w:sz w:val="18"/>
              </w:rPr>
              <w:t xml:space="preserve">1. </w:t>
            </w:r>
            <w:r>
              <w:rPr>
                <w:rFonts w:ascii="微软雅黑" w:hAnsi="微软雅黑" w:eastAsia="微软雅黑" w:cs="微软雅黑"/>
                <w:b/>
                <w:sz w:val="18"/>
              </w:rPr>
              <w:t>存量行业天花板</w:t>
            </w:r>
            <w:r>
              <w:rPr>
                <w:rFonts w:ascii="微软雅黑" w:hAnsi="微软雅黑" w:eastAsia="微软雅黑" w:cs="微软雅黑"/>
                <w:b w:val="0"/>
                <w:sz w:val="18"/>
              </w:rPr>
              <w:t>：2025全国啤酒产量-1.1%、较2013峰值-30%，高端化增速从10%/年降至5-6%，公司高档占比已61%、提升速率自然放缓，量价都没了大空间。</w:t>
            </w:r>
          </w:p>
          <w:p>
            <w:r>
              <w:rPr>
                <w:rFonts w:ascii="微软雅黑" w:hAnsi="微软雅黑" w:eastAsia="微软雅黑" w:cs="微软雅黑"/>
                <w:b w:val="0"/>
                <w:sz w:val="18"/>
              </w:rPr>
              <w:t xml:space="preserve">2. </w:t>
            </w:r>
            <w:r>
              <w:rPr>
                <w:rFonts w:ascii="微软雅黑" w:hAnsi="微软雅黑" w:eastAsia="微软雅黑" w:cs="微软雅黑"/>
                <w:b/>
                <w:sz w:val="18"/>
              </w:rPr>
              <w:t>渠道转型反噬ASP</w:t>
            </w:r>
            <w:r>
              <w:rPr>
                <w:rFonts w:ascii="微软雅黑" w:hAnsi="微软雅黑" w:eastAsia="微软雅黑" w:cs="微软雅黑"/>
                <w:b w:val="0"/>
                <w:sz w:val="18"/>
              </w:rPr>
              <w:t>：非现饮占比从疫情前不足40%升至55%，均价低于现饮场景，渠道切换本身压吨价；1L罐装是唯一抓手但"体量占比不高"，兑现前吨价不转正。</w:t>
            </w:r>
          </w:p>
          <w:p>
            <w:r>
              <w:rPr>
                <w:rFonts w:ascii="微软雅黑" w:hAnsi="微软雅黑" w:eastAsia="微软雅黑" w:cs="微软雅黑"/>
                <w:b w:val="0"/>
                <w:sz w:val="18"/>
              </w:rPr>
              <w:t xml:space="preserve">3. </w:t>
            </w:r>
            <w:r>
              <w:rPr>
                <w:rFonts w:ascii="微软雅黑" w:hAnsi="微软雅黑" w:eastAsia="微软雅黑" w:cs="微软雅黑"/>
                <w:b/>
                <w:sz w:val="18"/>
              </w:rPr>
              <w:t>少数股东吃掉一半</w:t>
            </w:r>
            <w:r>
              <w:rPr>
                <w:rFonts w:ascii="微软雅黑" w:hAnsi="微软雅黑" w:eastAsia="微软雅黑" w:cs="微软雅黑"/>
                <w:b w:val="0"/>
                <w:sz w:val="18"/>
              </w:rPr>
              <w:t>：少数股东损益率约50.7%，归母仅占合并净利一半，是利润表最特殊项，且材料明确"暂无收回少数股东权益计划"——本就薄的成长再被截走一半，归母弹性极差。</w:t>
            </w:r>
          </w:p>
          <w:p/>
          <w:p>
            <w:r>
              <w:rPr>
                <w:rFonts w:ascii="微软雅黑" w:hAnsi="微软雅黑" w:eastAsia="微软雅黑" w:cs="微软雅黑"/>
                <w:b/>
                <w:sz w:val="18"/>
              </w:rPr>
              <w:t>投资建议：</w:t>
            </w:r>
          </w:p>
          <w:p>
            <w:r>
              <w:rPr>
                <w:rFonts w:ascii="微软雅黑" w:hAnsi="微软雅黑" w:eastAsia="微软雅黑" w:cs="微软雅黑"/>
                <w:b w:val="0"/>
                <w:sz w:val="18"/>
              </w:rPr>
              <w:t>预计 2026 年销售收入 146.4 亿，yoy -1%，归母净利润 13.0 亿，yoy +5%，对应 PE 16 倍；2027 年销售收入 146.5 亿，yoy 0%，归母净利润 12.7 亿，yoy -2%，对应 PE 16 倍。归母被少数股东截走一半、EPS 无向上弹性，PE 16 倍的估值保护不足以弥补质地缺陷——不推荐参与。</w:t>
            </w:r>
          </w:p>
        </w:tc>
      </w:tr>
      <w:bookmarkEnd w:id="17"/>
      <w:tr w14:paraId="3AEDC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E227C">
            <w:pPr>
              <w:keepNext w:val="0"/>
              <w:keepLines w:val="0"/>
              <w:widowControl/>
              <w:suppressLineNumbers w:val="0"/>
              <w:jc w:val="left"/>
              <w:textAlignment w:val="center"/>
              <w:rPr>
                <w:rFonts w:hint="eastAsia" w:ascii="Arial Unicode MS" w:hAnsi="Arial Unicode MS" w:eastAsia="PMingLiU" w:cs="Arial Unicode MS"/>
                <w:i w:val="0"/>
                <w:iCs w:val="0"/>
                <w:color w:val="FFFFFF"/>
                <w:kern w:val="2"/>
                <w:sz w:val="15"/>
                <w:szCs w:val="15"/>
                <w:u w:val="none"/>
                <w:lang w:val="en-US" w:eastAsia="zh-CN" w:bidi="ar-SA"/>
              </w:rPr>
            </w:pPr>
            <w:r>
              <w:rPr>
                <w:rFonts w:hint="eastAsia" w:ascii="微软雅黑" w:hAnsi="微软雅黑" w:eastAsia="微软雅黑" w:cs="微软雅黑"/>
                <w:b/>
                <w:bCs/>
                <w:i w:val="0"/>
                <w:iCs w:val="0"/>
                <w:color w:val="000000"/>
                <w:sz w:val="15"/>
                <w:szCs w:val="15"/>
                <w:u w:val="none"/>
                <w:lang w:val="en-US" w:eastAsia="zh-CN"/>
              </w:rPr>
              <w:t>盈利预测</w:t>
            </w:r>
            <w:r>
              <w:rPr>
                <w:rFonts w:hint="eastAsia" w:ascii="微软雅黑" w:hAnsi="微软雅黑" w:eastAsia="微软雅黑" w:cs="微软雅黑"/>
                <w:b/>
                <w:bCs/>
                <w:i w:val="0"/>
                <w:iCs w:val="0"/>
                <w:color w:val="000000"/>
                <w:sz w:val="15"/>
                <w:szCs w:val="15"/>
                <w:u w:val="none"/>
                <w:lang w:val="en-US" w:eastAsia="zh-TW"/>
              </w:rPr>
              <w:t>(</w:t>
            </w:r>
            <w:r>
              <w:rPr>
                <w:rFonts w:hint="eastAsia" w:ascii="微软雅黑" w:hAnsi="微软雅黑" w:eastAsia="微软雅黑" w:cs="微软雅黑"/>
                <w:b/>
                <w:bCs/>
                <w:i w:val="0"/>
                <w:iCs w:val="0"/>
                <w:color w:val="000000"/>
                <w:sz w:val="15"/>
                <w:szCs w:val="15"/>
                <w:u w:val="none"/>
                <w:lang w:val="en-US" w:eastAsia="zh-CN"/>
              </w:rPr>
              <w:t>年度</w:t>
            </w:r>
            <w:r>
              <w:rPr>
                <w:rFonts w:hint="eastAsia" w:ascii="微软雅黑" w:hAnsi="微软雅黑" w:eastAsia="微软雅黑" w:cs="微软雅黑"/>
                <w:b/>
                <w:bCs/>
                <w:i w:val="0"/>
                <w:iCs w:val="0"/>
                <w:color w:val="000000"/>
                <w:sz w:val="15"/>
                <w:szCs w:val="15"/>
                <w:u w:val="none"/>
                <w:lang w:val="en-US" w:eastAsia="zh-TW"/>
              </w:rPr>
              <w:t>)</w:t>
            </w:r>
          </w:p>
        </w:tc>
      </w:tr>
      <w:tr w14:paraId="2708A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0"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tbl>
            <w:tblPr>
              <w:tblStyle w:val="6"/>
              <w:tblW w:w="8094" w:type="dxa"/>
              <w:tblInd w:w="5" w:type="dxa"/>
              <w:tblBorders>
                <w:top w:val="none" w:color="auto" w:sz="4" w:space="0"/>
                <w:left w:val="none" w:color="auto" w:sz="4" w:space="0"/>
                <w:bottom w:val="none" w:color="auto" w:sz="4" w:space="0"/>
                <w:right w:val="none" w:color="auto" w:sz="4" w:space="0"/>
                <w:insideH w:val="single" w:color="auto" w:sz="4" w:space="0"/>
                <w:insideV w:val="dotted" w:color="C0C0C0" w:sz="4" w:space="0"/>
              </w:tblBorders>
              <w:tblLayout w:type="fixed"/>
              <w:tblCellMar>
                <w:left w:w="108" w:type="dxa"/>
                <w:right w:w="108" w:type="dxa"/>
              </w:tblCellMar>
            </w:tblPr>
            <w:tblGrid>
              <w:gridCol w:w="1644"/>
              <w:gridCol w:w="1075"/>
              <w:gridCol w:w="1075"/>
              <w:gridCol w:w="1075"/>
              <w:gridCol w:w="1075"/>
              <w:gridCol w:w="1075"/>
              <w:gridCol w:w="1075"/>
            </w:tblGrid>
            <w:tr w14:paraId="759E18FE">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PrEx>
              <w:trPr>
                <w:wAfter w:w="0" w:type="auto"/>
              </w:trPr>
              <w:tc>
                <w:tcPr>
                  <w:tcW w:w="1644" w:type="dxa"/>
                </w:tcPr>
                <w:p w14:paraId="280CA40A">
                  <w:pPr>
                    <w:jc w:val="both"/>
                    <w:rPr>
                      <w:rFonts w:hint="eastAsia" w:ascii="微软雅黑" w:hAnsi="微软雅黑" w:eastAsia="微软雅黑" w:cs="微软雅黑"/>
                      <w:b/>
                      <w:i w:val="0"/>
                      <w:iCs w:val="0"/>
                      <w:color w:val="000000"/>
                      <w:sz w:val="15"/>
                      <w:szCs w:val="15"/>
                      <w:u w:val="none"/>
                      <w:vertAlign w:val="baseline"/>
                      <w:lang w:eastAsia="zh-CN"/>
                    </w:rPr>
                  </w:pPr>
                  <w:bookmarkStart w:id="18" w:name="财务"/>
                  <w:bookmarkStart w:id="19" w:name="盈利预测" w:colFirst="0" w:colLast="0"/>
                  <w:r>
                    <w:rPr>
                      <w:rFonts w:hint="eastAsia" w:ascii="微软雅黑" w:hAnsi="微软雅黑" w:eastAsia="微软雅黑" w:cs="微软雅黑"/>
                      <w:b/>
                      <w:i w:val="0"/>
                      <w:iCs w:val="0"/>
                      <w:color w:val="000000"/>
                      <w:sz w:val="15"/>
                      <w:szCs w:val="15"/>
                      <w:u w:val="none"/>
                      <w:vertAlign w:val="baseline"/>
                      <w:lang w:eastAsia="zh-CN"/>
                    </w:rPr>
                    <w:t>财务指标</w:t>
                  </w:r>
                </w:p>
              </w:tc>
              <w:tc>
                <w:tcPr>
                  <w:tcW w:w="1075" w:type="dxa"/>
                </w:tcPr>
                <w:p w14:paraId="79DCD154">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2023</w:t>
                  </w:r>
                </w:p>
              </w:tc>
              <w:tc>
                <w:tcPr>
                  <w:tcW w:w="1075" w:type="dxa"/>
                </w:tcPr>
                <w:p w14:paraId="478981C9">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2024</w:t>
                  </w:r>
                </w:p>
              </w:tc>
              <w:tc>
                <w:tcPr>
                  <w:tcW w:w="1075" w:type="dxa"/>
                </w:tcPr>
                <w:p w14:paraId="0AD24977">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2025</w:t>
                  </w:r>
                </w:p>
              </w:tc>
              <w:tc>
                <w:tcPr>
                  <w:tcW w:w="1075" w:type="dxa"/>
                </w:tcPr>
                <w:p w14:paraId="199B0BB6">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2026E</w:t>
                  </w:r>
                </w:p>
              </w:tc>
              <w:tc>
                <w:tcPr>
                  <w:tcW w:w="1075" w:type="dxa"/>
                </w:tcPr>
                <w:p w14:paraId="60147B94">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2027E</w:t>
                  </w:r>
                </w:p>
              </w:tc>
              <w:tc>
                <w:tcPr>
                  <w:tcW w:w="1075" w:type="dxa"/>
                </w:tcPr>
                <w:p w14:paraId="6211DCBA">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2028E</w:t>
                  </w:r>
                </w:p>
              </w:tc>
            </w:tr>
            <w:tr w14:paraId="706C7977">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1FA8E9F1">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营业收入(百万)</w:t>
                  </w:r>
                </w:p>
              </w:tc>
              <w:tc>
                <w:tcPr>
                  <w:tcW w:w="1075" w:type="dxa"/>
                </w:tcPr>
                <w:p w14:paraId="6C4F184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14,815</w:t>
                  </w:r>
                </w:p>
              </w:tc>
              <w:tc>
                <w:tcPr>
                  <w:tcW w:w="1075" w:type="dxa"/>
                </w:tcPr>
                <w:p w14:paraId="2118B22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14,645</w:t>
                  </w:r>
                </w:p>
              </w:tc>
              <w:tc>
                <w:tcPr>
                  <w:tcW w:w="1075" w:type="dxa"/>
                </w:tcPr>
                <w:p w14:paraId="43FE060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14,722</w:t>
                  </w:r>
                </w:p>
              </w:tc>
              <w:tc>
                <w:tcPr>
                  <w:tcW w:w="1075" w:type="dxa"/>
                </w:tcPr>
                <w:p w14:paraId="53887A4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14,637</w:t>
                  </w:r>
                </w:p>
              </w:tc>
              <w:tc>
                <w:tcPr>
                  <w:tcW w:w="1075" w:type="dxa"/>
                </w:tcPr>
                <w:p w14:paraId="23808BB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14,654</w:t>
                  </w:r>
                </w:p>
              </w:tc>
              <w:tc>
                <w:tcPr>
                  <w:tcW w:w="1075" w:type="dxa"/>
                </w:tcPr>
                <w:p w14:paraId="53F8549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14,773</w:t>
                  </w:r>
                </w:p>
              </w:tc>
            </w:tr>
            <w:tr w14:paraId="4CAA850B">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6F500D25">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营收YOY %</w:t>
                  </w:r>
                </w:p>
              </w:tc>
              <w:tc>
                <w:tcPr>
                  <w:tcW w:w="1075" w:type="dxa"/>
                </w:tcPr>
                <w:p w14:paraId="619EF756">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5.5%</w:t>
                  </w:r>
                </w:p>
              </w:tc>
              <w:tc>
                <w:tcPr>
                  <w:tcW w:w="1075" w:type="dxa"/>
                </w:tcPr>
                <w:p w14:paraId="368A519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-1.1%</w:t>
                  </w:r>
                </w:p>
              </w:tc>
              <w:tc>
                <w:tcPr>
                  <w:tcW w:w="1075" w:type="dxa"/>
                </w:tcPr>
                <w:p w14:paraId="0CEAF0FC">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0.5%</w:t>
                  </w:r>
                </w:p>
              </w:tc>
              <w:tc>
                <w:tcPr>
                  <w:tcW w:w="1075" w:type="dxa"/>
                </w:tcPr>
                <w:p w14:paraId="2CEA0B0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-0.6%</w:t>
                  </w:r>
                </w:p>
              </w:tc>
              <w:tc>
                <w:tcPr>
                  <w:tcW w:w="1075" w:type="dxa"/>
                </w:tcPr>
                <w:p w14:paraId="6A346A5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0.1%</w:t>
                  </w:r>
                </w:p>
              </w:tc>
              <w:tc>
                <w:tcPr>
                  <w:tcW w:w="1075" w:type="dxa"/>
                </w:tcPr>
                <w:p w14:paraId="5F8F383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0.8%</w:t>
                  </w:r>
                </w:p>
              </w:tc>
            </w:tr>
            <w:tr w14:paraId="4F90956A">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2E681DA2">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毛利率</w:t>
                  </w:r>
                </w:p>
              </w:tc>
              <w:tc>
                <w:tcPr>
                  <w:tcW w:w="1075" w:type="dxa"/>
                </w:tcPr>
                <w:p w14:paraId="002DBFFD">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49.1%</w:t>
                  </w:r>
                </w:p>
              </w:tc>
              <w:tc>
                <w:tcPr>
                  <w:tcW w:w="1075" w:type="dxa"/>
                </w:tcPr>
                <w:p w14:paraId="0651207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48.6%</w:t>
                  </w:r>
                </w:p>
              </w:tc>
              <w:tc>
                <w:tcPr>
                  <w:tcW w:w="1075" w:type="dxa"/>
                </w:tcPr>
                <w:p w14:paraId="26A2715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50.9%</w:t>
                  </w:r>
                </w:p>
              </w:tc>
              <w:tc>
                <w:tcPr>
                  <w:tcW w:w="1075" w:type="dxa"/>
                </w:tcPr>
                <w:p w14:paraId="1091F4B5">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50.0%</w:t>
                  </w:r>
                </w:p>
              </w:tc>
              <w:tc>
                <w:tcPr>
                  <w:tcW w:w="1075" w:type="dxa"/>
                </w:tcPr>
                <w:p w14:paraId="536B17B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49.5%</w:t>
                  </w:r>
                </w:p>
              </w:tc>
              <w:tc>
                <w:tcPr>
                  <w:tcW w:w="1075" w:type="dxa"/>
                </w:tcPr>
                <w:p w14:paraId="23F52C2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49.0%</w:t>
                  </w:r>
                </w:p>
              </w:tc>
            </w:tr>
            <w:tr w14:paraId="6A9FD9D1">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407FD1DE">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归母净利润(百万)</w:t>
                  </w:r>
                </w:p>
              </w:tc>
              <w:tc>
                <w:tcPr>
                  <w:tcW w:w="1075" w:type="dxa"/>
                </w:tcPr>
                <w:p w14:paraId="7E829C63">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1,337</w:t>
                  </w:r>
                </w:p>
              </w:tc>
              <w:tc>
                <w:tcPr>
                  <w:tcW w:w="1075" w:type="dxa"/>
                </w:tcPr>
                <w:p w14:paraId="23276A7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1,115</w:t>
                  </w:r>
                </w:p>
              </w:tc>
              <w:tc>
                <w:tcPr>
                  <w:tcW w:w="1075" w:type="dxa"/>
                </w:tcPr>
                <w:p w14:paraId="7B3754F6">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1,231</w:t>
                  </w:r>
                </w:p>
              </w:tc>
              <w:tc>
                <w:tcPr>
                  <w:tcW w:w="1075" w:type="dxa"/>
                </w:tcPr>
                <w:p w14:paraId="6528763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1,298</w:t>
                  </w:r>
                </w:p>
              </w:tc>
              <w:tc>
                <w:tcPr>
                  <w:tcW w:w="1075" w:type="dxa"/>
                </w:tcPr>
                <w:p w14:paraId="2367A39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1,274</w:t>
                  </w:r>
                </w:p>
              </w:tc>
              <w:tc>
                <w:tcPr>
                  <w:tcW w:w="1075" w:type="dxa"/>
                </w:tcPr>
                <w:p w14:paraId="77A835CE">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1,277</w:t>
                  </w:r>
                </w:p>
              </w:tc>
            </w:tr>
            <w:tr w14:paraId="519FA45F">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4EE31D2D">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归母净利润YOY %</w:t>
                  </w:r>
                </w:p>
              </w:tc>
              <w:tc>
                <w:tcPr>
                  <w:tcW w:w="1075" w:type="dxa"/>
                </w:tcPr>
                <w:p w14:paraId="2CA73F4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5.8%</w:t>
                  </w:r>
                </w:p>
              </w:tc>
              <w:tc>
                <w:tcPr>
                  <w:tcW w:w="1075" w:type="dxa"/>
                </w:tcPr>
                <w:p w14:paraId="45FD6DF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-16.6%</w:t>
                  </w:r>
                </w:p>
              </w:tc>
              <w:tc>
                <w:tcPr>
                  <w:tcW w:w="1075" w:type="dxa"/>
                </w:tcPr>
                <w:p w14:paraId="0AE09D4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10.4%</w:t>
                  </w:r>
                </w:p>
              </w:tc>
              <w:tc>
                <w:tcPr>
                  <w:tcW w:w="1075" w:type="dxa"/>
                </w:tcPr>
                <w:p w14:paraId="34DEB96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5.5%</w:t>
                  </w:r>
                </w:p>
              </w:tc>
              <w:tc>
                <w:tcPr>
                  <w:tcW w:w="1075" w:type="dxa"/>
                </w:tcPr>
                <w:p w14:paraId="5298556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-1.8%</w:t>
                  </w:r>
                </w:p>
              </w:tc>
              <w:tc>
                <w:tcPr>
                  <w:tcW w:w="1075" w:type="dxa"/>
                </w:tcPr>
                <w:p w14:paraId="6849370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0.3%</w:t>
                  </w:r>
                </w:p>
              </w:tc>
            </w:tr>
            <w:tr w14:paraId="5373C6BF">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1D0BE0E7">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ROE %</w:t>
                  </w:r>
                </w:p>
              </w:tc>
              <w:tc>
                <w:tcPr>
                  <w:tcW w:w="1075" w:type="dxa"/>
                </w:tcPr>
                <w:p w14:paraId="1F004B1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63.7%</w:t>
                  </w:r>
                </w:p>
              </w:tc>
              <w:tc>
                <w:tcPr>
                  <w:tcW w:w="1075" w:type="dxa"/>
                </w:tcPr>
                <w:p w14:paraId="16D1BEF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67.0%</w:t>
                  </w:r>
                </w:p>
              </w:tc>
              <w:tc>
                <w:tcPr>
                  <w:tcW w:w="1075" w:type="dxa"/>
                </w:tcPr>
                <w:p w14:paraId="21AD633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96.1%</w:t>
                  </w:r>
                </w:p>
              </w:tc>
              <w:tc>
                <w:tcPr>
                  <w:tcW w:w="1075" w:type="dxa"/>
                </w:tcPr>
                <w:p w14:paraId="35B4ED63">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93.9%</w:t>
                  </w:r>
                </w:p>
              </w:tc>
              <w:tc>
                <w:tcPr>
                  <w:tcW w:w="1075" w:type="dxa"/>
                </w:tcPr>
                <w:p w14:paraId="1F4337E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91.4%</w:t>
                  </w:r>
                </w:p>
              </w:tc>
              <w:tc>
                <w:tcPr>
                  <w:tcW w:w="1075" w:type="dxa"/>
                </w:tcPr>
                <w:p w14:paraId="690C1F2D">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90.9%</w:t>
                  </w:r>
                </w:p>
              </w:tc>
            </w:tr>
            <w:tr w14:paraId="21BCBD21">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PrEx>
              <w:trPr>
                <w:wAfter w:w="0" w:type="auto"/>
              </w:trPr>
              <w:tc>
                <w:tcPr>
                  <w:tcW w:w="1644" w:type="dxa"/>
                </w:tcPr>
                <w:p w14:paraId="37B86503">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EPS</w:t>
                  </w:r>
                </w:p>
              </w:tc>
              <w:tc>
                <w:tcPr>
                  <w:tcW w:w="1075" w:type="dxa"/>
                </w:tcPr>
                <w:p w14:paraId="1D2A5436">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2.76</w:t>
                  </w:r>
                </w:p>
              </w:tc>
              <w:tc>
                <w:tcPr>
                  <w:tcW w:w="1075" w:type="dxa"/>
                </w:tcPr>
                <w:p w14:paraId="1C19DDB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2.30</w:t>
                  </w:r>
                </w:p>
              </w:tc>
              <w:tc>
                <w:tcPr>
                  <w:tcW w:w="1075" w:type="dxa"/>
                </w:tcPr>
                <w:p w14:paraId="074FDCB3">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2.54</w:t>
                  </w:r>
                </w:p>
              </w:tc>
              <w:tc>
                <w:tcPr>
                  <w:tcW w:w="1075" w:type="dxa"/>
                </w:tcPr>
                <w:p w14:paraId="384914B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2.68</w:t>
                  </w:r>
                </w:p>
              </w:tc>
              <w:tc>
                <w:tcPr>
                  <w:tcW w:w="1075" w:type="dxa"/>
                </w:tcPr>
                <w:p w14:paraId="5A77393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2.63</w:t>
                  </w:r>
                </w:p>
              </w:tc>
              <w:tc>
                <w:tcPr>
                  <w:tcW w:w="1075" w:type="dxa"/>
                </w:tcPr>
                <w:p w14:paraId="05903B9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2.64</w:t>
                  </w:r>
                </w:p>
              </w:tc>
            </w:tr>
            <w:tr w14:paraId="4E3379A6">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PrEx>
              <w:trPr>
                <w:wAfter w:w="0" w:type="auto"/>
              </w:trPr>
              <w:tc>
                <w:tcPr>
                  <w:tcW w:w="1644" w:type="dxa"/>
                </w:tcPr>
                <w:p w14:paraId="376B2F0F">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PE</w:t>
                  </w:r>
                </w:p>
              </w:tc>
              <w:tc>
                <w:tcPr>
                  <w:tcW w:w="1075" w:type="dxa"/>
                </w:tcPr>
                <w:p w14:paraId="518F0A7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15.3</w:t>
                  </w:r>
                </w:p>
              </w:tc>
              <w:tc>
                <w:tcPr>
                  <w:tcW w:w="1075" w:type="dxa"/>
                </w:tcPr>
                <w:p w14:paraId="343E222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18.4</w:t>
                  </w:r>
                </w:p>
              </w:tc>
              <w:tc>
                <w:tcPr>
                  <w:tcW w:w="1075" w:type="dxa"/>
                </w:tcPr>
                <w:p w14:paraId="22091E9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16.6</w:t>
                  </w:r>
                </w:p>
              </w:tc>
              <w:tc>
                <w:tcPr>
                  <w:tcW w:w="1075" w:type="dxa"/>
                </w:tcPr>
                <w:p w14:paraId="1E29A9F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15.8</w:t>
                  </w:r>
                </w:p>
              </w:tc>
              <w:tc>
                <w:tcPr>
                  <w:tcW w:w="1075" w:type="dxa"/>
                </w:tcPr>
                <w:p w14:paraId="74E56FD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16.1</w:t>
                  </w:r>
                </w:p>
              </w:tc>
              <w:tc>
                <w:tcPr>
                  <w:tcW w:w="1075" w:type="dxa"/>
                </w:tcPr>
                <w:p w14:paraId="743050DC">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16.0</w:t>
                  </w:r>
                </w:p>
              </w:tc>
            </w:tr>
            <w:tr w14:paraId="5767CEEA">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626A1C2A">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PB</w:t>
                  </w:r>
                </w:p>
              </w:tc>
              <w:tc>
                <w:tcPr>
                  <w:tcW w:w="1075" w:type="dxa"/>
                </w:tcPr>
                <w:p w14:paraId="0395B9A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9.6</w:t>
                  </w:r>
                </w:p>
              </w:tc>
              <w:tc>
                <w:tcPr>
                  <w:tcW w:w="1075" w:type="dxa"/>
                </w:tcPr>
                <w:p w14:paraId="74FDE061">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17.3</w:t>
                  </w:r>
                </w:p>
              </w:tc>
              <w:tc>
                <w:tcPr>
                  <w:tcW w:w="1075" w:type="dxa"/>
                </w:tcPr>
                <w:p w14:paraId="6C31586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14.9</w:t>
                  </w:r>
                </w:p>
              </w:tc>
              <w:tc>
                <w:tcPr>
                  <w:tcW w:w="1075" w:type="dxa"/>
                </w:tcPr>
                <w:p w14:paraId="7883F56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14.7</w:t>
                  </w:r>
                </w:p>
              </w:tc>
              <w:tc>
                <w:tcPr>
                  <w:tcW w:w="1075" w:type="dxa"/>
                </w:tcPr>
                <w:p w14:paraId="202A9FA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14.6</w:t>
                  </w:r>
                </w:p>
              </w:tc>
              <w:tc>
                <w:tcPr>
                  <w:tcW w:w="1075" w:type="dxa"/>
                </w:tcPr>
                <w:p w14:paraId="2299A311">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14.5</w:t>
                  </w:r>
                </w:p>
              </w:tc>
            </w:tr>
            <w:tr w14:paraId="7F46868A">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035DAB08">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EV/EBITDA</w:t>
                  </w:r>
                </w:p>
              </w:tc>
              <w:tc>
                <w:tcPr>
                  <w:tcW w:w="1075" w:type="dxa"/>
                </w:tcPr>
                <w:p w14:paraId="7BDA50C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4.7</w:t>
                  </w:r>
                </w:p>
              </w:tc>
              <w:tc>
                <w:tcPr>
                  <w:tcW w:w="1075" w:type="dxa"/>
                </w:tcPr>
                <w:p w14:paraId="51144E40">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5.2</w:t>
                  </w:r>
                </w:p>
              </w:tc>
              <w:tc>
                <w:tcPr>
                  <w:tcW w:w="1075" w:type="dxa"/>
                </w:tcPr>
                <w:p w14:paraId="35A829A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5.2</w:t>
                  </w:r>
                </w:p>
              </w:tc>
              <w:tc>
                <w:tcPr>
                  <w:tcW w:w="1075" w:type="dxa"/>
                </w:tcPr>
                <w:p w14:paraId="7A957BD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4.6</w:t>
                  </w:r>
                </w:p>
              </w:tc>
              <w:tc>
                <w:tcPr>
                  <w:tcW w:w="1075" w:type="dxa"/>
                </w:tcPr>
                <w:p w14:paraId="2CC9BD9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4.4</w:t>
                  </w:r>
                </w:p>
              </w:tc>
              <w:tc>
                <w:tcPr>
                  <w:tcW w:w="1075" w:type="dxa"/>
                </w:tcPr>
                <w:p w14:paraId="1BC4AD20">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4.1</w:t>
                  </w:r>
                </w:p>
              </w:tc>
            </w:tr>
            <w:bookmarkEnd w:id="18"/>
          </w:tbl>
          <w:p w14:paraId="5B8D3CD5">
            <w:pPr>
              <w:jc w:val="both"/>
              <w:rPr>
                <w:rFonts w:hint="eastAsia" w:ascii="微软雅黑" w:hAnsi="微软雅黑" w:eastAsia="微软雅黑" w:cs="微软雅黑"/>
                <w:i w:val="0"/>
                <w:iCs w:val="0"/>
                <w:color w:val="000000"/>
                <w:sz w:val="15"/>
                <w:szCs w:val="15"/>
                <w:u w:val="none"/>
                <w:lang w:eastAsia="zh-TW"/>
              </w:rPr>
            </w:pPr>
          </w:p>
        </w:tc>
      </w:tr>
      <w:bookmarkEnd w:id="19"/>
      <w:tr w14:paraId="5D59B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A67C46">
            <w:pPr>
              <w:keepNext w:val="0"/>
              <w:keepLines w:val="0"/>
              <w:widowControl/>
              <w:suppressLineNumbers w:val="0"/>
              <w:jc w:val="left"/>
              <w:textAlignment w:val="center"/>
              <w:rPr>
                <w:rFonts w:hint="eastAsia" w:ascii="Arial Unicode MS" w:hAnsi="Arial Unicode MS" w:eastAsia="PMingLiU" w:cs="Arial Unicode MS"/>
                <w:b/>
                <w:bCs/>
                <w:i w:val="0"/>
                <w:iCs w:val="0"/>
                <w:color w:val="000000"/>
                <w:sz w:val="15"/>
                <w:szCs w:val="15"/>
                <w:u w:val="none"/>
                <w:lang w:eastAsia="zh-TW"/>
              </w:rPr>
            </w:pPr>
            <w:r>
              <w:rPr>
                <w:rFonts w:hint="eastAsia" w:ascii="微软雅黑" w:hAnsi="微软雅黑" w:eastAsia="微软雅黑" w:cs="微软雅黑"/>
                <w:b/>
                <w:bCs/>
                <w:i w:val="0"/>
                <w:iCs w:val="0"/>
                <w:color w:val="000000"/>
                <w:sz w:val="15"/>
                <w:szCs w:val="15"/>
                <w:u w:val="none"/>
                <w:lang w:val="en-US" w:eastAsia="zh-CN"/>
              </w:rPr>
              <w:t>投资</w:t>
            </w:r>
            <w:r>
              <w:rPr>
                <w:rFonts w:hint="eastAsia" w:ascii="微软雅黑" w:hAnsi="微软雅黑" w:eastAsia="微软雅黑" w:cs="微软雅黑"/>
                <w:b/>
                <w:bCs/>
                <w:i w:val="0"/>
                <w:iCs w:val="0"/>
                <w:color w:val="000000"/>
                <w:sz w:val="15"/>
                <w:szCs w:val="15"/>
                <w:u w:val="none"/>
                <w:lang w:val="en-US" w:eastAsia="zh-TW"/>
              </w:rPr>
              <w:t>要点</w:t>
            </w:r>
          </w:p>
        </w:tc>
      </w:tr>
      <w:tr w14:paraId="09B1B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50"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top"/>
          </w:tcPr>
          <w:p w14:paraId="7C7C5F89">
            <w:pPr>
              <w:jc w:val="both"/>
              <w:rPr>
                <w:rFonts w:hint="eastAsia" w:ascii="微软雅黑" w:hAnsi="微软雅黑" w:eastAsia="微软雅黑" w:cs="微软雅黑"/>
                <w:i w:val="0"/>
                <w:iCs w:val="0"/>
                <w:color w:val="000000"/>
                <w:sz w:val="15"/>
                <w:szCs w:val="15"/>
                <w:u w:val="none"/>
              </w:rPr>
            </w:pPr>
            <w:bookmarkStart w:id="20" w:name="投资逻辑" w:colFirst="0" w:colLast="0"/>
            <w:r>
              <w:rPr>
                <w:rFonts w:ascii="微软雅黑" w:hAnsi="微软雅黑" w:eastAsia="微软雅黑" w:cs="微软雅黑"/>
              </w:rPr>
              <w:t>见附件</w:t>
            </w:r>
          </w:p>
        </w:tc>
      </w:tr>
      <w:bookmarkEnd w:id="20"/>
      <w:tr w14:paraId="68703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14979A">
            <w:pPr>
              <w:keepNext w:val="0"/>
              <w:keepLines w:val="0"/>
              <w:widowControl/>
              <w:suppressLineNumbers w:val="0"/>
              <w:jc w:val="left"/>
              <w:textAlignment w:val="center"/>
              <w:rPr>
                <w:rFonts w:hint="eastAsia" w:ascii="Arial Unicode MS" w:hAnsi="Arial Unicode MS" w:eastAsia="Arial Unicode MS" w:cs="Arial Unicode MS"/>
                <w:b/>
                <w:bCs/>
                <w:i w:val="0"/>
                <w:iCs w:val="0"/>
                <w:color w:val="000000"/>
                <w:sz w:val="15"/>
                <w:szCs w:val="15"/>
                <w:u w:val="none"/>
              </w:rPr>
            </w:pPr>
            <w:r>
              <w:rPr>
                <w:rFonts w:hint="eastAsia" w:ascii="微软雅黑" w:hAnsi="微软雅黑" w:eastAsia="微软雅黑" w:cs="微软雅黑"/>
                <w:b/>
                <w:bCs/>
                <w:i w:val="0"/>
                <w:iCs w:val="0"/>
                <w:color w:val="000000"/>
                <w:sz w:val="15"/>
                <w:szCs w:val="15"/>
                <w:u w:val="none"/>
                <w:lang w:val="en-US" w:eastAsia="zh-CN"/>
              </w:rPr>
              <w:t>正文部分</w:t>
            </w:r>
          </w:p>
        </w:tc>
      </w:tr>
      <w:tr w14:paraId="47179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7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top"/>
          </w:tcPr>
          <w:p w14:paraId="363EE3ED">
            <w:pPr>
              <w:jc w:val="both"/>
              <w:rPr>
                <w:rFonts w:hint="eastAsia" w:ascii="微软雅黑" w:hAnsi="微软雅黑" w:eastAsia="微软雅黑" w:cs="微软雅黑"/>
                <w:i w:val="0"/>
                <w:iCs w:val="0"/>
                <w:color w:val="000000"/>
                <w:sz w:val="15"/>
                <w:szCs w:val="15"/>
                <w:u w:val="none"/>
              </w:rPr>
            </w:pPr>
            <w:bookmarkStart w:id="21" w:name="正文" w:colFirst="0" w:colLast="0"/>
            <w:r>
              <w:rPr>
                <w:rFonts w:ascii="微软雅黑" w:hAnsi="微软雅黑" w:eastAsia="微软雅黑" w:cs="微软雅黑"/>
              </w:rPr>
              <w:t>见附件</w:t>
            </w:r>
          </w:p>
        </w:tc>
      </w:tr>
      <w:bookmarkEnd w:id="21"/>
    </w:tbl>
    <w:p w14:paraId="39F5FEF2">
      <w:pPr>
        <w:rPr>
          <w:rFonts w:hint="eastAsia" w:ascii="微软雅黑" w:hAnsi="微软雅黑" w:eastAsia="微软雅黑" w:cs="微软雅黑"/>
          <w:color w:val="808080" w:themeColor="background1" w:themeShade="80"/>
          <w:sz w:val="20"/>
          <w:szCs w:val="20"/>
        </w:rPr>
        <w:sectPr>
          <w:headerReference r:id="rId3" w:type="default"/>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pPr>
    </w:p>
    <w:p w14:paraId="3ABDC0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4B4A48"/>
          <w:spacing w:val="0"/>
          <w:sz w:val="24"/>
          <w:szCs w:val="24"/>
          <w:shd w:val="clear" w:fill="FFFFFF"/>
          <w:lang w:eastAsia="zh-CN"/>
        </w:rPr>
      </w:pPr>
      <w:r>
        <w:rPr>
          <w:rFonts w:hint="eastAsia" w:ascii="微软雅黑" w:hAnsi="微软雅黑" w:eastAsia="微软雅黑" w:cs="微软雅黑"/>
          <w:i w:val="0"/>
          <w:iCs w:val="0"/>
          <w:caps w:val="0"/>
          <w:color w:val="4B4A48"/>
          <w:spacing w:val="0"/>
          <w:sz w:val="24"/>
          <w:szCs w:val="24"/>
          <w:shd w:val="clear" w:fill="FFFFFF"/>
        </w:rPr>
        <w:t>报告评级对应的预期收益率</w:t>
      </w:r>
      <w:r>
        <w:rPr>
          <w:rFonts w:hint="eastAsia" w:ascii="微软雅黑" w:hAnsi="微软雅黑" w:eastAsia="微软雅黑" w:cs="微软雅黑"/>
          <w:i w:val="0"/>
          <w:iCs w:val="0"/>
          <w:caps w:val="0"/>
          <w:color w:val="4B4A48"/>
          <w:spacing w:val="0"/>
          <w:sz w:val="24"/>
          <w:szCs w:val="24"/>
          <w:shd w:val="clear" w:fill="FFFFFF"/>
          <w:lang w:eastAsia="zh-CN"/>
        </w:rPr>
        <w:t>（</w:t>
      </w:r>
      <w:r>
        <w:rPr>
          <w:rFonts w:hint="eastAsia" w:ascii="微软雅黑" w:hAnsi="微软雅黑" w:eastAsia="微软雅黑" w:cs="微软雅黑"/>
          <w:i w:val="0"/>
          <w:iCs w:val="0"/>
          <w:caps w:val="0"/>
          <w:color w:val="4B4A48"/>
          <w:spacing w:val="0"/>
          <w:sz w:val="24"/>
          <w:szCs w:val="24"/>
          <w:shd w:val="clear" w:fill="FFFFFF"/>
          <w:lang w:val="en-US" w:eastAsia="zh-CN"/>
        </w:rPr>
        <w:t>9个月</w:t>
      </w:r>
      <w:r>
        <w:rPr>
          <w:rFonts w:hint="eastAsia" w:ascii="微软雅黑" w:hAnsi="微软雅黑" w:eastAsia="微软雅黑" w:cs="微软雅黑"/>
          <w:i w:val="0"/>
          <w:iCs w:val="0"/>
          <w:caps w:val="0"/>
          <w:color w:val="4B4A48"/>
          <w:spacing w:val="0"/>
          <w:sz w:val="24"/>
          <w:szCs w:val="24"/>
          <w:shd w:val="clear" w:fill="FFFFFF"/>
          <w:lang w:eastAsia="zh-CN"/>
        </w:rPr>
        <w:t>）：</w:t>
      </w:r>
    </w:p>
    <w:p w14:paraId="2CD1354D">
      <w:pPr>
        <w:rPr>
          <w:rFonts w:hint="eastAsia" w:ascii="微软雅黑" w:hAnsi="微软雅黑" w:eastAsia="微软雅黑" w:cs="微软雅黑"/>
          <w:color w:val="44546A" w:themeColor="text2"/>
          <w:sz w:val="18"/>
          <w:szCs w:val="18"/>
          <w:lang w:val="en-US" w:eastAsia="zh-CN"/>
          <w14:textFill>
            <w14:solidFill>
              <w14:schemeClr w14:val="tx2"/>
            </w14:solidFill>
          </w14:textFill>
        </w:rPr>
      </w:pPr>
      <w:r>
        <w:rPr>
          <w:rFonts w:hint="eastAsia" w:ascii="微软雅黑" w:hAnsi="微软雅黑" w:eastAsia="微软雅黑" w:cs="微软雅黑"/>
          <w:color w:val="808080" w:themeColor="background1" w:themeShade="80"/>
          <w:sz w:val="18"/>
          <w:szCs w:val="18"/>
          <w:lang w:val="en-US" w:eastAsia="zh-CN"/>
        </w:rPr>
        <w:t>请根据股票评级给出</w:t>
      </w:r>
      <w:r>
        <w:rPr>
          <w:rFonts w:hint="eastAsia" w:ascii="微软雅黑" w:hAnsi="微软雅黑" w:eastAsia="微软雅黑" w:cs="微软雅黑"/>
          <w:color w:val="808080" w:themeColor="background1" w:themeShade="80"/>
          <w:sz w:val="18"/>
          <w:szCs w:val="18"/>
          <w:lang w:eastAsia="zh-CN"/>
        </w:rPr>
        <w:t>预期收益率，</w:t>
      </w:r>
      <w:r>
        <w:rPr>
          <w:rFonts w:hint="eastAsia" w:ascii="微软雅黑" w:hAnsi="微软雅黑" w:eastAsia="微软雅黑" w:cs="微软雅黑"/>
          <w:color w:val="808080" w:themeColor="background1" w:themeShade="80"/>
          <w:sz w:val="18"/>
          <w:szCs w:val="18"/>
          <w:lang w:val="en-US" w:eastAsia="zh-CN"/>
        </w:rPr>
        <w:t>给出的预期收益率不可低于评级范围的下限</w:t>
      </w:r>
    </w:p>
    <w:p w14:paraId="62A4B030">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强烈买入（50%以上）</w:t>
      </w:r>
    </w:p>
    <w:p w14:paraId="780EEA6A">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买入（10%</w:t>
      </w:r>
      <w:r>
        <w:rPr>
          <w:rFonts w:hint="eastAsia" w:ascii="微软雅黑" w:hAnsi="微软雅黑" w:eastAsia="微软雅黑" w:cs="微软雅黑"/>
          <w:color w:val="808080" w:themeColor="background1" w:themeShade="80"/>
          <w:sz w:val="18"/>
          <w:szCs w:val="18"/>
          <w:lang w:val="en-US" w:eastAsia="zh-CN"/>
        </w:rPr>
        <w:t>~50%</w:t>
      </w:r>
      <w:r>
        <w:rPr>
          <w:rFonts w:hint="eastAsia" w:ascii="微软雅黑" w:hAnsi="微软雅黑" w:eastAsia="微软雅黑" w:cs="微软雅黑"/>
          <w:color w:val="808080" w:themeColor="background1" w:themeShade="80"/>
          <w:sz w:val="18"/>
          <w:szCs w:val="18"/>
        </w:rPr>
        <w:t>）</w:t>
      </w:r>
    </w:p>
    <w:p w14:paraId="32F00FDF">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持有（</w:t>
      </w:r>
      <w:r>
        <w:rPr>
          <w:rFonts w:hint="eastAsia" w:ascii="微软雅黑" w:hAnsi="微软雅黑" w:eastAsia="微软雅黑" w:cs="微软雅黑"/>
          <w:color w:val="808080" w:themeColor="background1" w:themeShade="80"/>
          <w:sz w:val="18"/>
          <w:szCs w:val="18"/>
          <w:lang w:val="en-US" w:eastAsia="zh-CN"/>
        </w:rPr>
        <w:t>-</w:t>
      </w:r>
      <w:r>
        <w:rPr>
          <w:rFonts w:hint="eastAsia" w:ascii="微软雅黑" w:hAnsi="微软雅黑" w:eastAsia="微软雅黑" w:cs="微软雅黑"/>
          <w:color w:val="808080" w:themeColor="background1" w:themeShade="80"/>
          <w:sz w:val="18"/>
          <w:szCs w:val="18"/>
        </w:rPr>
        <w:t>10%</w:t>
      </w:r>
      <w:r>
        <w:rPr>
          <w:rFonts w:hint="eastAsia" w:ascii="微软雅黑" w:hAnsi="微软雅黑" w:eastAsia="微软雅黑" w:cs="微软雅黑"/>
          <w:color w:val="808080" w:themeColor="background1" w:themeShade="80"/>
          <w:sz w:val="18"/>
          <w:szCs w:val="18"/>
          <w:lang w:val="en-US" w:eastAsia="zh-CN"/>
        </w:rPr>
        <w:t>~</w:t>
      </w:r>
      <w:r>
        <w:rPr>
          <w:rFonts w:hint="eastAsia" w:ascii="微软雅黑" w:hAnsi="微软雅黑" w:eastAsia="微软雅黑" w:cs="微软雅黑"/>
          <w:color w:val="808080" w:themeColor="background1" w:themeShade="80"/>
          <w:sz w:val="18"/>
          <w:szCs w:val="18"/>
        </w:rPr>
        <w:t>10%）</w:t>
      </w:r>
    </w:p>
    <w:p w14:paraId="4B4BDB7B">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卖出（-</w:t>
      </w:r>
      <w:r>
        <w:rPr>
          <w:rFonts w:hint="eastAsia" w:ascii="微软雅黑" w:hAnsi="微软雅黑" w:eastAsia="微软雅黑" w:cs="微软雅黑"/>
          <w:color w:val="808080" w:themeColor="background1" w:themeShade="80"/>
          <w:sz w:val="18"/>
          <w:szCs w:val="18"/>
          <w:lang w:val="en-US" w:eastAsia="zh-CN"/>
        </w:rPr>
        <w:t>5</w:t>
      </w:r>
      <w:r>
        <w:rPr>
          <w:rFonts w:hint="eastAsia" w:ascii="微软雅黑" w:hAnsi="微软雅黑" w:eastAsia="微软雅黑" w:cs="微软雅黑"/>
          <w:color w:val="808080" w:themeColor="background1" w:themeShade="80"/>
          <w:sz w:val="18"/>
          <w:szCs w:val="18"/>
        </w:rPr>
        <w:t>0%</w:t>
      </w:r>
      <w:r>
        <w:rPr>
          <w:rFonts w:hint="eastAsia" w:ascii="微软雅黑" w:hAnsi="微软雅黑" w:eastAsia="微软雅黑" w:cs="微软雅黑"/>
          <w:color w:val="808080" w:themeColor="background1" w:themeShade="80"/>
          <w:sz w:val="18"/>
          <w:szCs w:val="18"/>
          <w:lang w:val="en-US" w:eastAsia="zh-CN"/>
        </w:rPr>
        <w:t>~-10%</w:t>
      </w:r>
      <w:r>
        <w:rPr>
          <w:rFonts w:hint="eastAsia" w:ascii="微软雅黑" w:hAnsi="微软雅黑" w:eastAsia="微软雅黑" w:cs="微软雅黑"/>
          <w:color w:val="808080" w:themeColor="background1" w:themeShade="80"/>
          <w:sz w:val="18"/>
          <w:szCs w:val="18"/>
        </w:rPr>
        <w:t>）</w:t>
      </w:r>
    </w:p>
    <w:p w14:paraId="49366263">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lang w:eastAsia="zh-CN"/>
        </w:rPr>
      </w:pPr>
      <w:r>
        <w:rPr>
          <w:rFonts w:hint="eastAsia" w:ascii="微软雅黑" w:hAnsi="微软雅黑" w:eastAsia="微软雅黑" w:cs="微软雅黑"/>
          <w:color w:val="808080" w:themeColor="background1" w:themeShade="80"/>
          <w:sz w:val="18"/>
          <w:szCs w:val="18"/>
        </w:rPr>
        <w:t>强烈卖出</w:t>
      </w:r>
      <w:r>
        <w:rPr>
          <w:rFonts w:hint="eastAsia" w:ascii="微软雅黑" w:hAnsi="微软雅黑" w:eastAsia="微软雅黑" w:cs="微软雅黑"/>
          <w:color w:val="808080" w:themeColor="background1" w:themeShade="80"/>
          <w:sz w:val="18"/>
          <w:szCs w:val="18"/>
          <w:lang w:eastAsia="zh-CN"/>
        </w:rPr>
        <w:t>（</w:t>
      </w:r>
      <w:r>
        <w:rPr>
          <w:rFonts w:hint="eastAsia" w:ascii="微软雅黑" w:hAnsi="微软雅黑" w:eastAsia="微软雅黑" w:cs="微软雅黑"/>
          <w:color w:val="808080" w:themeColor="background1" w:themeShade="80"/>
          <w:sz w:val="18"/>
          <w:szCs w:val="18"/>
          <w:lang w:val="en-US" w:eastAsia="zh-CN"/>
        </w:rPr>
        <w:t>-50%以下</w:t>
      </w:r>
      <w:r>
        <w:rPr>
          <w:rFonts w:hint="eastAsia" w:ascii="微软雅黑" w:hAnsi="微软雅黑" w:eastAsia="微软雅黑" w:cs="微软雅黑"/>
          <w:color w:val="808080" w:themeColor="background1" w:themeShade="80"/>
          <w:sz w:val="18"/>
          <w:szCs w:val="18"/>
          <w:lang w:eastAsia="zh-CN"/>
        </w:rPr>
        <w:t>）</w:t>
      </w:r>
    </w:p>
    <w:p w14:paraId="7F42D26F">
      <w:pPr>
        <w:rPr>
          <w:rFonts w:hint="eastAsia" w:ascii="微软雅黑" w:hAnsi="微软雅黑" w:eastAsia="微软雅黑" w:cs="微软雅黑"/>
          <w:color w:val="808080" w:themeColor="background1" w:themeShade="80"/>
          <w:sz w:val="20"/>
          <w:szCs w:val="20"/>
        </w:rPr>
      </w:pPr>
    </w:p>
    <w:p w14:paraId="23B552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4B4A48"/>
          <w:spacing w:val="0"/>
          <w:sz w:val="24"/>
          <w:szCs w:val="24"/>
          <w:shd w:val="clear" w:fill="FFFFFF"/>
        </w:rPr>
      </w:pPr>
      <w:r>
        <w:rPr>
          <w:rFonts w:hint="eastAsia" w:ascii="微软雅黑" w:hAnsi="微软雅黑" w:eastAsia="微软雅黑" w:cs="微软雅黑"/>
          <w:i w:val="0"/>
          <w:iCs w:val="0"/>
          <w:caps w:val="0"/>
          <w:color w:val="4B4A48"/>
          <w:spacing w:val="0"/>
          <w:sz w:val="24"/>
          <w:szCs w:val="24"/>
          <w:shd w:val="clear" w:fill="FFFFFF"/>
        </w:rPr>
        <w:t>重要声明</w:t>
      </w:r>
    </w:p>
    <w:p w14:paraId="206E1BFF">
      <w:pPr>
        <w:ind w:firstLine="360" w:firstLineChars="20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本报告由博时基金管理有限公司（博时基金）编制。本报告中的信息来源于公开资料，公司对该等信息的准确性和完整性不作任何保证。报告中的信息、观点等仅供参考，在任何情况下不构成对任何人的投资建议，亦不构成我司的实际投资结果。取得本报告的机构或人员应对本报告中的信息和观点进行独立评估，自主审慎做出决策并自行承担风险。博时基金及/或其关联人员均不承担任何责任。本报告版权均归博时基金管理有限公司所有，且该报告为公司商业秘密，未经授权，任何机构或个人不得以任何形式复制、转发或公开传播本报告的全部或部分内容。</w:t>
      </w:r>
    </w:p>
    <w:p w14:paraId="367E1ACC">
      <w:pPr>
        <w:rPr>
          <w:rFonts w:ascii="微软雅黑" w:hAnsi="微软雅黑" w:eastAsia="微软雅黑" w:cs="微软雅黑"/>
          <w:b/>
          <w:bCs/>
          <w:i w:val="0"/>
          <w:iCs w:val="0"/>
          <w:caps w:val="0"/>
          <w:color w:val="606266"/>
          <w:spacing w:val="0"/>
          <w:sz w:val="21"/>
          <w:szCs w:val="21"/>
          <w:shd w:val="clear" w:fill="FFFFFF"/>
        </w:rPr>
      </w:pPr>
      <w:r>
        <w:rPr>
          <w:rFonts w:ascii="微软雅黑" w:hAnsi="微软雅黑" w:eastAsia="微软雅黑" w:cs="微软雅黑"/>
          <w:b/>
          <w:bCs/>
          <w:i w:val="0"/>
          <w:iCs w:val="0"/>
          <w:caps w:val="0"/>
          <w:color w:val="606266"/>
          <w:spacing w:val="0"/>
          <w:sz w:val="21"/>
          <w:szCs w:val="21"/>
          <w:shd w:val="clear" w:fill="FFFFFF"/>
        </w:rPr>
        <w:t>Disclaimer</w:t>
      </w:r>
    </w:p>
    <w:p w14:paraId="1E5BA716">
      <w:pPr>
        <w:ind w:firstLine="360" w:firstLineChars="200"/>
        <w:rPr>
          <w:rFonts w:hint="eastAsia" w:ascii="微软雅黑" w:hAnsi="微软雅黑" w:eastAsia="微软雅黑" w:cs="微软雅黑"/>
          <w:color w:val="808080" w:themeColor="background1" w:themeShade="80"/>
          <w:sz w:val="20"/>
          <w:szCs w:val="20"/>
        </w:rPr>
      </w:pPr>
      <w:r>
        <w:rPr>
          <w:rFonts w:hint="eastAsia" w:ascii="微软雅黑" w:hAnsi="微软雅黑" w:eastAsia="微软雅黑" w:cs="微软雅黑"/>
          <w:b w:val="0"/>
          <w:bCs w:val="0"/>
          <w:i w:val="0"/>
          <w:iCs w:val="0"/>
          <w:caps w:val="0"/>
          <w:color w:val="606266"/>
          <w:spacing w:val="0"/>
          <w:sz w:val="18"/>
          <w:szCs w:val="18"/>
          <w:shd w:val="clear" w:fill="FFFFFF"/>
        </w:rPr>
        <w:t>This report has been produced by Bosera Asset Management Co., Limited (“Bosera”). This report is based on information available to the public that we consider reliable, but Bosera do not represent that it is accurate or complete. The information and opinions contained herein are for reference only and are not an offer to buy or sell any securities/financial products or to participate in any particular trading strategy. Under no circumstances shall the information contained herein or the opinions expressed herein constitute a personal recommendation to anyone. Institution or person who obtained this report should make their own independent evaluation of the information contained in this report. Neither Bosera nor its related persons shall be liable in any manner whatsoever for any consequences of any reliance thereon or usage thereof. This report is distributed by Bosera Asset Management Co., Limited (“Bosera”). Any organization or individual may not copy, forward or publicly distribute all or part of this report in any form without authorisation.</w:t>
      </w:r>
    </w:p>
    <w:p w14:paraId="2C5BA1FB">
      <w:pPr>
        <w:ind w:firstLine="400" w:firstLineChars="200"/>
        <w:rPr>
          <w:rFonts w:hint="eastAsia" w:ascii="微软雅黑" w:hAnsi="微软雅黑" w:eastAsia="微软雅黑" w:cs="微软雅黑"/>
          <w:color w:val="808080" w:themeColor="background1" w:themeShade="80"/>
          <w:sz w:val="20"/>
          <w:szCs w:val="20"/>
        </w:rPr>
      </w:pPr>
    </w:p>
    <w:p w14:paraId="22AC6C72">
      <w:pPr>
        <w:ind w:firstLine="400" w:firstLineChars="200"/>
        <w:rPr>
          <w:rFonts w:hint="eastAsia" w:ascii="微软雅黑" w:hAnsi="微软雅黑" w:eastAsia="微软雅黑" w:cs="微软雅黑"/>
          <w:color w:val="808080" w:themeColor="background1" w:themeShade="80"/>
          <w:sz w:val="20"/>
          <w:szCs w:val="20"/>
        </w:rPr>
      </w:pPr>
    </w:p>
    <w:p w14:paraId="375EBBD0">
      <w:pPr>
        <w:ind w:firstLine="400" w:firstLineChars="200"/>
        <w:rPr>
          <w:rFonts w:hint="eastAsia" w:ascii="微软雅黑" w:hAnsi="微软雅黑" w:eastAsia="微软雅黑" w:cs="微软雅黑"/>
          <w:color w:val="808080" w:themeColor="background1" w:themeShade="80"/>
          <w:sz w:val="20"/>
          <w:szCs w:val="20"/>
        </w:rPr>
      </w:pPr>
    </w:p>
    <w:p w14:paraId="1EBC4ABF">
      <w:pPr>
        <w:ind w:firstLine="400" w:firstLineChars="200"/>
        <w:rPr>
          <w:rFonts w:hint="eastAsia" w:ascii="微软雅黑" w:hAnsi="微软雅黑" w:eastAsia="微软雅黑" w:cs="微软雅黑"/>
          <w:color w:val="808080" w:themeColor="background1" w:themeShade="80"/>
          <w:sz w:val="20"/>
          <w:szCs w:val="20"/>
        </w:rPr>
      </w:pPr>
    </w:p>
    <w:p w14:paraId="50E5BFF2">
      <w:pPr>
        <w:ind w:firstLine="400" w:firstLineChars="200"/>
        <w:rPr>
          <w:rFonts w:hint="eastAsia" w:ascii="微软雅黑" w:hAnsi="微软雅黑" w:eastAsia="微软雅黑" w:cs="微软雅黑"/>
          <w:color w:val="808080" w:themeColor="background1" w:themeShade="80"/>
          <w:sz w:val="20"/>
          <w:szCs w:val="20"/>
        </w:rPr>
      </w:pPr>
    </w:p>
    <w:p w14:paraId="40951D94">
      <w:pPr>
        <w:ind w:firstLine="400" w:firstLineChars="200"/>
        <w:rPr>
          <w:rFonts w:hint="eastAsia" w:ascii="微软雅黑" w:hAnsi="微软雅黑" w:eastAsia="微软雅黑" w:cs="微软雅黑"/>
          <w:color w:val="808080" w:themeColor="background1" w:themeShade="80"/>
          <w:sz w:val="20"/>
          <w:szCs w:val="20"/>
        </w:rPr>
      </w:pPr>
    </w:p>
    <w:p w14:paraId="0B406201">
      <w:pPr>
        <w:ind w:firstLine="400" w:firstLineChars="200"/>
        <w:rPr>
          <w:rFonts w:hint="eastAsia" w:ascii="微软雅黑" w:hAnsi="微软雅黑" w:eastAsia="微软雅黑" w:cs="微软雅黑"/>
          <w:color w:val="808080" w:themeColor="background1" w:themeShade="80"/>
          <w:sz w:val="20"/>
          <w:szCs w:val="20"/>
        </w:rPr>
      </w:pPr>
    </w:p>
    <w:p w14:paraId="199A5A08">
      <w:pPr>
        <w:ind w:firstLine="400" w:firstLineChars="200"/>
        <w:rPr>
          <w:rFonts w:hint="eastAsia" w:ascii="微软雅黑" w:hAnsi="微软雅黑" w:eastAsia="微软雅黑" w:cs="微软雅黑"/>
          <w:color w:val="808080" w:themeColor="background1" w:themeShade="80"/>
          <w:sz w:val="20"/>
          <w:szCs w:val="20"/>
        </w:rPr>
      </w:pPr>
    </w:p>
    <w:p w14:paraId="3EAE6CFA">
      <w:pPr>
        <w:ind w:firstLine="400" w:firstLineChars="200"/>
        <w:rPr>
          <w:rFonts w:hint="eastAsia" w:ascii="微软雅黑" w:hAnsi="微软雅黑" w:eastAsia="微软雅黑" w:cs="微软雅黑"/>
          <w:color w:val="808080" w:themeColor="background1" w:themeShade="80"/>
          <w:sz w:val="20"/>
          <w:szCs w:val="20"/>
        </w:rPr>
      </w:pPr>
    </w:p>
    <w:p w14:paraId="76C97CA3"/>
    <w:sectPr>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auto"/>
    <w:pitch w:val="default"/>
    <w:sig w:usb0="00000000" w:usb1="00000000" w:usb2="0000003F" w:usb3="00000000" w:csb0="603F01FF" w:csb1="FFFF0000"/>
  </w:font>
  <w:font w:name="微软雅黑">
    <w:panose1 w:val="020B0503020204020204"/>
    <w:charset w:val="86"/>
    <w:family w:val="auto"/>
    <w:pitch w:val="default"/>
    <w:sig w:usb0="80000287" w:usb1="2ACF3C50" w:usb2="00000016" w:usb3="00000000" w:csb0="0004001F" w:csb1="00000000"/>
  </w:font>
  <w:font w:name="PMingLiU">
    <w:altName w:val="PMingLiU-ExtB"/>
    <w:panose1 w:val="02020500000000000000"/>
    <w:charset w:val="88"/>
    <w:family w:val="auto"/>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CBBA48">
    <w:pPr>
      <w:pStyle w:val="4"/>
      <w:rPr>
        <w:rFonts w:hint="eastAsia" w:ascii="黑体" w:hAnsi="黑体" w:eastAsia="黑体"/>
        <w:color w:val="FF0000"/>
        <w:sz w:val="15"/>
        <w:szCs w:val="15"/>
      </w:rPr>
    </w:pPr>
  </w:p>
  <w:p w14:paraId="43F25F8B">
    <w:pPr>
      <w:pStyle w:val="4"/>
    </w:pPr>
    <w:r>
      <w:rPr>
        <w:rFonts w:hint="default" w:ascii="黑体" w:hAnsi="黑体" w:eastAsia="黑体"/>
        <w:color w:val="FF0000"/>
        <w:sz w:val="13"/>
        <w:szCs w:val="13"/>
        <w:lang w:val="en-US" w:eastAsia="zh-CN"/>
      </w:rPr>
      <w:t>博时基金内部</w:t>
    </w:r>
  </w:p>
  <w:p w14:paraId="667149A4">
    <w:pPr>
      <w:pStyle w:val="4"/>
    </w:pPr>
    <w:r>
      <w:rPr>
        <w:rFonts w:hint="eastAsia" w:ascii="黑体" w:hAnsi="黑体" w:eastAsia="黑体"/>
        <w:color w:val="FF0000"/>
        <w:sz w:val="13"/>
        <w:szCs w:val="13"/>
        <w:lang w:eastAsia="zh-CN"/>
      </w:rPr>
      <w:t>内部资料，严禁以任何形式外发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D3BAC5"/>
    <w:multiLevelType w:val="singleLevel"/>
    <w:tmpl w:val="4AD3BAC5"/>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39E6DCC"/>
    <w:rsid w:val="042B546D"/>
    <w:rsid w:val="0C630610"/>
    <w:rsid w:val="10054457"/>
    <w:rsid w:val="11D91E11"/>
    <w:rsid w:val="15CB025E"/>
    <w:rsid w:val="16E4330B"/>
    <w:rsid w:val="17AB7891"/>
    <w:rsid w:val="1849118F"/>
    <w:rsid w:val="185A3823"/>
    <w:rsid w:val="19F608D3"/>
    <w:rsid w:val="1A2E74A7"/>
    <w:rsid w:val="1A980DEB"/>
    <w:rsid w:val="1AA06D71"/>
    <w:rsid w:val="1B9A7D02"/>
    <w:rsid w:val="1DAC29C4"/>
    <w:rsid w:val="1E1D08CD"/>
    <w:rsid w:val="1F2917BE"/>
    <w:rsid w:val="1F900288"/>
    <w:rsid w:val="20E4496A"/>
    <w:rsid w:val="22644917"/>
    <w:rsid w:val="229E3895"/>
    <w:rsid w:val="240D37EF"/>
    <w:rsid w:val="25257879"/>
    <w:rsid w:val="267D2CF3"/>
    <w:rsid w:val="2B841891"/>
    <w:rsid w:val="2EAF61D1"/>
    <w:rsid w:val="2EB246E5"/>
    <w:rsid w:val="312B436A"/>
    <w:rsid w:val="3256265D"/>
    <w:rsid w:val="33146A1F"/>
    <w:rsid w:val="35933BA3"/>
    <w:rsid w:val="3BE12CF0"/>
    <w:rsid w:val="3EBB6D81"/>
    <w:rsid w:val="3FFE708C"/>
    <w:rsid w:val="4403255B"/>
    <w:rsid w:val="440A0DFD"/>
    <w:rsid w:val="481028EF"/>
    <w:rsid w:val="48444E3E"/>
    <w:rsid w:val="4C07329C"/>
    <w:rsid w:val="4DCE0537"/>
    <w:rsid w:val="4F0A49F1"/>
    <w:rsid w:val="517107F5"/>
    <w:rsid w:val="542E5ED7"/>
    <w:rsid w:val="544B1D99"/>
    <w:rsid w:val="561828FD"/>
    <w:rsid w:val="5ACF37ED"/>
    <w:rsid w:val="5CB0049F"/>
    <w:rsid w:val="5DE26666"/>
    <w:rsid w:val="5F28ADE4"/>
    <w:rsid w:val="600A0FE7"/>
    <w:rsid w:val="609472C8"/>
    <w:rsid w:val="60EE2C3D"/>
    <w:rsid w:val="62A9767F"/>
    <w:rsid w:val="65915055"/>
    <w:rsid w:val="6AF55AB3"/>
    <w:rsid w:val="6B874DA8"/>
    <w:rsid w:val="6D2300B2"/>
    <w:rsid w:val="6DD57BDE"/>
    <w:rsid w:val="6DFFC0FE"/>
    <w:rsid w:val="6E090BD8"/>
    <w:rsid w:val="6FF63393"/>
    <w:rsid w:val="702D2468"/>
    <w:rsid w:val="73D4378B"/>
    <w:rsid w:val="755810B1"/>
    <w:rsid w:val="75722D85"/>
    <w:rsid w:val="75D24577"/>
    <w:rsid w:val="761E54F1"/>
    <w:rsid w:val="762F6FCD"/>
    <w:rsid w:val="77BFB76E"/>
    <w:rsid w:val="7990566B"/>
    <w:rsid w:val="7AE01111"/>
    <w:rsid w:val="7B514346"/>
    <w:rsid w:val="7D143A7A"/>
    <w:rsid w:val="7D596445"/>
    <w:rsid w:val="7D6E3139"/>
    <w:rsid w:val="BC5F93B1"/>
    <w:rsid w:val="DFDDCE82"/>
    <w:rsid w:val="EBBDCB6F"/>
    <w:rsid w:val="F99F24B2"/>
    <w:rsid w:val="FBBF0D8D"/>
    <w:rsid w:val="FC65AF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样式1"/>
    <w:basedOn w:val="1"/>
    <w:link w:val="9"/>
    <w:qFormat/>
    <w:uiPriority w:val="0"/>
    <w:rPr>
      <w:rFonts w:eastAsia="Arial Unicode MS" w:asciiTheme="minorAscii" w:hAnsiTheme="minorAscii"/>
      <w:sz w:val="15"/>
    </w:rPr>
  </w:style>
  <w:style w:type="character" w:customStyle="1" w:styleId="9">
    <w:name w:val="样式1 Char"/>
    <w:link w:val="8"/>
    <w:qFormat/>
    <w:uiPriority w:val="0"/>
    <w:rPr>
      <w:rFonts w:eastAsia="Arial Unicode MS" w:asciiTheme="minorAscii" w:hAnsiTheme="minorAscii"/>
      <w:sz w:val="15"/>
    </w:rPr>
  </w:style>
  <w:style w:type="paragraph" w:customStyle="1" w:styleId="10">
    <w:name w:val="样式2"/>
    <w:basedOn w:val="1"/>
    <w:link w:val="11"/>
    <w:qFormat/>
    <w:uiPriority w:val="0"/>
    <w:rPr>
      <w:rFonts w:eastAsia="Arial Unicode MS" w:asciiTheme="minorAscii" w:hAnsiTheme="minorAscii"/>
      <w:sz w:val="15"/>
    </w:rPr>
  </w:style>
  <w:style w:type="character" w:customStyle="1" w:styleId="11">
    <w:name w:val="样式2 Char"/>
    <w:link w:val="10"/>
    <w:qFormat/>
    <w:uiPriority w:val="0"/>
    <w:rPr>
      <w:rFonts w:eastAsia="Arial Unicode MS" w:asciiTheme="minorAscii" w:hAnsiTheme="minorAscii"/>
      <w:sz w:val="15"/>
    </w:rPr>
  </w:style>
  <w:style w:type="paragraph" w:customStyle="1" w:styleId="12">
    <w:name w:val="样式3"/>
    <w:basedOn w:val="1"/>
    <w:link w:val="13"/>
    <w:qFormat/>
    <w:uiPriority w:val="0"/>
    <w:rPr>
      <w:rFonts w:eastAsia="Arial Unicode MS" w:asciiTheme="minorAscii" w:hAnsiTheme="minorAscii"/>
      <w:sz w:val="15"/>
    </w:rPr>
  </w:style>
  <w:style w:type="character" w:customStyle="1" w:styleId="13">
    <w:name w:val="样式3 Char"/>
    <w:link w:val="12"/>
    <w:qFormat/>
    <w:uiPriority w:val="0"/>
    <w:rPr>
      <w:rFonts w:eastAsia="Arial Unicode MS" w:asciiTheme="minorAscii" w:hAnsiTheme="minorAscii"/>
      <w:sz w:val="15"/>
    </w:rPr>
  </w:style>
  <w:style w:type="paragraph" w:customStyle="1" w:styleId="14">
    <w:name w:val="样式4"/>
    <w:basedOn w:val="1"/>
    <w:link w:val="15"/>
    <w:qFormat/>
    <w:uiPriority w:val="0"/>
    <w:rPr>
      <w:rFonts w:eastAsia="Arial Unicode MS" w:asciiTheme="minorAscii" w:hAnsiTheme="minorAscii"/>
      <w:sz w:val="13"/>
    </w:rPr>
  </w:style>
  <w:style w:type="character" w:customStyle="1" w:styleId="15">
    <w:name w:val="样式4 Char"/>
    <w:link w:val="14"/>
    <w:qFormat/>
    <w:uiPriority w:val="0"/>
    <w:rPr>
      <w:rFonts w:eastAsia="Arial Unicode MS" w:asciiTheme="minorAscii" w:hAnsiTheme="minorAscii"/>
      <w:sz w:val="13"/>
    </w:rPr>
  </w:style>
  <w:style w:type="paragraph" w:customStyle="1" w:styleId="16">
    <w:name w:val="样式5"/>
    <w:basedOn w:val="1"/>
    <w:link w:val="17"/>
    <w:qFormat/>
    <w:uiPriority w:val="0"/>
    <w:rPr>
      <w:rFonts w:eastAsia="Arial Unicode MS" w:asciiTheme="minorAscii" w:hAnsiTheme="minorAscii"/>
      <w:sz w:val="15"/>
    </w:rPr>
  </w:style>
  <w:style w:type="character" w:customStyle="1" w:styleId="17">
    <w:name w:val="样式5 Char"/>
    <w:link w:val="16"/>
    <w:qFormat/>
    <w:uiPriority w:val="0"/>
    <w:rPr>
      <w:rFonts w:eastAsia="Arial Unicode MS" w:asciiTheme="minorAscii" w:hAnsiTheme="minorAscii"/>
      <w:sz w:val="15"/>
    </w:rPr>
  </w:style>
  <w:style w:type="paragraph" w:customStyle="1" w:styleId="18">
    <w:name w:val="样式6"/>
    <w:basedOn w:val="1"/>
    <w:link w:val="19"/>
    <w:qFormat/>
    <w:uiPriority w:val="0"/>
    <w:rPr>
      <w:rFonts w:eastAsia="Arial Unicode MS" w:asciiTheme="minorAscii" w:hAnsiTheme="minorAscii"/>
      <w:sz w:val="15"/>
    </w:rPr>
  </w:style>
  <w:style w:type="character" w:customStyle="1" w:styleId="19">
    <w:name w:val="样式6 Char"/>
    <w:link w:val="18"/>
    <w:qFormat/>
    <w:uiPriority w:val="0"/>
    <w:rPr>
      <w:rFonts w:eastAsia="Arial Unicode MS" w:asciiTheme="minorAscii" w:hAnsiTheme="minorAscii"/>
      <w:sz w:val="15"/>
    </w:rPr>
  </w:style>
</w:style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c29291ec-e9dc-4608-a903-d1366562d724}"/>
        <w:style w:val=""/>
        <w:category>
          <w:name w:val="常规"/>
          <w:gallery w:val="placeholder"/>
        </w:category>
        <w:types>
          <w:type w:val="bbPlcHdr"/>
        </w:types>
        <w:behaviors>
          <w:behavior w:val="content"/>
        </w:behaviors>
        <w:description w:val=""/>
        <w:guid w:val="{c29291ec-e9dc-4608-a903-d1366562d724}"/>
      </w:docPartPr>
      <w:docPartBody>
        <w:p w14:paraId="51E57562">
          <w:r>
            <w:rPr>
              <w:color w:val="808080"/>
            </w:rPr>
            <w:t>选择一项。</w:t>
          </w:r>
        </w:p>
      </w:docPartBody>
    </w:docPart>
    <w:docPart>
      <w:docPartPr>
        <w:name w:val="{0daf061f-d72c-4e6a-bb21-74e9fcd2540c}"/>
        <w:style w:val=""/>
        <w:category>
          <w:name w:val="常规"/>
          <w:gallery w:val="placeholder"/>
        </w:category>
        <w:types>
          <w:type w:val="bbPlcHdr"/>
        </w:types>
        <w:behaviors>
          <w:behavior w:val="content"/>
        </w:behaviors>
        <w:description w:val=""/>
        <w:guid w:val="{0daf061f-d72c-4e6a-bb21-74e9fcd2540c}"/>
      </w:docPartPr>
      <w:docPartBody>
        <w:p w14:paraId="75C9E3F5">
          <w:r>
            <w:rPr>
              <w:color w:val="808080"/>
            </w:rPr>
            <w:t>单击此处输入文字。</w:t>
          </w:r>
        </w:p>
      </w:docPartBody>
    </w:docPart>
    <w:docPart>
      <w:docPartPr>
        <w:name w:val="{df61b350-aee6-47bd-944d-08e6078126c1}"/>
        <w:style w:val=""/>
        <w:category>
          <w:name w:val="常规"/>
          <w:gallery w:val="placeholder"/>
        </w:category>
        <w:types>
          <w:type w:val="bbPlcHdr"/>
        </w:types>
        <w:behaviors>
          <w:behavior w:val="content"/>
        </w:behaviors>
        <w:description w:val=""/>
        <w:guid w:val="{df61b350-aee6-47bd-944d-08e6078126c1}"/>
      </w:docPartPr>
      <w:docPartBody>
        <w:p w14:paraId="16C0C1F4">
          <w:r>
            <w:rPr>
              <w:color w:val="808080"/>
            </w:rPr>
            <w:t>单击此处输入日期。</w:t>
          </w:r>
        </w:p>
      </w:docPartBody>
    </w:docPart>
    <w:docPart>
      <w:docPartPr>
        <w:name w:val="{02a91e4c-c88b-425f-b53c-17349660d8d2}"/>
        <w:style w:val=""/>
        <w:category>
          <w:name w:val="常规"/>
          <w:gallery w:val="placeholder"/>
        </w:category>
        <w:types>
          <w:type w:val="bbPlcHdr"/>
        </w:types>
        <w:behaviors>
          <w:behavior w:val="content"/>
        </w:behaviors>
        <w:description w:val=""/>
        <w:guid w:val="{02a91e4c-c88b-425f-b53c-17349660d8d2}"/>
      </w:docPartPr>
      <w:docPartBody>
        <w:p w14:paraId="669A7B3D">
          <w:r>
            <w:rPr>
              <w:color w:val="808080"/>
            </w:rPr>
            <w:t>选择一项。</w:t>
          </w:r>
        </w:p>
      </w:docPartBody>
    </w:docPart>
    <w:docPart>
      <w:docPartPr>
        <w:name w:val="{54f684b5-99ba-4458-9b63-c98da7f6cfa6}"/>
        <w:style w:val=""/>
        <w:category>
          <w:name w:val="常规"/>
          <w:gallery w:val="placeholder"/>
        </w:category>
        <w:types>
          <w:type w:val="bbPlcHdr"/>
        </w:types>
        <w:behaviors>
          <w:behavior w:val="content"/>
        </w:behaviors>
        <w:description w:val=""/>
        <w:guid w:val="{54f684b5-99ba-4458-9b63-c98da7f6cfa6}"/>
      </w:docPartPr>
      <w:docPartBody>
        <w:p w14:paraId="16814FDE">
          <w:r>
            <w:rPr>
              <w:color w:val="808080"/>
            </w:rPr>
            <w:t>选择一项。</w:t>
          </w:r>
        </w:p>
      </w:docPartBody>
    </w:docPart>
    <w:docPart>
      <w:docPartPr>
        <w:name w:val="{5b90eca8-60e1-46ed-8f03-92f9c27e6e40}"/>
        <w:style w:val=""/>
        <w:category>
          <w:name w:val="常规"/>
          <w:gallery w:val="placeholder"/>
        </w:category>
        <w:types>
          <w:type w:val="bbPlcHdr"/>
        </w:types>
        <w:behaviors>
          <w:behavior w:val="content"/>
        </w:behaviors>
        <w:description w:val=""/>
        <w:guid w:val="{5b90eca8-60e1-46ed-8f03-92f9c27e6e40}"/>
      </w:docPartPr>
      <w:docPartBody>
        <w:p w14:paraId="0BBB2603"/>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1254</Words>
  <Characters>2312</Characters>
  <Lines>0</Lines>
  <Paragraphs>0</Paragraphs>
  <TotalTime>24</TotalTime>
  <ScaleCrop>false</ScaleCrop>
  <LinksUpToDate>false</LinksUpToDate>
  <CharactersWithSpaces>2571</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2022-03-03T10:04:00Z</dcterms:created>
  <dc:creator>wanli</dc:creator>
  <cp:lastModifiedBy>shans739</cp:lastModifiedBy>
  <dcterms:modified xsi:type="dcterms:W3CDTF">2026-06-29T01:46:25Z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169A89A17C3441CCAAF764253CCD8B00_13</vt:lpwstr>
  </property>
  <property fmtid="{D5CDD505-2E9C-101B-9397-08002B2CF9AE}" pid="4" name="username">
    <vt:lpwstr>bsjj</vt:lpwstr>
  </property>
</Properties>
</file>