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汇率与关税双重压制下增速转负，质地犹存但短期可视性不足，暂观望</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301061</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短期：增速由正转负，汇率折算与消费beta共振拖累报表，可视性明显下降</w:t>
            </w:r>
          </w:p>
          <w:p>
            <w:r>
              <w:rPr>
                <w:rFonts w:ascii="微软雅黑" w:hAnsi="微软雅黑" w:eastAsia="微软雅黑" w:cs="微软雅黑"/>
                <w:b w:val="0"/>
                <w:sz w:val="18"/>
              </w:rPr>
              <w:t xml:space="preserve">1. </w:t>
            </w:r>
            <w:r>
              <w:rPr>
                <w:rFonts w:ascii="微软雅黑" w:hAnsi="微软雅黑" w:eastAsia="微软雅黑" w:cs="微软雅黑"/>
                <w:b/>
                <w:sz w:val="18"/>
              </w:rPr>
              <w:t>增速转负</w:t>
            </w:r>
            <w:r>
              <w:rPr>
                <w:rFonts w:ascii="微软雅黑" w:hAnsi="微软雅黑" w:eastAsia="微软雅黑" w:cs="微软雅黑"/>
                <w:b w:val="0"/>
                <w:sz w:val="18"/>
              </w:rPr>
              <w:t>：26Q1 营收同比 -3.6%、归母 -14.3%、扣非 -29.1%，对比 2025 全年 +32.6%/+25.6% 明显失速。但同汇率口径下收入基本平稳、还原汇兑损失与公允价值变动后归母增速约 +30%——引擎没坏，主要是汇率折算 + 非美市场（收入 -55.3%）拖累报表口径。</w:t>
            </w:r>
          </w:p>
          <w:p>
            <w:r>
              <w:rPr>
                <w:rFonts w:ascii="微软雅黑" w:hAnsi="微软雅黑" w:eastAsia="微软雅黑" w:cs="微软雅黑"/>
                <w:b w:val="0"/>
                <w:sz w:val="18"/>
              </w:rPr>
              <w:t xml:space="preserve">2. </w:t>
            </w:r>
            <w:r>
              <w:rPr>
                <w:rFonts w:ascii="微软雅黑" w:hAnsi="微软雅黑" w:eastAsia="微软雅黑" w:cs="微软雅黑"/>
                <w:b/>
                <w:sz w:val="18"/>
              </w:rPr>
              <w:t>汇率压制抬不起可视性</w:t>
            </w:r>
            <w:r>
              <w:rPr>
                <w:rFonts w:ascii="微软雅黑" w:hAnsi="微软雅黑" w:eastAsia="微软雅黑" w:cs="微软雅黑"/>
                <w:b w:val="0"/>
                <w:sz w:val="18"/>
              </w:rPr>
              <w:t>：26Q1 财务费用由负转正，汇兑损失约 0.5 亿、收入折算减少 0.33 亿，财务费用率从 2025 的 -0.86% 跳到 +5.04%。汇率方向不逆转，EPS 的能见度就上不来，这是短期最核心的压制项。</w:t>
            </w:r>
          </w:p>
          <w:p>
            <w:r>
              <w:rPr>
                <w:rFonts w:ascii="微软雅黑" w:hAnsi="微软雅黑" w:eastAsia="微软雅黑" w:cs="微软雅黑"/>
                <w:b w:val="0"/>
                <w:sz w:val="18"/>
              </w:rPr>
              <w:t xml:space="preserve">3. </w:t>
            </w:r>
            <w:r>
              <w:rPr>
                <w:rFonts w:ascii="微软雅黑" w:hAnsi="微软雅黑" w:eastAsia="微软雅黑" w:cs="微软雅黑"/>
                <w:b/>
                <w:sz w:val="18"/>
              </w:rPr>
              <w:t>关税与消费beta 双逆风</w:t>
            </w:r>
            <w:r>
              <w:rPr>
                <w:rFonts w:ascii="微软雅黑" w:hAnsi="微软雅黑" w:eastAsia="微软雅黑" w:cs="微软雅黑"/>
                <w:b w:val="0"/>
                <w:sz w:val="18"/>
              </w:rPr>
              <w:t>：越南木架软体关税 2025-10 起升至 25%，软体家具 30% 关税推迟到 2027-01，2026-06 美国又启动对越南 301 调查；叠加 2025 中国家具出口 -6.1%、家具制造业利润 -12.1%，海外需求 beta 与资金面共振逆风。</w:t>
            </w:r>
          </w:p>
          <w:p>
            <w:r>
              <w:rPr>
                <w:rFonts w:ascii="微软雅黑" w:hAnsi="微软雅黑" w:eastAsia="微软雅黑" w:cs="微软雅黑"/>
                <w:b w:val="0"/>
                <w:sz w:val="18"/>
              </w:rPr>
              <w:t xml:space="preserve">4. </w:t>
            </w:r>
            <w:r>
              <w:rPr>
                <w:rFonts w:ascii="微软雅黑" w:hAnsi="微软雅黑" w:eastAsia="微软雅黑" w:cs="微软雅黑"/>
                <w:b/>
                <w:sz w:val="18"/>
              </w:rPr>
              <w:t>全年预期需修复验证</w:t>
            </w:r>
            <w:r>
              <w:rPr>
                <w:rFonts w:ascii="微软雅黑" w:hAnsi="微软雅黑" w:eastAsia="微软雅黑" w:cs="微软雅黑"/>
                <w:b w:val="0"/>
                <w:sz w:val="18"/>
              </w:rPr>
              <w:t>：模型 2026 全年仍押收入 +20%/归母 +23%，与 26Q1 实际负增长背离，依赖 Q2-Q4 修复兑现——正是"可视性不足"的注脚，也是建议观望而非参与的核心理由。</w:t>
            </w:r>
          </w:p>
          <w:p/>
          <w:p>
            <w:r>
              <w:rPr>
                <w:rFonts w:ascii="微软雅黑" w:hAnsi="微软雅黑" w:eastAsia="微软雅黑" w:cs="微软雅黑"/>
                <w:b/>
                <w:sz w:val="18"/>
              </w:rPr>
              <w:t>中长期：质地卓越，OBM 转型 + 柬埔寨产能 + 海外并购打开长跑道</w:t>
            </w:r>
          </w:p>
          <w:p>
            <w:r>
              <w:rPr>
                <w:rFonts w:ascii="微软雅黑" w:hAnsi="微软雅黑" w:eastAsia="微软雅黑" w:cs="微软雅黑"/>
                <w:b w:val="0"/>
                <w:sz w:val="18"/>
              </w:rPr>
              <w:t xml:space="preserve">1. </w:t>
            </w:r>
            <w:r>
              <w:rPr>
                <w:rFonts w:ascii="微软雅黑" w:hAnsi="微软雅黑" w:eastAsia="微软雅黑" w:cs="微软雅黑"/>
                <w:b/>
                <w:sz w:val="18"/>
              </w:rPr>
              <w:t>OBM 转型与客户结构升级</w:t>
            </w:r>
            <w:r>
              <w:rPr>
                <w:rFonts w:ascii="微软雅黑" w:hAnsi="微软雅黑" w:eastAsia="微软雅黑" w:cs="微软雅黑"/>
                <w:b w:val="0"/>
                <w:sz w:val="18"/>
              </w:rPr>
              <w:t>：美国零售商客户收入占比从 2024 的 58.84% 升到 26Q1 的 71.25%，2025 全年新增客户 89 家；自主品牌（MotoMotion/MotoSleep 等）价格约为头部竞品 50%，店中店从 24H1 约 150 家突破到 25Q1 的 500 家，份额逻辑持续兑现。</w:t>
            </w:r>
          </w:p>
          <w:p>
            <w:r>
              <w:rPr>
                <w:rFonts w:ascii="微软雅黑" w:hAnsi="微软雅黑" w:eastAsia="微软雅黑" w:cs="微软雅黑"/>
                <w:b w:val="0"/>
                <w:sz w:val="18"/>
              </w:rPr>
              <w:t xml:space="preserve">2. </w:t>
            </w:r>
            <w:r>
              <w:rPr>
                <w:rFonts w:ascii="微软雅黑" w:hAnsi="微软雅黑" w:eastAsia="微软雅黑" w:cs="微软雅黑"/>
                <w:b/>
                <w:sz w:val="18"/>
              </w:rPr>
              <w:t>产能规避关税 + 并购切入</w:t>
            </w:r>
            <w:r>
              <w:rPr>
                <w:rFonts w:ascii="微软雅黑" w:hAnsi="微软雅黑" w:eastAsia="微软雅黑" w:cs="微软雅黑"/>
                <w:b w:val="0"/>
                <w:sz w:val="18"/>
              </w:rPr>
              <w:t>：越南制造占比 82%（25H1），柬埔寨基地 1.5 亿投资（年产 20 万套沙发 + 10 万套床 + 20 万套配件）对冲关税上行；2025-05 收购加拿大 Palliser，首次尝试海外并购整合，打开第二增长曲线。</w:t>
            </w:r>
          </w:p>
          <w:p>
            <w:r>
              <w:rPr>
                <w:rFonts w:ascii="微软雅黑" w:hAnsi="微软雅黑" w:eastAsia="微软雅黑" w:cs="微软雅黑"/>
                <w:b w:val="0"/>
                <w:sz w:val="18"/>
              </w:rPr>
              <w:t xml:space="preserve">3. </w:t>
            </w:r>
            <w:r>
              <w:rPr>
                <w:rFonts w:ascii="微软雅黑" w:hAnsi="微软雅黑" w:eastAsia="微软雅黑" w:cs="微软雅黑"/>
                <w:b/>
                <w:sz w:val="18"/>
              </w:rPr>
              <w:t>赛道跑道长、盈利质量高</w:t>
            </w:r>
            <w:r>
              <w:rPr>
                <w:rFonts w:ascii="微软雅黑" w:hAnsi="微软雅黑" w:eastAsia="微软雅黑" w:cs="微软雅黑"/>
                <w:b w:val="0"/>
                <w:sz w:val="18"/>
              </w:rPr>
              <w:t>：全球功能沙发 2023 年 319 亿美元，头部 La-Z-Boy/敏华市占率仅 0.3%/0.2%，匠心自主品牌约 0.05%，份额提升空间巨大；毛利率维持 39%+ 高位，2025 经营现金流 7.89 亿（+59.2%），质地支撑中长期判断。</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40.6 亿，yoy +20%，归母净利润 10.5 亿，yoy +23%，对应 PE 9 倍；2027 年销售收入 47.9 亿，yoy +18%，归母净利润 12.4 亿，yoy +18%，对应 PE 8 倍。当前汇率压制未解除、消费 beta 与资金面共振逆风，公司短期可视性不足，前期模拟仓已大幅下调，建议观望——质地仍卓越，等汇率拐点与 26Q2-Q3 修复信号明确后再评估参与价值。</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1,921</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2,548</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3,379</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4,063</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4,788</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5,582</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31.4%</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32.6%</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32.6%</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20.2%</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17.9%</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16.6%</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34.0%</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39.4%</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39.3%</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39.5%</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40.0%</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407</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683</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857</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1,051</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1,243</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1,483</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21.9%</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67.6%</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25.6%</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22.6%</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18.3%</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19.3%</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14.3%</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20.8%</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22.0%</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23.1%</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23.4%</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23.9%</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3.18</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4.08</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3.92</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4.80</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5.68</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6.78</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23.6</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14.1</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11.2</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9.1</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6.5</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17.4</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9.7</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6.5</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5.0</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3.8</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