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8335" w:type="dxa"/>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3"/>
        <w:gridCol w:w="943"/>
        <w:gridCol w:w="932"/>
        <w:gridCol w:w="1179"/>
        <w:gridCol w:w="900"/>
        <w:gridCol w:w="1254"/>
        <w:gridCol w:w="1232"/>
        <w:gridCol w:w="842"/>
      </w:tblGrid>
      <w:tr w14:paraId="7DCB1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6" w:hRule="atLeast"/>
        </w:trPr>
        <w:tc>
          <w:tcPr>
            <w:tcW w:w="1996" w:type="dxa"/>
            <w:gridSpan w:val="2"/>
            <w:tcBorders>
              <w:top w:val="single" w:color="000000" w:sz="4" w:space="0"/>
              <w:left w:val="single" w:color="000000" w:sz="4" w:space="0"/>
              <w:bottom w:val="single" w:color="000000" w:sz="4" w:space="0"/>
              <w:right w:val="nil"/>
            </w:tcBorders>
            <w:shd w:val="clear" w:color="auto" w:fill="FFFFFF" w:themeFill="background1"/>
            <w:noWrap/>
            <w:vAlign w:val="center"/>
          </w:tcPr>
          <w:p w14:paraId="565C9F77">
            <w:pPr>
              <w:jc w:val="left"/>
              <w:rPr>
                <w:rFonts w:hint="eastAsia" w:ascii="微软雅黑" w:hAnsi="微软雅黑" w:eastAsia="微软雅黑" w:cs="微软雅黑"/>
                <w:b/>
                <w:bCs/>
                <w:i w:val="0"/>
                <w:iCs w:val="0"/>
                <w:color w:val="000000"/>
                <w:sz w:val="18"/>
                <w:szCs w:val="18"/>
                <w:u w:val="none"/>
                <w:lang w:val="en-US" w:eastAsia="zh-CN"/>
              </w:rPr>
            </w:pPr>
            <w:bookmarkStart w:id="0" w:name="股票名称" w:colFirst="1" w:colLast="1"/>
            <w:bookmarkStart w:id="1" w:name="行业名称" w:colFirst="2" w:colLast="2"/>
            <w:bookmarkStart w:id="2" w:name="报告名称" w:colFirst="0" w:colLast="0"/>
            <w:sdt>
              <w:sdtPr>
                <w:rPr>
                  <w:rFonts w:hint="eastAsia" w:ascii="微软雅黑" w:hAnsi="微软雅黑" w:eastAsia="微软雅黑" w:cs="微软雅黑"/>
                  <w:b w:val="0"/>
                  <w:bCs w:val="0"/>
                  <w:i w:val="0"/>
                  <w:iCs w:val="0"/>
                  <w:color w:val="000000"/>
                  <w:kern w:val="2"/>
                  <w:sz w:val="18"/>
                  <w:szCs w:val="18"/>
                  <w:u w:val="none"/>
                  <w:lang w:val="en-US" w:eastAsia="zh-TW" w:bidi="ar-SA"/>
                </w:rPr>
                <w:id w:val="147482084"/>
                <w:lock w:val="sdtContentLocked"/>
                <w:placeholder>
                  <w:docPart w:val="{0daf061f-d72c-4e6a-bb21-74e9fcd2540c}"/>
                </w:placeholder>
              </w:sdtPr>
              <w:sdtEndPr>
                <w:rPr>
                  <w:rFonts w:hint="eastAsia" w:ascii="微软雅黑" w:hAnsi="微软雅黑" w:eastAsia="微软雅黑" w:cs="微软雅黑"/>
                  <w:b w:val="0"/>
                  <w:bCs w:val="0"/>
                  <w:i w:val="0"/>
                  <w:iCs w:val="0"/>
                  <w:color w:val="000000"/>
                  <w:kern w:val="2"/>
                  <w:sz w:val="18"/>
                  <w:szCs w:val="18"/>
                  <w:u w:val="none"/>
                  <w:lang w:val="en-US" w:eastAsia="zh-TW" w:bidi="ar-SA"/>
                </w:rPr>
              </w:sdtEndPr>
              <w:sdtContent>
                <w:r>
                  <w:rPr>
                    <w:rFonts w:hint="eastAsia" w:ascii="微软雅黑" w:hAnsi="微软雅黑" w:eastAsia="微软雅黑" w:cs="微软雅黑"/>
                    <w:b/>
                    <w:bCs/>
                    <w:i w:val="0"/>
                    <w:iCs w:val="0"/>
                    <w:color w:val="000000"/>
                    <w:sz w:val="18"/>
                    <w:szCs w:val="18"/>
                    <w:u w:val="none"/>
                    <w:lang w:val="en-US" w:eastAsia="zh-CN"/>
                  </w:rPr>
                  <w:t>评级报告</w:t>
                </w:r>
              </w:sdtContent>
            </w:sdt>
            <w:r>
              <w:rPr>
                <w:rFonts w:hint="eastAsia" w:ascii="微软雅黑" w:hAnsi="微软雅黑" w:eastAsia="微软雅黑" w:cs="微软雅黑"/>
                <w:b/>
                <w:bCs/>
                <w:i w:val="0"/>
                <w:iCs w:val="0"/>
                <w:color w:val="000000"/>
                <w:sz w:val="18"/>
                <w:szCs w:val="18"/>
                <w:u w:val="none"/>
                <w:lang w:val="en-US" w:eastAsia="zh-CN"/>
              </w:rPr>
              <w:t xml:space="preserve">                                                            </w:t>
            </w:r>
          </w:p>
        </w:tc>
        <w:tc>
          <w:tcPr>
            <w:tcW w:w="2111" w:type="dxa"/>
            <w:gridSpan w:val="2"/>
            <w:tcBorders>
              <w:top w:val="single" w:color="000000" w:sz="4" w:space="0"/>
              <w:left w:val="nil"/>
              <w:bottom w:val="single" w:color="000000" w:sz="4" w:space="0"/>
              <w:right w:val="nil"/>
            </w:tcBorders>
            <w:shd w:val="clear" w:color="auto" w:fill="FFFFFF" w:themeFill="background1"/>
            <w:noWrap/>
            <w:vAlign w:val="center"/>
          </w:tcPr>
          <w:p w14:paraId="642D6B5B">
            <w:pPr>
              <w:jc w:val="center"/>
              <w:rPr>
                <w:rFonts w:hint="eastAsia" w:ascii="微软雅黑" w:hAnsi="微软雅黑" w:eastAsia="微软雅黑" w:cs="微软雅黑"/>
                <w:b w:val="0"/>
                <w:bCs w:val="0"/>
                <w:i w:val="0"/>
                <w:iCs w:val="0"/>
                <w:color w:val="000000"/>
                <w:sz w:val="18"/>
                <w:szCs w:val="18"/>
                <w:u w:val="none"/>
                <w:lang w:val="en-US" w:eastAsia="zh-TW"/>
              </w:rPr>
            </w:pPr>
          </w:p>
        </w:tc>
        <w:tc>
          <w:tcPr>
            <w:tcW w:w="2154" w:type="dxa"/>
            <w:gridSpan w:val="2"/>
            <w:tcBorders>
              <w:top w:val="single" w:color="000000" w:sz="4" w:space="0"/>
              <w:left w:val="nil"/>
              <w:bottom w:val="single" w:color="000000" w:sz="4" w:space="0"/>
              <w:right w:val="nil"/>
            </w:tcBorders>
            <w:shd w:val="clear" w:color="auto" w:fill="FFFFFF" w:themeFill="background1"/>
            <w:noWrap/>
            <w:vAlign w:val="center"/>
          </w:tcPr>
          <w:p w14:paraId="66F9BA31">
            <w:pPr>
              <w:jc w:val="center"/>
              <w:rPr>
                <w:rFonts w:hint="eastAsia" w:ascii="微软雅黑" w:hAnsi="微软雅黑" w:eastAsia="微软雅黑" w:cs="微软雅黑"/>
                <w:b w:val="0"/>
                <w:bCs w:val="0"/>
                <w:i w:val="0"/>
                <w:iCs w:val="0"/>
                <w:color w:val="000000"/>
                <w:sz w:val="18"/>
                <w:szCs w:val="18"/>
                <w:u w:val="none"/>
                <w:lang w:val="en-US" w:eastAsia="zh-TW"/>
              </w:rPr>
            </w:pPr>
          </w:p>
        </w:tc>
        <w:tc>
          <w:tcPr>
            <w:tcW w:w="2074" w:type="dxa"/>
            <w:gridSpan w:val="2"/>
            <w:tcBorders>
              <w:top w:val="single" w:color="000000" w:sz="4" w:space="0"/>
              <w:left w:val="nil"/>
              <w:bottom w:val="single" w:color="000000" w:sz="4" w:space="0"/>
              <w:right w:val="single" w:color="000000" w:sz="4" w:space="0"/>
            </w:tcBorders>
            <w:shd w:val="clear" w:color="auto" w:fill="FFFFFF" w:themeFill="background1"/>
            <w:noWrap/>
            <w:vAlign w:val="center"/>
          </w:tcPr>
          <w:p w14:paraId="248EA507">
            <w:pPr>
              <w:jc w:val="center"/>
              <w:rPr>
                <w:rFonts w:hint="eastAsia" w:ascii="Arial Unicode MS" w:hAnsi="Arial Unicode MS" w:eastAsia="Arial Unicode MS" w:cs="Arial Unicode MS"/>
                <w:b/>
                <w:bCs/>
                <w:i w:val="0"/>
                <w:iCs w:val="0"/>
                <w:color w:val="000000"/>
                <w:sz w:val="15"/>
                <w:szCs w:val="15"/>
                <w:u w:val="none"/>
                <w:lang w:val="en-US" w:eastAsia="zh-CN"/>
              </w:rPr>
            </w:pPr>
            <w:r>
              <w:rPr>
                <w:rFonts w:ascii="微软雅黑" w:hAnsi="微软雅黑" w:eastAsia="微软雅黑" w:cs="微软雅黑"/>
                <w:sz w:val="15"/>
                <w:szCs w:val="15"/>
              </w:rPr>
              <w:drawing>
                <wp:inline distT="0" distB="0" distL="114300" distR="114300">
                  <wp:extent cx="880745" cy="379730"/>
                  <wp:effectExtent l="0" t="0" r="14605" b="1270"/>
                  <wp:docPr id="2" name="图片 1" descr="Bos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Bosera.png"/>
                          <pic:cNvPicPr>
                            <a:picLocks noChangeAspect="1"/>
                          </pic:cNvPicPr>
                        </pic:nvPicPr>
                        <pic:blipFill>
                          <a:blip r:embed="rId5" cstate="print"/>
                          <a:stretch>
                            <a:fillRect/>
                          </a:stretch>
                        </pic:blipFill>
                        <pic:spPr>
                          <a:xfrm>
                            <a:off x="0" y="0"/>
                            <a:ext cx="880745" cy="379730"/>
                          </a:xfrm>
                          <a:prstGeom prst="rect">
                            <a:avLst/>
                          </a:prstGeom>
                        </pic:spPr>
                      </pic:pic>
                    </a:graphicData>
                  </a:graphic>
                </wp:inline>
              </w:drawing>
            </w:r>
          </w:p>
        </w:tc>
      </w:tr>
      <w:bookmarkEnd w:id="0"/>
      <w:bookmarkEnd w:id="1"/>
      <w:bookmarkEnd w:id="2"/>
      <w:tr w14:paraId="2F8D4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BE43C70">
            <w:pPr>
              <w:jc w:val="both"/>
              <w:rPr>
                <w:rFonts w:hint="eastAsia" w:ascii="微软雅黑" w:hAnsi="微软雅黑" w:eastAsia="微软雅黑" w:cs="微软雅黑"/>
                <w:b/>
                <w:bCs/>
                <w:i w:val="0"/>
                <w:iCs w:val="0"/>
                <w:color w:val="000000"/>
                <w:sz w:val="18"/>
                <w:szCs w:val="18"/>
                <w:u w:val="none"/>
                <w:lang w:val="en-US" w:eastAsia="zh-CN"/>
              </w:rPr>
            </w:pPr>
            <w:bookmarkStart w:id="3" w:name="报告标题" w:colFirst="1" w:colLast="1"/>
            <w:bookmarkStart w:id="4" w:name="是否重大推荐" w:colFirst="3" w:colLast="3"/>
            <w:r>
              <w:rPr>
                <w:rFonts w:hint="eastAsia" w:ascii="微软雅黑" w:hAnsi="微软雅黑" w:eastAsia="微软雅黑" w:cs="微软雅黑"/>
                <w:b/>
                <w:bCs/>
                <w:i w:val="0"/>
                <w:iCs w:val="0"/>
                <w:color w:val="000000"/>
                <w:sz w:val="18"/>
                <w:szCs w:val="18"/>
                <w:u w:val="none"/>
                <w:lang w:val="en-US" w:eastAsia="zh-CN"/>
              </w:rPr>
              <w:t>报告标题</w:t>
            </w:r>
          </w:p>
        </w:tc>
        <w:tc>
          <w:tcPr>
            <w:tcW w:w="5208" w:type="dxa"/>
            <w:gridSpan w:val="5"/>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73B61E3">
            <w:pPr>
              <w:jc w:val="both"/>
              <w:rPr>
                <w:rFonts w:hint="default" w:ascii="微软雅黑" w:hAnsi="微软雅黑" w:eastAsia="微软雅黑" w:cs="微软雅黑"/>
                <w:b/>
                <w:bCs/>
                <w:i w:val="0"/>
                <w:iCs w:val="0"/>
                <w:color w:val="000000"/>
                <w:sz w:val="18"/>
                <w:szCs w:val="18"/>
                <w:u w:val="none"/>
                <w:lang w:val="en-US" w:eastAsia="zh-TW"/>
              </w:rPr>
            </w:pPr>
            <w:r>
              <w:rPr>
                <w:rFonts w:ascii="微软雅黑" w:hAnsi="微软雅黑" w:eastAsia="微软雅黑" w:cs="微软雅黑"/>
                <w:b/>
                <w:sz w:val="18"/>
              </w:rPr>
              <w:t>BC双驱兑现、利润率拐点初证，但弱消费下参与价值有限</w:t>
            </w:r>
          </w:p>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204327E3">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是否重大推荐</w:t>
            </w:r>
          </w:p>
        </w:tc>
        <w:sdt>
          <w:sdtPr>
            <w:rPr>
              <w:rFonts w:hint="default" w:ascii="微软雅黑" w:hAnsi="微软雅黑" w:eastAsia="微软雅黑" w:cs="微软雅黑"/>
              <w:i w:val="0"/>
              <w:iCs w:val="0"/>
              <w:color w:val="000000"/>
              <w:sz w:val="15"/>
              <w:szCs w:val="15"/>
              <w:u w:val="none"/>
              <w:lang w:val="en-US" w:eastAsia="zh-TW"/>
            </w:rPr>
            <w:alias w:val="是否重大推荐"/>
            <w:id w:val="274842591"/>
            <w:lock w:val="sdtLocked"/>
            <w:placeholder>
              <w:docPart w:val="{5b90eca8-60e1-46ed-8f03-92f9c27e6e40}"/>
            </w:placeholder>
            <w:dropDownList>
              <w:listItem w:displayText=" " w:value=" "/>
              <w:listItem w:displayText="是" w:value="是"/>
              <w:listItem w:displayText="否" w:value="否"/>
            </w:dropDownList>
          </w:sdtPr>
          <w:sdtEndPr>
            <w:rPr>
              <w:rFonts w:hint="default" w:ascii="微软雅黑" w:hAnsi="微软雅黑" w:eastAsia="微软雅黑" w:cs="微软雅黑"/>
              <w:i w:val="0"/>
              <w:iCs w:val="0"/>
              <w:color w:val="000000"/>
              <w:sz w:val="15"/>
              <w:szCs w:val="15"/>
              <w:u w:val="none"/>
              <w:lang w:val="en-US" w:eastAsia="zh-TW"/>
            </w:rPr>
          </w:sdtEndPr>
          <w:sdtContent>
            <w:tc>
              <w:tcPr>
                <w:tcW w:w="842"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C47E485">
                <w:pPr>
                  <w:keepNext w:val="0"/>
                  <w:keepLines w:val="0"/>
                  <w:widowControl/>
                  <w:suppressLineNumbers w:val="0"/>
                  <w:jc w:val="center"/>
                  <w:textAlignment w:val="center"/>
                  <w:rPr>
                    <w:rFonts w:hint="default" w:ascii="微软雅黑" w:hAnsi="微软雅黑" w:eastAsia="微软雅黑" w:cs="微软雅黑"/>
                    <w:i w:val="0"/>
                    <w:iCs w:val="0"/>
                    <w:color w:val="000000"/>
                    <w:sz w:val="15"/>
                    <w:szCs w:val="15"/>
                    <w:u w:val="none"/>
                    <w:lang w:val="en-US" w:eastAsia="zh-TW"/>
                  </w:rPr>
                </w:pPr>
                <w:r>
                  <w:rPr>
                    <w:rFonts w:hint="default" w:ascii="微软雅黑" w:hAnsi="微软雅黑" w:eastAsia="微软雅黑" w:cs="微软雅黑"/>
                    <w:i w:val="0"/>
                    <w:iCs w:val="0"/>
                    <w:color w:val="000000"/>
                    <w:kern w:val="2"/>
                    <w:sz w:val="15"/>
                    <w:szCs w:val="15"/>
                    <w:u w:val="none"/>
                    <w:lang w:val="en-US" w:eastAsia="zh-TW" w:bidi="ar-SA"/>
                  </w:rPr>
                  <w:t xml:space="preserve"> </w:t>
                </w:r>
              </w:p>
            </w:tc>
          </w:sdtContent>
        </w:sdt>
      </w:tr>
      <w:bookmarkEnd w:id="3"/>
      <w:bookmarkEnd w:id="4"/>
      <w:tr w14:paraId="25987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563BA16A">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5" w:name="股票代码" w:colFirst="1" w:colLast="1"/>
            <w:bookmarkStart w:id="6" w:name="上次评级" w:colFirst="5" w:colLast="5"/>
            <w:bookmarkStart w:id="7" w:name="预期收益率" w:colFirst="7" w:colLast="7"/>
            <w:bookmarkStart w:id="8" w:name="股票评级" w:colFirst="3" w:colLast="3"/>
            <w:r>
              <w:rPr>
                <w:rFonts w:hint="eastAsia" w:ascii="微软雅黑" w:hAnsi="微软雅黑" w:eastAsia="微软雅黑" w:cs="微软雅黑"/>
                <w:i w:val="0"/>
                <w:iCs w:val="0"/>
                <w:color w:val="000000"/>
                <w:sz w:val="15"/>
                <w:szCs w:val="15"/>
                <w:u w:val="none"/>
                <w:lang w:eastAsia="zh-CN"/>
              </w:rPr>
              <w:t>股票代码</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AC719">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ascii="微软雅黑" w:hAnsi="微软雅黑" w:eastAsia="微软雅黑" w:cs="微软雅黑"/>
                <w:b w:val="0"/>
                <w:sz w:val="18"/>
              </w:rPr>
              <w:t>600882</w:t>
            </w:r>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447A0FA">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股票评级</w:t>
            </w:r>
          </w:p>
        </w:tc>
        <w:sdt>
          <w:sdtPr>
            <w:rPr>
              <w:rFonts w:hint="eastAsia" w:ascii="微软雅黑" w:hAnsi="微软雅黑" w:eastAsia="微软雅黑" w:cs="微软雅黑"/>
              <w:i w:val="0"/>
              <w:iCs w:val="0"/>
              <w:color w:val="000000"/>
              <w:sz w:val="15"/>
              <w:szCs w:val="15"/>
              <w:u w:val="none"/>
              <w:lang w:val="en-US" w:eastAsia="zh-CN"/>
            </w:rPr>
            <w:alias w:val="股票评级"/>
            <w:id w:val="147454962"/>
            <w:lock w:val="sdtLocked"/>
            <w:placeholder>
              <w:docPart w:val="{c29291ec-e9dc-4608-a903-d1366562d724}"/>
            </w:placeholder>
            <w:dropDownList>
              <w:listItem w:displayText="强烈买入-1" w:value="强烈买入-1"/>
              <w:listItem w:displayText="买入-2" w:value="买入-2"/>
              <w:listItem w:displayText="持有-3" w:value="持有-3"/>
              <w:listItem w:displayText="卖出-4" w:value="卖出-4"/>
              <w:listItem w:displayText="强烈卖出-5" w:value="强烈卖出-5"/>
            </w:dropDownList>
          </w:sdtPr>
          <w:sdtEndPr>
            <w:rPr>
              <w:rFonts w:hint="eastAsia" w:ascii="微软雅黑" w:hAnsi="微软雅黑" w:eastAsia="微软雅黑" w:cs="微软雅黑"/>
              <w:i w:val="0"/>
              <w:iCs w:val="0"/>
              <w:color w:val="000000"/>
              <w:sz w:val="15"/>
              <w:szCs w:val="15"/>
              <w:u w:val="none"/>
              <w:lang w:val="en-US" w:eastAsia="zh-CN"/>
            </w:rPr>
          </w:sdtEndPr>
          <w:sdtContent>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71311E">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r>
                  <w:rPr>
                    <w:rFonts w:hint="eastAsia" w:ascii="微软雅黑" w:hAnsi="微软雅黑" w:eastAsia="微软雅黑" w:cs="微软雅黑"/>
                    <w:i w:val="0"/>
                    <w:iCs w:val="0"/>
                    <w:color w:val="000000"/>
                    <w:kern w:val="2"/>
                    <w:sz w:val="15"/>
                    <w:szCs w:val="15"/>
                    <w:u w:val="none"/>
                    <w:lang w:val="en-US" w:eastAsia="zh-CN" w:bidi="ar-SA"/>
                  </w:rPr>
                  <w:t>强烈买入-1</w:t>
                </w:r>
              </w:p>
            </w:tc>
          </w:sdtContent>
        </w:sdt>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69411E4">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r>
              <w:rPr>
                <w:rFonts w:hint="eastAsia" w:ascii="微软雅黑" w:hAnsi="微软雅黑" w:eastAsia="微软雅黑" w:cs="微软雅黑"/>
                <w:i w:val="0"/>
                <w:iCs w:val="0"/>
                <w:color w:val="000000"/>
                <w:sz w:val="15"/>
                <w:szCs w:val="15"/>
                <w:u w:val="none"/>
                <w:lang w:val="en-US" w:eastAsia="zh-TW"/>
              </w:rPr>
              <w:t>上次评级</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eastAsia" w:ascii="微软雅黑" w:hAnsi="微软雅黑" w:eastAsia="微软雅黑" w:cs="微软雅黑"/>
                <w:i w:val="0"/>
                <w:iCs w:val="0"/>
                <w:color w:val="000000"/>
                <w:sz w:val="15"/>
                <w:szCs w:val="15"/>
                <w:u w:val="none"/>
                <w:lang w:val="en-US" w:eastAsia="zh-CN"/>
              </w:rPr>
              <w:alias w:val="上次评级"/>
              <w:id w:val="144595064"/>
              <w:lock w:val="sdtLocked"/>
              <w:placeholder>
                <w:docPart w:val="{02a91e4c-c88b-425f-b53c-17349660d8d2}"/>
              </w:placeholder>
              <w:dropDownList>
                <w:listItem w:displayText="强烈买入-1" w:value="强烈买入-1"/>
                <w:listItem w:displayText="买入-2" w:value="买入-2"/>
                <w:listItem w:displayText="持有-3" w:value="持有-3"/>
                <w:listItem w:displayText="卖出-4" w:value="卖出-4"/>
                <w:listItem w:displayText="强烈卖出-5" w:value="强烈卖出-5"/>
              </w:dropDownList>
            </w:sdtPr>
            <w:sdtEndPr>
              <w:rPr>
                <w:rFonts w:hint="eastAsia" w:ascii="微软雅黑" w:hAnsi="微软雅黑" w:eastAsia="微软雅黑" w:cs="微软雅黑"/>
                <w:i w:val="0"/>
                <w:iCs w:val="0"/>
                <w:color w:val="000000"/>
                <w:sz w:val="15"/>
                <w:szCs w:val="15"/>
                <w:u w:val="none"/>
                <w:lang w:val="en-US" w:eastAsia="zh-CN"/>
              </w:rPr>
            </w:sdtEndPr>
            <w:sdtContent>
              <w:p w14:paraId="2B5AAA27">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hint="eastAsia" w:ascii="微软雅黑" w:hAnsi="微软雅黑" w:eastAsia="微软雅黑" w:cs="微软雅黑"/>
                    <w:i w:val="0"/>
                    <w:iCs w:val="0"/>
                    <w:color w:val="000000"/>
                    <w:kern w:val="2"/>
                    <w:sz w:val="15"/>
                    <w:szCs w:val="15"/>
                    <w:u w:val="none"/>
                    <w:lang w:val="en-US" w:eastAsia="zh-CN" w:bidi="ar-SA"/>
                  </w:rPr>
                  <w:t>强烈买入-1</w:t>
                </w:r>
              </w:p>
            </w:sdtContent>
          </w:sdt>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70021422">
            <w:pPr>
              <w:keepNext w:val="0"/>
              <w:keepLines w:val="0"/>
              <w:widowControl/>
              <w:suppressLineNumbers w:val="0"/>
              <w:jc w:val="left"/>
              <w:textAlignment w:val="center"/>
              <w:rPr>
                <w:rFonts w:hint="default" w:ascii="微软雅黑" w:hAnsi="微软雅黑" w:eastAsia="PMingLiU"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eastAsia="zh-CN"/>
              </w:rPr>
              <w:t>预期收益率</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39095">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p>
        </w:tc>
      </w:tr>
      <w:bookmarkEnd w:id="5"/>
      <w:bookmarkEnd w:id="6"/>
      <w:bookmarkEnd w:id="7"/>
      <w:bookmarkEnd w:id="8"/>
      <w:tr w14:paraId="6CF94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CEAA696">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9" w:name="当前市值" w:colFirst="3" w:colLast="3"/>
            <w:bookmarkStart w:id="10" w:name="年初以来涨跌幅" w:colFirst="7" w:colLast="7"/>
            <w:bookmarkStart w:id="11" w:name="目标价" w:colFirst="5" w:colLast="5"/>
            <w:bookmarkStart w:id="12" w:name="当前股价" w:colFirst="1" w:colLast="1"/>
            <w:r>
              <w:rPr>
                <w:rFonts w:hint="eastAsia" w:ascii="微软雅黑" w:hAnsi="微软雅黑" w:eastAsia="微软雅黑" w:cs="微软雅黑"/>
                <w:i w:val="0"/>
                <w:iCs w:val="0"/>
                <w:color w:val="000000"/>
                <w:sz w:val="15"/>
                <w:szCs w:val="15"/>
                <w:u w:val="none"/>
                <w:lang w:val="en-US" w:eastAsia="zh-CN"/>
              </w:rPr>
              <w:t>当前股价</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8D0C7E">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bookmarkStart w:id="22" w:name="_GoBack"/>
            <w:bookmarkEnd w:id="22"/>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0799090">
            <w:pPr>
              <w:keepNext w:val="0"/>
              <w:keepLines w:val="0"/>
              <w:widowControl/>
              <w:suppressLineNumbers w:val="0"/>
              <w:jc w:val="left"/>
              <w:textAlignment w:val="center"/>
              <w:rPr>
                <w:rFonts w:hint="default" w:ascii="微软雅黑" w:hAnsi="微软雅黑" w:eastAsia="PMingLiU"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val="en-US" w:eastAsia="zh-CN"/>
              </w:rPr>
              <w:t>当前市值</w:t>
            </w:r>
            <w:r>
              <w:rPr>
                <w:rFonts w:hint="eastAsia" w:ascii="微软雅黑" w:hAnsi="微软雅黑" w:eastAsia="微软雅黑" w:cs="微软雅黑"/>
                <w:i w:val="0"/>
                <w:iCs w:val="0"/>
                <w:color w:val="000000"/>
                <w:sz w:val="15"/>
                <w:szCs w:val="15"/>
                <w:u w:val="none"/>
                <w:lang w:val="en-US" w:eastAsia="zh-TW"/>
              </w:rPr>
              <w:t>(亿元)</w:t>
            </w:r>
          </w:p>
        </w:tc>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589C1">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p>
        </w:tc>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598AA44E">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目标价</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D13B7">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p>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19292B3">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r>
              <w:rPr>
                <w:rFonts w:hint="eastAsia" w:ascii="微软雅黑" w:hAnsi="微软雅黑" w:eastAsia="微软雅黑" w:cs="微软雅黑"/>
                <w:i w:val="0"/>
                <w:iCs w:val="0"/>
                <w:color w:val="000000"/>
                <w:sz w:val="15"/>
                <w:szCs w:val="15"/>
                <w:u w:val="none"/>
                <w:lang w:val="en-US" w:eastAsia="zh-CN"/>
              </w:rPr>
              <w:t>年初以来涨跌幅</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83F38">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p>
        </w:tc>
      </w:tr>
      <w:bookmarkEnd w:id="9"/>
      <w:bookmarkEnd w:id="10"/>
      <w:bookmarkEnd w:id="11"/>
      <w:bookmarkEnd w:id="12"/>
      <w:tr w14:paraId="6F48F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3B124740">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13" w:name="研究员" w:colFirst="1" w:colLast="1"/>
            <w:bookmarkStart w:id="14" w:name="相对行业涨跌幅" w:colFirst="7" w:colLast="7"/>
            <w:bookmarkStart w:id="15" w:name="报告类型" w:colFirst="3" w:colLast="3"/>
            <w:bookmarkStart w:id="16" w:name="报告日期" w:colFirst="5" w:colLast="5"/>
            <w:r>
              <w:rPr>
                <w:rFonts w:hint="eastAsia" w:ascii="微软雅黑" w:hAnsi="微软雅黑" w:eastAsia="微软雅黑" w:cs="微软雅黑"/>
                <w:i w:val="0"/>
                <w:iCs w:val="0"/>
                <w:color w:val="000000"/>
                <w:sz w:val="15"/>
                <w:szCs w:val="15"/>
                <w:u w:val="none"/>
                <w:lang w:eastAsia="zh-TW"/>
              </w:rPr>
              <w:t>研究员</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D72EB">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ascii="微软雅黑" w:hAnsi="微软雅黑" w:eastAsia="微软雅黑" w:cs="微软雅黑"/>
                <w:sz w:val="15"/>
              </w:rPr>
              <w:t>单朔</w:t>
            </w:r>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5B12C44">
            <w:pPr>
              <w:keepNext w:val="0"/>
              <w:keepLines w:val="0"/>
              <w:widowControl/>
              <w:suppressLineNumbers w:val="0"/>
              <w:jc w:val="left"/>
              <w:textAlignment w:val="center"/>
              <w:rPr>
                <w:rFonts w:hint="eastAsia" w:ascii="微软雅黑" w:hAnsi="微软雅黑" w:eastAsia="微软雅黑" w:cs="微软雅黑"/>
                <w:i w:val="0"/>
                <w:iCs w:val="0"/>
                <w:color w:val="000000"/>
                <w:kern w:val="2"/>
                <w:sz w:val="15"/>
                <w:szCs w:val="15"/>
                <w:u w:val="none"/>
                <w:lang w:val="en-US" w:eastAsia="zh-CN" w:bidi="ar-SA"/>
              </w:rPr>
            </w:pPr>
            <w:r>
              <w:rPr>
                <w:rFonts w:hint="eastAsia" w:ascii="微软雅黑" w:hAnsi="微软雅黑" w:eastAsia="微软雅黑" w:cs="微软雅黑"/>
                <w:i w:val="0"/>
                <w:iCs w:val="0"/>
                <w:color w:val="000000"/>
                <w:sz w:val="15"/>
                <w:szCs w:val="15"/>
                <w:u w:val="none"/>
                <w:lang w:eastAsia="zh-CN"/>
              </w:rPr>
              <w:t>报告类型</w:t>
            </w:r>
          </w:p>
        </w:tc>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eastAsia" w:ascii="微软雅黑" w:hAnsi="微软雅黑" w:eastAsia="微软雅黑" w:cs="微软雅黑"/>
                <w:i w:val="0"/>
                <w:iCs w:val="0"/>
                <w:color w:val="000000"/>
                <w:sz w:val="15"/>
                <w:szCs w:val="15"/>
                <w:u w:val="none"/>
                <w:lang w:val="en-US" w:eastAsia="zh-CN"/>
              </w:rPr>
              <w:alias w:val="报告类型"/>
              <w:id w:val="147455465"/>
              <w:lock w:val="sdtLocked"/>
              <w:placeholder>
                <w:docPart w:val="{54f684b5-99ba-4458-9b63-c98da7f6cfa6}"/>
              </w:placeholder>
              <w:dropDownList>
                <w:listItem w:displayText="普通模板" w:value="普通模板"/>
                <w:listItem w:displayText="银行模板" w:value="银行模板"/>
                <w:listItem w:displayText="券商模板" w:value="券商模板"/>
                <w:listItem w:displayText="保险模板" w:value="保险模板"/>
              </w:dropDownList>
            </w:sdtPr>
            <w:sdtEndPr>
              <w:rPr>
                <w:rFonts w:hint="eastAsia" w:ascii="微软雅黑" w:hAnsi="微软雅黑" w:eastAsia="微软雅黑" w:cs="微软雅黑"/>
                <w:i w:val="0"/>
                <w:iCs w:val="0"/>
                <w:color w:val="000000"/>
                <w:sz w:val="15"/>
                <w:szCs w:val="15"/>
                <w:u w:val="none"/>
                <w:lang w:val="en-US" w:eastAsia="zh-CN"/>
              </w:rPr>
            </w:sdtEndPr>
            <w:sdtContent>
              <w:p w14:paraId="7CFF5C22">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val="en-US" w:eastAsia="zh-CN"/>
                  </w:rPr>
                  <w:t>普通模板</w:t>
                </w:r>
              </w:p>
            </w:sdtContent>
          </w:sdt>
        </w:tc>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6CE8EB50">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报告日期</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default" w:ascii="微软雅黑" w:hAnsi="微软雅黑" w:eastAsia="微软雅黑" w:cs="微软雅黑"/>
                <w:i w:val="0"/>
                <w:iCs w:val="0"/>
                <w:color w:val="000000"/>
                <w:kern w:val="2"/>
                <w:sz w:val="15"/>
                <w:szCs w:val="15"/>
                <w:u w:val="none"/>
                <w:lang w:val="en-US" w:eastAsia="zh-TW" w:bidi="ar-SA"/>
              </w:rPr>
              <w:alias w:val="报告日期"/>
              <w:id w:val="147457270"/>
              <w:lock w:val="sdtLocked"/>
              <w:placeholder>
                <w:docPart w:val="{df61b350-aee6-47bd-944d-08e6078126c1}"/>
              </w:placeholder>
              <w:date w:fullDate="2022-01-01T00:00:00Z">
                <w:dateFormat w:val="YYYY-MM-DD"/>
                <w:lid w:val="zh-CN"/>
                <w:storeMappedDataAs w:val="text"/>
                <w:calendar w:val="gregorian"/>
              </w:date>
            </w:sdtPr>
            <w:sdtEndPr>
              <w:rPr>
                <w:rFonts w:hint="default" w:ascii="微软雅黑" w:hAnsi="微软雅黑" w:eastAsia="微软雅黑" w:cs="微软雅黑"/>
                <w:i w:val="0"/>
                <w:iCs w:val="0"/>
                <w:color w:val="000000"/>
                <w:kern w:val="2"/>
                <w:sz w:val="15"/>
                <w:szCs w:val="15"/>
                <w:u w:val="none"/>
                <w:lang w:val="en-US" w:eastAsia="zh-TW" w:bidi="ar-SA"/>
              </w:rPr>
            </w:sdtEndPr>
            <w:sdtContent>
              <w:p w14:paraId="0065AC32">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r>
                  <w:rPr>
                    <w:rFonts w:hint="eastAsia" w:ascii="微软雅黑" w:hAnsi="微软雅黑" w:eastAsia="微软雅黑" w:cs="微软雅黑"/>
                    <w:i w:val="0"/>
                    <w:iCs w:val="0"/>
                    <w:color w:val="000000"/>
                    <w:kern w:val="2"/>
                    <w:sz w:val="15"/>
                    <w:szCs w:val="15"/>
                    <w:u w:val="none"/>
                    <w:lang w:val="en-US" w:eastAsia="zh-CN" w:bidi="ar-SA"/>
                  </w:rPr>
                  <w:t>2026-06-29</w:t>
                </w:r>
              </w:p>
            </w:sdtContent>
          </w:sdt>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66EB917">
            <w:pPr>
              <w:keepNext w:val="0"/>
              <w:keepLines w:val="0"/>
              <w:widowControl/>
              <w:suppressLineNumbers w:val="0"/>
              <w:jc w:val="left"/>
              <w:textAlignment w:val="center"/>
              <w:rPr>
                <w:rFonts w:hint="eastAsia" w:ascii="微软雅黑" w:hAnsi="微软雅黑" w:eastAsia="PMingLiU" w:cs="微软雅黑"/>
                <w:i w:val="0"/>
                <w:iCs w:val="0"/>
                <w:color w:val="000000"/>
                <w:sz w:val="15"/>
                <w:szCs w:val="15"/>
                <w:u w:val="none"/>
                <w:lang w:eastAsia="zh-TW"/>
              </w:rPr>
            </w:pPr>
            <w:r>
              <w:rPr>
                <w:rFonts w:hint="eastAsia" w:ascii="微软雅黑" w:hAnsi="微软雅黑" w:eastAsia="微软雅黑" w:cs="微软雅黑"/>
                <w:i w:val="0"/>
                <w:iCs w:val="0"/>
                <w:color w:val="000000"/>
                <w:sz w:val="15"/>
                <w:szCs w:val="15"/>
                <w:u w:val="none"/>
                <w:lang w:eastAsia="zh-TW"/>
              </w:rPr>
              <w:t>年初以来相对行业涨跌幅</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D0C99">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TW"/>
              </w:rPr>
            </w:pPr>
          </w:p>
        </w:tc>
      </w:tr>
      <w:bookmarkEnd w:id="13"/>
      <w:bookmarkEnd w:id="14"/>
      <w:bookmarkEnd w:id="15"/>
      <w:bookmarkEnd w:id="16"/>
      <w:tr w14:paraId="1C2E4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BA084">
            <w:pPr>
              <w:keepNext w:val="0"/>
              <w:keepLines w:val="0"/>
              <w:widowControl/>
              <w:suppressLineNumbers w:val="0"/>
              <w:jc w:val="left"/>
              <w:textAlignment w:val="center"/>
              <w:rPr>
                <w:rFonts w:hint="default" w:ascii="Arial Unicode MS" w:hAnsi="Arial Unicode MS" w:eastAsia="PMingLiU" w:cs="Arial Unicode MS"/>
                <w:i w:val="0"/>
                <w:iCs w:val="0"/>
                <w:color w:val="FFFFFF"/>
                <w:sz w:val="15"/>
                <w:szCs w:val="15"/>
                <w:u w:val="none"/>
                <w:lang w:val="en-US" w:eastAsia="zh-TW"/>
              </w:rPr>
            </w:pPr>
            <w:r>
              <w:rPr>
                <w:rFonts w:hint="default" w:ascii="微软雅黑" w:hAnsi="微软雅黑" w:eastAsia="微软雅黑" w:cs="微软雅黑"/>
                <w:b/>
                <w:bCs/>
                <w:i w:val="0"/>
                <w:iCs w:val="0"/>
                <w:color w:val="000000"/>
                <w:sz w:val="15"/>
                <w:szCs w:val="15"/>
                <w:u w:val="none"/>
                <w:lang w:val="en-US" w:eastAsia="zh-CN"/>
              </w:rPr>
              <w:t>研究结论</w:t>
            </w:r>
          </w:p>
        </w:tc>
      </w:tr>
      <w:tr w14:paraId="08015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2"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2A13213A">
            <w:pPr>
              <w:keepNext w:val="0"/>
              <w:keepLines w:val="0"/>
              <w:widowControl/>
              <w:suppressLineNumbers w:val="0"/>
              <w:jc w:val="both"/>
              <w:textAlignment w:val="center"/>
              <w:rPr>
                <w:rFonts w:hint="eastAsia" w:ascii="微软雅黑" w:hAnsi="微软雅黑" w:eastAsia="微软雅黑" w:cs="微软雅黑"/>
                <w:i w:val="0"/>
                <w:iCs w:val="0"/>
                <w:color w:val="000000"/>
                <w:sz w:val="15"/>
                <w:szCs w:val="15"/>
                <w:u w:val="none"/>
                <w:lang w:val="en-US" w:eastAsia="zh-CN"/>
              </w:rPr>
            </w:pPr>
            <w:bookmarkStart w:id="17" w:name="研究结论" w:colFirst="0" w:colLast="0"/>
            <w:r>
              <w:rPr>
                <w:rFonts w:ascii="微软雅黑" w:hAnsi="微软雅黑" w:eastAsia="微软雅黑" w:cs="微软雅黑"/>
                <w:b/>
                <w:sz w:val="18"/>
              </w:rPr>
              <w:t>短期：边际改善确认中，但表观利润被股权激励摊销扭曲、高增里有低基数成分</w:t>
            </w:r>
          </w:p>
          <w:p>
            <w:r>
              <w:rPr>
                <w:rFonts w:ascii="微软雅黑" w:hAnsi="微软雅黑" w:eastAsia="微软雅黑" w:cs="微软雅黑"/>
                <w:b w:val="0"/>
                <w:sz w:val="18"/>
              </w:rPr>
              <w:t xml:space="preserve">1. </w:t>
            </w:r>
            <w:r>
              <w:rPr>
                <w:rFonts w:ascii="微软雅黑" w:hAnsi="微软雅黑" w:eastAsia="微软雅黑" w:cs="微软雅黑"/>
                <w:b/>
                <w:sz w:val="18"/>
              </w:rPr>
              <w:t>Q1 BC双驱兑现</w:t>
            </w:r>
            <w:r>
              <w:rPr>
                <w:rFonts w:ascii="微软雅黑" w:hAnsi="微软雅黑" w:eastAsia="微软雅黑" w:cs="微软雅黑"/>
                <w:b w:val="0"/>
                <w:sz w:val="18"/>
              </w:rPr>
              <w:t>：2026Q1营收16.26亿同比+31.8%，奶酪收入+30.4%，直营+122%、贸易+93%是高增主力，B端放量与C端矩阵扩张同步落地；4-5月收入增速仍维持+30%左右，若延续到中报则高增非一次性低基数。</w:t>
            </w:r>
          </w:p>
          <w:p>
            <w:r>
              <w:rPr>
                <w:rFonts w:ascii="微软雅黑" w:hAnsi="微软雅黑" w:eastAsia="微软雅黑" w:cs="微软雅黑"/>
                <w:b w:val="0"/>
                <w:sz w:val="18"/>
              </w:rPr>
              <w:t xml:space="preserve">2. </w:t>
            </w:r>
            <w:r>
              <w:rPr>
                <w:rFonts w:ascii="微软雅黑" w:hAnsi="微软雅黑" w:eastAsia="微软雅黑" w:cs="微软雅黑"/>
                <w:b/>
                <w:sz w:val="18"/>
              </w:rPr>
              <w:t>利润率拐点初证但表观失真</w:t>
            </w:r>
            <w:r>
              <w:rPr>
                <w:rFonts w:ascii="微软雅黑" w:hAnsi="微软雅黑" w:eastAsia="微软雅黑" w:cs="微软雅黑"/>
                <w:b w:val="0"/>
                <w:sz w:val="18"/>
              </w:rPr>
              <w:t>：销售费用率从2022的25%降至2025的18%，毛销差同比+1.9pct至11.2%，经营杠杆转正；但26Q1归母0.76亿同比-8.3%受股权激励摊销拖累，剔除后归母+1.8%、扣非+11.3%，利润弹性能否兑现仍需中报验证。</w:t>
            </w:r>
          </w:p>
          <w:p>
            <w:r>
              <w:rPr>
                <w:rFonts w:ascii="微软雅黑" w:hAnsi="微软雅黑" w:eastAsia="微软雅黑" w:cs="微软雅黑"/>
                <w:b w:val="0"/>
                <w:sz w:val="18"/>
              </w:rPr>
              <w:t xml:space="preserve">3. </w:t>
            </w:r>
            <w:r>
              <w:rPr>
                <w:rFonts w:ascii="微软雅黑" w:hAnsi="微软雅黑" w:eastAsia="微软雅黑" w:cs="微软雅黑"/>
                <w:b/>
                <w:sz w:val="18"/>
              </w:rPr>
              <w:t>业绩诉求有抓手</w:t>
            </w:r>
            <w:r>
              <w:rPr>
                <w:rFonts w:ascii="微软雅黑" w:hAnsi="微软雅黑" w:eastAsia="微软雅黑" w:cs="微软雅黑"/>
                <w:b w:val="0"/>
                <w:sz w:val="18"/>
              </w:rPr>
              <w:t>：股权激励考核25/26/27营收≥56/65/78亿、归母≥2.1/3.2/4.6亿，2025A营收56.3亿达标、归母1.18亿未达标（剔除公允价值损失后经调整净利达标）；管理层5月底连续增持约379万元，诉求与信心都对。</w:t>
            </w:r>
          </w:p>
          <w:p/>
          <w:p>
            <w:r>
              <w:rPr>
                <w:rFonts w:ascii="微软雅黑" w:hAnsi="微软雅黑" w:eastAsia="微软雅黑" w:cs="微软雅黑"/>
                <w:b/>
                <w:sz w:val="18"/>
              </w:rPr>
              <w:t>中长期：BC双驱与利润率拐点是真实结构性变化，但本质是消费进攻型弹性标的，弹性兑现高度依赖消费环境</w:t>
            </w:r>
          </w:p>
          <w:p>
            <w:r>
              <w:rPr>
                <w:rFonts w:ascii="微软雅黑" w:hAnsi="微软雅黑" w:eastAsia="微软雅黑" w:cs="微软雅黑"/>
                <w:b w:val="0"/>
                <w:sz w:val="18"/>
              </w:rPr>
              <w:t xml:space="preserve">1. </w:t>
            </w:r>
            <w:r>
              <w:rPr>
                <w:rFonts w:ascii="微软雅黑" w:hAnsi="微软雅黑" w:eastAsia="微软雅黑" w:cs="微软雅黑"/>
                <w:b/>
                <w:sz w:val="18"/>
              </w:rPr>
              <w:t>B端国产替代是硬成长</w:t>
            </w:r>
            <w:r>
              <w:rPr>
                <w:rFonts w:ascii="微软雅黑" w:hAnsi="微软雅黑" w:eastAsia="微软雅黑" w:cs="微软雅黑"/>
                <w:b w:val="0"/>
                <w:sz w:val="18"/>
              </w:rPr>
              <w:t>：欧盟反补贴税2026.2.13起执行5年抬升进口成本，公司主推马苏里拉/马斯卡彭等短保新鲜奶酪，适配茶饮、烘焙、西式快餐（2016-2024 CAGR +10.7%/+36.7%）；2026底上海金山、长春、吉林产能全面投产打开B端天花板。餐饮工业2025A测算17.31亿、同比+31.8%，是主力增长极。</w:t>
            </w:r>
          </w:p>
          <w:p>
            <w:r>
              <w:rPr>
                <w:rFonts w:ascii="微软雅黑" w:hAnsi="微软雅黑" w:eastAsia="微软雅黑" w:cs="微软雅黑"/>
                <w:b w:val="0"/>
                <w:sz w:val="18"/>
              </w:rPr>
              <w:t xml:space="preserve">2. </w:t>
            </w:r>
            <w:r>
              <w:rPr>
                <w:rFonts w:ascii="微软雅黑" w:hAnsi="微软雅黑" w:eastAsia="微软雅黑" w:cs="微软雅黑"/>
                <w:b/>
                <w:sz w:val="18"/>
              </w:rPr>
              <w:t>蒙牛整合补上产业链缺口</w:t>
            </w:r>
            <w:r>
              <w:rPr>
                <w:rFonts w:ascii="微软雅黑" w:hAnsi="微软雅黑" w:eastAsia="微软雅黑" w:cs="微软雅黑"/>
                <w:b w:val="0"/>
                <w:sz w:val="18"/>
              </w:rPr>
              <w:t>：2024.7收购蒙牛奶酪100%后进入采购、奶源、联采、渠道系统协同阶段，销售费用率从2020的25%持续降至2025的18%已是落地证据，利润率改善具备持续性而非一次性协同。</w:t>
            </w:r>
          </w:p>
          <w:p>
            <w:r>
              <w:rPr>
                <w:rFonts w:ascii="微软雅黑" w:hAnsi="微软雅黑" w:eastAsia="微软雅黑" w:cs="微软雅黑"/>
                <w:b w:val="0"/>
                <w:sz w:val="18"/>
              </w:rPr>
              <w:t xml:space="preserve">3. </w:t>
            </w:r>
            <w:r>
              <w:rPr>
                <w:rFonts w:ascii="微软雅黑" w:hAnsi="微软雅黑" w:eastAsia="微软雅黑" w:cs="微软雅黑"/>
                <w:b/>
                <w:sz w:val="18"/>
              </w:rPr>
              <w:t>C端从单品切换到平台</w:t>
            </w:r>
            <w:r>
              <w:rPr>
                <w:rFonts w:ascii="微软雅黑" w:hAnsi="微软雅黑" w:eastAsia="微软雅黑" w:cs="微软雅黑"/>
                <w:b w:val="0"/>
                <w:sz w:val="18"/>
              </w:rPr>
              <w:t>：3-6岁儿童数量从2022年6636万降至2025年4683万（-29%），奶酪棒人口红利退去；公司转向奶酪小粒、手撕、鳕鱼条、黄油、奶酪片多品类矩阵并借蒙牛IP扩圈，即食营养2025A测算23.93亿、同比+16.7%，是稳态低增而非单品复苏。</w:t>
            </w:r>
          </w:p>
          <w:p>
            <w:r>
              <w:rPr>
                <w:rFonts w:ascii="微软雅黑" w:hAnsi="微软雅黑" w:eastAsia="微软雅黑" w:cs="微软雅黑"/>
                <w:b w:val="0"/>
                <w:sz w:val="18"/>
              </w:rPr>
              <w:t xml:space="preserve">4. </w:t>
            </w:r>
            <w:r>
              <w:rPr>
                <w:rFonts w:ascii="微软雅黑" w:hAnsi="微软雅黑" w:eastAsia="微软雅黑" w:cs="微软雅黑"/>
                <w:b/>
                <w:sz w:val="18"/>
              </w:rPr>
              <w:t>龙头卡位稳固</w:t>
            </w:r>
            <w:r>
              <w:rPr>
                <w:rFonts w:ascii="微软雅黑" w:hAnsi="微软雅黑" w:eastAsia="微软雅黑" w:cs="微软雅黑"/>
                <w:b w:val="0"/>
                <w:sz w:val="18"/>
              </w:rPr>
              <w:t>：2025年奶酪销售额市占率34%、CR5达71%（较2023年+2pct），行业出清中龙头位置强化，但龙头身份不直接转化为弱消费下的利润弹性。</w:t>
            </w:r>
          </w:p>
          <w:p/>
          <w:p>
            <w:r>
              <w:rPr>
                <w:rFonts w:ascii="微软雅黑" w:hAnsi="微软雅黑" w:eastAsia="微软雅黑" w:cs="微软雅黑"/>
                <w:b/>
                <w:sz w:val="18"/>
              </w:rPr>
              <w:t>投资建议：</w:t>
            </w:r>
          </w:p>
          <w:p>
            <w:r>
              <w:rPr>
                <w:rFonts w:ascii="微软雅黑" w:hAnsi="微软雅黑" w:eastAsia="微软雅黑" w:cs="微软雅黑"/>
                <w:b w:val="0"/>
                <w:sz w:val="18"/>
              </w:rPr>
              <w:t>预计2026年销售收入66.9亿，yoy 19%，归母净利润2.4亿，yoy 101%，对应PE 36倍；2027年销售收入76.5亿，yoy 14%，归母净利润3.9亿，yoy 63%，对应PE 22倍。公司属消费进攻型弹性标的，资金面复杂、当前消费环境偏弱，业务改善与业绩诉求虽真实，但弹性的兑现与估值修复均需消费回暖与利润率持续验证，当前位置不提供买点、参与交易价值有限。</w:t>
            </w:r>
          </w:p>
        </w:tc>
      </w:tr>
      <w:bookmarkEnd w:id="17"/>
      <w:tr w14:paraId="3AEDC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E227C">
            <w:pPr>
              <w:keepNext w:val="0"/>
              <w:keepLines w:val="0"/>
              <w:widowControl/>
              <w:suppressLineNumbers w:val="0"/>
              <w:jc w:val="left"/>
              <w:textAlignment w:val="center"/>
              <w:rPr>
                <w:rFonts w:hint="eastAsia" w:ascii="Arial Unicode MS" w:hAnsi="Arial Unicode MS" w:eastAsia="PMingLiU" w:cs="Arial Unicode MS"/>
                <w:i w:val="0"/>
                <w:iCs w:val="0"/>
                <w:color w:val="FFFFFF"/>
                <w:kern w:val="2"/>
                <w:sz w:val="15"/>
                <w:szCs w:val="15"/>
                <w:u w:val="none"/>
                <w:lang w:val="en-US" w:eastAsia="zh-CN" w:bidi="ar-SA"/>
              </w:rPr>
            </w:pPr>
            <w:r>
              <w:rPr>
                <w:rFonts w:hint="eastAsia" w:ascii="微软雅黑" w:hAnsi="微软雅黑" w:eastAsia="微软雅黑" w:cs="微软雅黑"/>
                <w:b/>
                <w:bCs/>
                <w:i w:val="0"/>
                <w:iCs w:val="0"/>
                <w:color w:val="000000"/>
                <w:sz w:val="15"/>
                <w:szCs w:val="15"/>
                <w:u w:val="none"/>
                <w:lang w:val="en-US" w:eastAsia="zh-CN"/>
              </w:rPr>
              <w:t>盈利预测</w:t>
            </w:r>
            <w:r>
              <w:rPr>
                <w:rFonts w:hint="eastAsia" w:ascii="微软雅黑" w:hAnsi="微软雅黑" w:eastAsia="微软雅黑" w:cs="微软雅黑"/>
                <w:b/>
                <w:bCs/>
                <w:i w:val="0"/>
                <w:iCs w:val="0"/>
                <w:color w:val="000000"/>
                <w:sz w:val="15"/>
                <w:szCs w:val="15"/>
                <w:u w:val="none"/>
                <w:lang w:val="en-US" w:eastAsia="zh-TW"/>
              </w:rPr>
              <w:t>(</w:t>
            </w:r>
            <w:r>
              <w:rPr>
                <w:rFonts w:hint="eastAsia" w:ascii="微软雅黑" w:hAnsi="微软雅黑" w:eastAsia="微软雅黑" w:cs="微软雅黑"/>
                <w:b/>
                <w:bCs/>
                <w:i w:val="0"/>
                <w:iCs w:val="0"/>
                <w:color w:val="000000"/>
                <w:sz w:val="15"/>
                <w:szCs w:val="15"/>
                <w:u w:val="none"/>
                <w:lang w:val="en-US" w:eastAsia="zh-CN"/>
              </w:rPr>
              <w:t>年度</w:t>
            </w:r>
            <w:r>
              <w:rPr>
                <w:rFonts w:hint="eastAsia" w:ascii="微软雅黑" w:hAnsi="微软雅黑" w:eastAsia="微软雅黑" w:cs="微软雅黑"/>
                <w:b/>
                <w:bCs/>
                <w:i w:val="0"/>
                <w:iCs w:val="0"/>
                <w:color w:val="000000"/>
                <w:sz w:val="15"/>
                <w:szCs w:val="15"/>
                <w:u w:val="none"/>
                <w:lang w:val="en-US" w:eastAsia="zh-TW"/>
              </w:rPr>
              <w:t>)</w:t>
            </w:r>
          </w:p>
        </w:tc>
      </w:tr>
      <w:tr w14:paraId="2708A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0"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tbl>
            <w:tblPr>
              <w:tblStyle w:val="6"/>
              <w:tblW w:w="8094" w:type="dxa"/>
              <w:tblInd w:w="5" w:type="dxa"/>
              <w:tblBorders>
                <w:top w:val="none" w:color="auto" w:sz="4" w:space="0"/>
                <w:left w:val="none" w:color="auto" w:sz="4" w:space="0"/>
                <w:bottom w:val="none" w:color="auto" w:sz="4" w:space="0"/>
                <w:right w:val="none" w:color="auto" w:sz="4" w:space="0"/>
                <w:insideH w:val="single" w:color="auto" w:sz="4" w:space="0"/>
                <w:insideV w:val="dotted" w:color="C0C0C0" w:sz="4" w:space="0"/>
              </w:tblBorders>
              <w:tblLayout w:type="fixed"/>
              <w:tblCellMar>
                <w:left w:w="108" w:type="dxa"/>
                <w:right w:w="108" w:type="dxa"/>
              </w:tblCellMar>
            </w:tblPr>
            <w:tblGrid>
              <w:gridCol w:w="1644"/>
              <w:gridCol w:w="1075"/>
              <w:gridCol w:w="1075"/>
              <w:gridCol w:w="1075"/>
              <w:gridCol w:w="1075"/>
              <w:gridCol w:w="1075"/>
              <w:gridCol w:w="1075"/>
            </w:tblGrid>
            <w:tr w14:paraId="759E18FE">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280CA40A">
                  <w:pPr>
                    <w:jc w:val="both"/>
                    <w:rPr>
                      <w:rFonts w:hint="eastAsia" w:ascii="微软雅黑" w:hAnsi="微软雅黑" w:eastAsia="微软雅黑" w:cs="微软雅黑"/>
                      <w:b/>
                      <w:i w:val="0"/>
                      <w:iCs w:val="0"/>
                      <w:color w:val="000000"/>
                      <w:sz w:val="15"/>
                      <w:szCs w:val="15"/>
                      <w:u w:val="none"/>
                      <w:vertAlign w:val="baseline"/>
                      <w:lang w:eastAsia="zh-CN"/>
                    </w:rPr>
                  </w:pPr>
                  <w:bookmarkStart w:id="18" w:name="财务"/>
                  <w:bookmarkStart w:id="19" w:name="盈利预测" w:colFirst="0" w:colLast="0"/>
                  <w:r>
                    <w:rPr>
                      <w:rFonts w:hint="eastAsia" w:ascii="微软雅黑" w:hAnsi="微软雅黑" w:eastAsia="微软雅黑" w:cs="微软雅黑"/>
                      <w:b/>
                      <w:i w:val="0"/>
                      <w:iCs w:val="0"/>
                      <w:color w:val="000000"/>
                      <w:sz w:val="15"/>
                      <w:szCs w:val="15"/>
                      <w:u w:val="none"/>
                      <w:vertAlign w:val="baseline"/>
                      <w:lang w:eastAsia="zh-CN"/>
                    </w:rPr>
                    <w:t>财务指标</w:t>
                  </w:r>
                </w:p>
              </w:tc>
              <w:tc>
                <w:tcPr>
                  <w:tcW w:w="1075" w:type="dxa"/>
                </w:tcPr>
                <w:p w14:paraId="79DCD154">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2023</w:t>
                  </w:r>
                </w:p>
              </w:tc>
              <w:tc>
                <w:tcPr>
                  <w:tcW w:w="1075" w:type="dxa"/>
                </w:tcPr>
                <w:p w14:paraId="478981C9">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2024</w:t>
                  </w:r>
                </w:p>
              </w:tc>
              <w:tc>
                <w:tcPr>
                  <w:tcW w:w="1075" w:type="dxa"/>
                </w:tcPr>
                <w:p w14:paraId="0AD24977">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2025</w:t>
                  </w:r>
                </w:p>
              </w:tc>
              <w:tc>
                <w:tcPr>
                  <w:tcW w:w="1075" w:type="dxa"/>
                </w:tcPr>
                <w:p w14:paraId="199B0BB6">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2026E</w:t>
                  </w:r>
                </w:p>
              </w:tc>
              <w:tc>
                <w:tcPr>
                  <w:tcW w:w="1075" w:type="dxa"/>
                </w:tcPr>
                <w:p w14:paraId="60147B94">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2027E</w:t>
                  </w:r>
                </w:p>
              </w:tc>
              <w:tc>
                <w:tcPr>
                  <w:tcW w:w="1075" w:type="dxa"/>
                </w:tcPr>
                <w:p w14:paraId="6211DCBA">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2028E</w:t>
                  </w:r>
                </w:p>
              </w:tc>
            </w:tr>
            <w:tr w14:paraId="706C7977">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1FA8E9F1">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营业收入(百万)</w:t>
                  </w:r>
                </w:p>
              </w:tc>
              <w:tc>
                <w:tcPr>
                  <w:tcW w:w="1075" w:type="dxa"/>
                </w:tcPr>
                <w:p w14:paraId="6C4F184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4,049</w:t>
                  </w:r>
                </w:p>
              </w:tc>
              <w:tc>
                <w:tcPr>
                  <w:tcW w:w="1075" w:type="dxa"/>
                </w:tcPr>
                <w:p w14:paraId="2118B22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4,844</w:t>
                  </w:r>
                </w:p>
              </w:tc>
              <w:tc>
                <w:tcPr>
                  <w:tcW w:w="1075" w:type="dxa"/>
                </w:tcPr>
                <w:p w14:paraId="43FE060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5,633</w:t>
                  </w:r>
                </w:p>
              </w:tc>
              <w:tc>
                <w:tcPr>
                  <w:tcW w:w="1075" w:type="dxa"/>
                </w:tcPr>
                <w:p w14:paraId="53887A4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6,688</w:t>
                  </w:r>
                </w:p>
              </w:tc>
              <w:tc>
                <w:tcPr>
                  <w:tcW w:w="1075" w:type="dxa"/>
                </w:tcPr>
                <w:p w14:paraId="23808BB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7,645</w:t>
                  </w:r>
                </w:p>
              </w:tc>
              <w:tc>
                <w:tcPr>
                  <w:tcW w:w="1075" w:type="dxa"/>
                </w:tcPr>
                <w:p w14:paraId="53F8549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8,585</w:t>
                  </w:r>
                </w:p>
              </w:tc>
            </w:tr>
            <w:tr w14:paraId="4CAA850B">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6F500D25">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营收YOY %</w:t>
                  </w:r>
                </w:p>
              </w:tc>
              <w:tc>
                <w:tcPr>
                  <w:tcW w:w="1075" w:type="dxa"/>
                </w:tcPr>
                <w:p w14:paraId="619EF75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-16.2%</w:t>
                  </w:r>
                </w:p>
              </w:tc>
              <w:tc>
                <w:tcPr>
                  <w:tcW w:w="1075" w:type="dxa"/>
                </w:tcPr>
                <w:p w14:paraId="368A519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19.6%</w:t>
                  </w:r>
                </w:p>
              </w:tc>
              <w:tc>
                <w:tcPr>
                  <w:tcW w:w="1075" w:type="dxa"/>
                </w:tcPr>
                <w:p w14:paraId="0CEAF0FC">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16.3%</w:t>
                  </w:r>
                </w:p>
              </w:tc>
              <w:tc>
                <w:tcPr>
                  <w:tcW w:w="1075" w:type="dxa"/>
                </w:tcPr>
                <w:p w14:paraId="2CEA0B0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18.7%</w:t>
                  </w:r>
                </w:p>
              </w:tc>
              <w:tc>
                <w:tcPr>
                  <w:tcW w:w="1075" w:type="dxa"/>
                </w:tcPr>
                <w:p w14:paraId="6A346A5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14.3%</w:t>
                  </w:r>
                </w:p>
              </w:tc>
              <w:tc>
                <w:tcPr>
                  <w:tcW w:w="1075" w:type="dxa"/>
                </w:tcPr>
                <w:p w14:paraId="5F8F383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12.3%</w:t>
                  </w:r>
                </w:p>
              </w:tc>
            </w:tr>
            <w:tr w14:paraId="4F90956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2E681DA2">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毛利率</w:t>
                  </w:r>
                </w:p>
              </w:tc>
              <w:tc>
                <w:tcPr>
                  <w:tcW w:w="1075" w:type="dxa"/>
                </w:tcPr>
                <w:p w14:paraId="002DBFFD">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29.2%</w:t>
                  </w:r>
                </w:p>
              </w:tc>
              <w:tc>
                <w:tcPr>
                  <w:tcW w:w="1075" w:type="dxa"/>
                </w:tcPr>
                <w:p w14:paraId="0651207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28.3%</w:t>
                  </w:r>
                </w:p>
              </w:tc>
              <w:tc>
                <w:tcPr>
                  <w:tcW w:w="1075" w:type="dxa"/>
                </w:tcPr>
                <w:p w14:paraId="26A2715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29.0%</w:t>
                  </w:r>
                </w:p>
              </w:tc>
              <w:tc>
                <w:tcPr>
                  <w:tcW w:w="1075" w:type="dxa"/>
                </w:tcPr>
                <w:p w14:paraId="1091F4B5">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29.0%</w:t>
                  </w:r>
                </w:p>
              </w:tc>
              <w:tc>
                <w:tcPr>
                  <w:tcW w:w="1075" w:type="dxa"/>
                </w:tcPr>
                <w:p w14:paraId="536B17B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29.3%</w:t>
                  </w:r>
                </w:p>
              </w:tc>
              <w:tc>
                <w:tcPr>
                  <w:tcW w:w="1075" w:type="dxa"/>
                </w:tcPr>
                <w:p w14:paraId="23F52C2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29.6%</w:t>
                  </w:r>
                </w:p>
              </w:tc>
            </w:tr>
            <w:tr w14:paraId="6A9FD9D1">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407FD1DE">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归母净利润(百万)</w:t>
                  </w:r>
                </w:p>
              </w:tc>
              <w:tc>
                <w:tcPr>
                  <w:tcW w:w="1075" w:type="dxa"/>
                </w:tcPr>
                <w:p w14:paraId="7E829C6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63</w:t>
                  </w:r>
                </w:p>
              </w:tc>
              <w:tc>
                <w:tcPr>
                  <w:tcW w:w="1075" w:type="dxa"/>
                </w:tcPr>
                <w:p w14:paraId="23276A7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114</w:t>
                  </w:r>
                </w:p>
              </w:tc>
              <w:tc>
                <w:tcPr>
                  <w:tcW w:w="1075" w:type="dxa"/>
                </w:tcPr>
                <w:p w14:paraId="7B3754F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118</w:t>
                  </w:r>
                </w:p>
              </w:tc>
              <w:tc>
                <w:tcPr>
                  <w:tcW w:w="1075" w:type="dxa"/>
                </w:tcPr>
                <w:p w14:paraId="6528763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238</w:t>
                  </w:r>
                </w:p>
              </w:tc>
              <w:tc>
                <w:tcPr>
                  <w:tcW w:w="1075" w:type="dxa"/>
                </w:tcPr>
                <w:p w14:paraId="2367A39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386</w:t>
                  </w:r>
                </w:p>
              </w:tc>
              <w:tc>
                <w:tcPr>
                  <w:tcW w:w="1075" w:type="dxa"/>
                </w:tcPr>
                <w:p w14:paraId="77A835CE">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513</w:t>
                  </w:r>
                </w:p>
              </w:tc>
            </w:tr>
            <w:tr w14:paraId="519FA45F">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4EE31D2D">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归母净利润YOY %</w:t>
                  </w:r>
                </w:p>
              </w:tc>
              <w:tc>
                <w:tcPr>
                  <w:tcW w:w="1075" w:type="dxa"/>
                </w:tcPr>
                <w:p w14:paraId="2CA73F4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-53.1%</w:t>
                  </w:r>
                </w:p>
              </w:tc>
              <w:tc>
                <w:tcPr>
                  <w:tcW w:w="1075" w:type="dxa"/>
                </w:tcPr>
                <w:p w14:paraId="45FD6DF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79.1%</w:t>
                  </w:r>
                </w:p>
              </w:tc>
              <w:tc>
                <w:tcPr>
                  <w:tcW w:w="1075" w:type="dxa"/>
                </w:tcPr>
                <w:p w14:paraId="0AE09D4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4.3%</w:t>
                  </w:r>
                </w:p>
              </w:tc>
              <w:tc>
                <w:tcPr>
                  <w:tcW w:w="1075" w:type="dxa"/>
                </w:tcPr>
                <w:p w14:paraId="34DEB96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100.5%</w:t>
                  </w:r>
                </w:p>
              </w:tc>
              <w:tc>
                <w:tcPr>
                  <w:tcW w:w="1075" w:type="dxa"/>
                </w:tcPr>
                <w:p w14:paraId="5298556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62.5%</w:t>
                  </w:r>
                </w:p>
              </w:tc>
              <w:tc>
                <w:tcPr>
                  <w:tcW w:w="1075" w:type="dxa"/>
                </w:tcPr>
                <w:p w14:paraId="6849370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33.0%</w:t>
                  </w:r>
                </w:p>
              </w:tc>
            </w:tr>
            <w:tr w14:paraId="5373C6BF">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1D0BE0E7">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ROE %</w:t>
                  </w:r>
                </w:p>
              </w:tc>
              <w:tc>
                <w:tcPr>
                  <w:tcW w:w="1075" w:type="dxa"/>
                </w:tcPr>
                <w:p w14:paraId="1F004B1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w:t>
                  </w:r>
                </w:p>
              </w:tc>
              <w:tc>
                <w:tcPr>
                  <w:tcW w:w="1075" w:type="dxa"/>
                </w:tcPr>
                <w:p w14:paraId="16D1BEF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2.6%</w:t>
                  </w:r>
                </w:p>
              </w:tc>
              <w:tc>
                <w:tcPr>
                  <w:tcW w:w="1075" w:type="dxa"/>
                </w:tcPr>
                <w:p w14:paraId="21AD633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2.6%</w:t>
                  </w:r>
                </w:p>
              </w:tc>
              <w:tc>
                <w:tcPr>
                  <w:tcW w:w="1075" w:type="dxa"/>
                </w:tcPr>
                <w:p w14:paraId="35B4ED6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5.1%</w:t>
                  </w:r>
                </w:p>
              </w:tc>
              <w:tc>
                <w:tcPr>
                  <w:tcW w:w="1075" w:type="dxa"/>
                </w:tcPr>
                <w:p w14:paraId="1F4337E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7.7%</w:t>
                  </w:r>
                </w:p>
              </w:tc>
              <w:tc>
                <w:tcPr>
                  <w:tcW w:w="1075" w:type="dxa"/>
                </w:tcPr>
                <w:p w14:paraId="690C1F2D">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9.4%</w:t>
                  </w:r>
                </w:p>
              </w:tc>
            </w:tr>
            <w:tr w14:paraId="21BCBD21">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37B86503">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EPS</w:t>
                  </w:r>
                </w:p>
              </w:tc>
              <w:tc>
                <w:tcPr>
                  <w:tcW w:w="1075" w:type="dxa"/>
                </w:tcPr>
                <w:p w14:paraId="1D2A543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0.12</w:t>
                  </w:r>
                </w:p>
              </w:tc>
              <w:tc>
                <w:tcPr>
                  <w:tcW w:w="1075" w:type="dxa"/>
                </w:tcPr>
                <w:p w14:paraId="1C19DDB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0.22</w:t>
                  </w:r>
                </w:p>
              </w:tc>
              <w:tc>
                <w:tcPr>
                  <w:tcW w:w="1075" w:type="dxa"/>
                </w:tcPr>
                <w:p w14:paraId="074FDCB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0.23</w:t>
                  </w:r>
                </w:p>
              </w:tc>
              <w:tc>
                <w:tcPr>
                  <w:tcW w:w="1075" w:type="dxa"/>
                </w:tcPr>
                <w:p w14:paraId="384914B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0.47</w:t>
                  </w:r>
                </w:p>
              </w:tc>
              <w:tc>
                <w:tcPr>
                  <w:tcW w:w="1075" w:type="dxa"/>
                </w:tcPr>
                <w:p w14:paraId="5A77393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0.76</w:t>
                  </w:r>
                </w:p>
              </w:tc>
              <w:tc>
                <w:tcPr>
                  <w:tcW w:w="1075" w:type="dxa"/>
                </w:tcPr>
                <w:p w14:paraId="05903B9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1.01</w:t>
                  </w:r>
                </w:p>
              </w:tc>
            </w:tr>
            <w:tr w14:paraId="4E3379A6">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376B2F0F">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PE</w:t>
                  </w:r>
                </w:p>
              </w:tc>
              <w:tc>
                <w:tcPr>
                  <w:tcW w:w="1075" w:type="dxa"/>
                </w:tcPr>
                <w:p w14:paraId="518F0A7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133.3</w:t>
                  </w:r>
                </w:p>
              </w:tc>
              <w:tc>
                <w:tcPr>
                  <w:tcW w:w="1075" w:type="dxa"/>
                </w:tcPr>
                <w:p w14:paraId="343E222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74.4</w:t>
                  </w:r>
                </w:p>
              </w:tc>
              <w:tc>
                <w:tcPr>
                  <w:tcW w:w="1075" w:type="dxa"/>
                </w:tcPr>
                <w:p w14:paraId="22091E9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71.4</w:t>
                  </w:r>
                </w:p>
              </w:tc>
              <w:tc>
                <w:tcPr>
                  <w:tcW w:w="1075" w:type="dxa"/>
                </w:tcPr>
                <w:p w14:paraId="1E29A9F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35.6</w:t>
                  </w:r>
                </w:p>
              </w:tc>
              <w:tc>
                <w:tcPr>
                  <w:tcW w:w="1075" w:type="dxa"/>
                </w:tcPr>
                <w:p w14:paraId="74E56FD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21.9</w:t>
                  </w:r>
                </w:p>
              </w:tc>
              <w:tc>
                <w:tcPr>
                  <w:tcW w:w="1075" w:type="dxa"/>
                </w:tcPr>
                <w:p w14:paraId="743050DC">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16.5</w:t>
                  </w:r>
                </w:p>
              </w:tc>
            </w:tr>
            <w:tr w14:paraId="5767CEE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626A1C2A">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PB</w:t>
                  </w:r>
                </w:p>
              </w:tc>
              <w:tc>
                <w:tcPr>
                  <w:tcW w:w="1075" w:type="dxa"/>
                </w:tcPr>
                <w:p w14:paraId="0395B9A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2.0</w:t>
                  </w:r>
                </w:p>
              </w:tc>
              <w:tc>
                <w:tcPr>
                  <w:tcW w:w="1075" w:type="dxa"/>
                </w:tcPr>
                <w:p w14:paraId="74FDE061">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1.9</w:t>
                  </w:r>
                </w:p>
              </w:tc>
              <w:tc>
                <w:tcPr>
                  <w:tcW w:w="1075" w:type="dxa"/>
                </w:tcPr>
                <w:p w14:paraId="6C31586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1.9</w:t>
                  </w:r>
                </w:p>
              </w:tc>
              <w:tc>
                <w:tcPr>
                  <w:tcW w:w="1075" w:type="dxa"/>
                </w:tcPr>
                <w:p w14:paraId="7883F56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1.8</w:t>
                  </w:r>
                </w:p>
              </w:tc>
              <w:tc>
                <w:tcPr>
                  <w:tcW w:w="1075" w:type="dxa"/>
                </w:tcPr>
                <w:p w14:paraId="202A9FA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w:t>
                  </w:r>
                </w:p>
              </w:tc>
              <w:tc>
                <w:tcPr>
                  <w:tcW w:w="1075" w:type="dxa"/>
                </w:tcPr>
                <w:p w14:paraId="2299A311">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w:t>
                  </w:r>
                </w:p>
              </w:tc>
            </w:tr>
            <w:tr w14:paraId="7F46868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035DAB08">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EV/EBITDA</w:t>
                  </w:r>
                </w:p>
              </w:tc>
              <w:tc>
                <w:tcPr>
                  <w:tcW w:w="1075" w:type="dxa"/>
                </w:tcPr>
                <w:p w14:paraId="7BDA50C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26.2</w:t>
                  </w:r>
                </w:p>
              </w:tc>
              <w:tc>
                <w:tcPr>
                  <w:tcW w:w="1075" w:type="dxa"/>
                </w:tcPr>
                <w:p w14:paraId="51144E40">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20.9</w:t>
                  </w:r>
                </w:p>
              </w:tc>
              <w:tc>
                <w:tcPr>
                  <w:tcW w:w="1075" w:type="dxa"/>
                </w:tcPr>
                <w:p w14:paraId="35A829A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21.8</w:t>
                  </w:r>
                </w:p>
              </w:tc>
              <w:tc>
                <w:tcPr>
                  <w:tcW w:w="1075" w:type="dxa"/>
                </w:tcPr>
                <w:p w14:paraId="7A957BD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17.0</w:t>
                  </w:r>
                </w:p>
              </w:tc>
              <w:tc>
                <w:tcPr>
                  <w:tcW w:w="1075" w:type="dxa"/>
                </w:tcPr>
                <w:p w14:paraId="2CC9BD9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12.6</w:t>
                  </w:r>
                </w:p>
              </w:tc>
              <w:tc>
                <w:tcPr>
                  <w:tcW w:w="1075" w:type="dxa"/>
                </w:tcPr>
                <w:p w14:paraId="1BC4AD20">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10.1</w:t>
                  </w:r>
                </w:p>
              </w:tc>
            </w:tr>
            <w:bookmarkEnd w:id="18"/>
          </w:tbl>
          <w:p w14:paraId="5B8D3CD5">
            <w:pPr>
              <w:jc w:val="both"/>
              <w:rPr>
                <w:rFonts w:hint="eastAsia" w:ascii="微软雅黑" w:hAnsi="微软雅黑" w:eastAsia="微软雅黑" w:cs="微软雅黑"/>
                <w:i w:val="0"/>
                <w:iCs w:val="0"/>
                <w:color w:val="000000"/>
                <w:sz w:val="15"/>
                <w:szCs w:val="15"/>
                <w:u w:val="none"/>
                <w:lang w:eastAsia="zh-TW"/>
              </w:rPr>
            </w:pPr>
          </w:p>
        </w:tc>
      </w:tr>
      <w:bookmarkEnd w:id="19"/>
      <w:tr w14:paraId="5D59B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A67C46">
            <w:pPr>
              <w:keepNext w:val="0"/>
              <w:keepLines w:val="0"/>
              <w:widowControl/>
              <w:suppressLineNumbers w:val="0"/>
              <w:jc w:val="left"/>
              <w:textAlignment w:val="center"/>
              <w:rPr>
                <w:rFonts w:hint="eastAsia" w:ascii="Arial Unicode MS" w:hAnsi="Arial Unicode MS" w:eastAsia="PMingLiU" w:cs="Arial Unicode MS"/>
                <w:b/>
                <w:bCs/>
                <w:i w:val="0"/>
                <w:iCs w:val="0"/>
                <w:color w:val="000000"/>
                <w:sz w:val="15"/>
                <w:szCs w:val="15"/>
                <w:u w:val="none"/>
                <w:lang w:eastAsia="zh-TW"/>
              </w:rPr>
            </w:pPr>
            <w:r>
              <w:rPr>
                <w:rFonts w:hint="eastAsia" w:ascii="微软雅黑" w:hAnsi="微软雅黑" w:eastAsia="微软雅黑" w:cs="微软雅黑"/>
                <w:b/>
                <w:bCs/>
                <w:i w:val="0"/>
                <w:iCs w:val="0"/>
                <w:color w:val="000000"/>
                <w:sz w:val="15"/>
                <w:szCs w:val="15"/>
                <w:u w:val="none"/>
                <w:lang w:val="en-US" w:eastAsia="zh-CN"/>
              </w:rPr>
              <w:t>投资</w:t>
            </w:r>
            <w:r>
              <w:rPr>
                <w:rFonts w:hint="eastAsia" w:ascii="微软雅黑" w:hAnsi="微软雅黑" w:eastAsia="微软雅黑" w:cs="微软雅黑"/>
                <w:b/>
                <w:bCs/>
                <w:i w:val="0"/>
                <w:iCs w:val="0"/>
                <w:color w:val="000000"/>
                <w:sz w:val="15"/>
                <w:szCs w:val="15"/>
                <w:u w:val="none"/>
                <w:lang w:val="en-US" w:eastAsia="zh-TW"/>
              </w:rPr>
              <w:t>要点</w:t>
            </w:r>
          </w:p>
        </w:tc>
      </w:tr>
      <w:tr w14:paraId="09B1B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50"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7C7C5F89">
            <w:pPr>
              <w:jc w:val="both"/>
              <w:rPr>
                <w:rFonts w:hint="eastAsia" w:ascii="微软雅黑" w:hAnsi="微软雅黑" w:eastAsia="微软雅黑" w:cs="微软雅黑"/>
                <w:i w:val="0"/>
                <w:iCs w:val="0"/>
                <w:color w:val="000000"/>
                <w:sz w:val="15"/>
                <w:szCs w:val="15"/>
                <w:u w:val="none"/>
              </w:rPr>
            </w:pPr>
            <w:bookmarkStart w:id="20" w:name="投资逻辑" w:colFirst="0" w:colLast="0"/>
            <w:r>
              <w:rPr>
                <w:rFonts w:ascii="微软雅黑" w:hAnsi="微软雅黑" w:eastAsia="微软雅黑" w:cs="微软雅黑"/>
              </w:rPr>
              <w:t>见附件</w:t>
            </w:r>
          </w:p>
        </w:tc>
      </w:tr>
      <w:bookmarkEnd w:id="20"/>
      <w:tr w14:paraId="68703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14979A">
            <w:pPr>
              <w:keepNext w:val="0"/>
              <w:keepLines w:val="0"/>
              <w:widowControl/>
              <w:suppressLineNumbers w:val="0"/>
              <w:jc w:val="left"/>
              <w:textAlignment w:val="center"/>
              <w:rPr>
                <w:rFonts w:hint="eastAsia" w:ascii="Arial Unicode MS" w:hAnsi="Arial Unicode MS" w:eastAsia="Arial Unicode MS" w:cs="Arial Unicode MS"/>
                <w:b/>
                <w:bCs/>
                <w:i w:val="0"/>
                <w:iCs w:val="0"/>
                <w:color w:val="000000"/>
                <w:sz w:val="15"/>
                <w:szCs w:val="15"/>
                <w:u w:val="none"/>
              </w:rPr>
            </w:pPr>
            <w:r>
              <w:rPr>
                <w:rFonts w:hint="eastAsia" w:ascii="微软雅黑" w:hAnsi="微软雅黑" w:eastAsia="微软雅黑" w:cs="微软雅黑"/>
                <w:b/>
                <w:bCs/>
                <w:i w:val="0"/>
                <w:iCs w:val="0"/>
                <w:color w:val="000000"/>
                <w:sz w:val="15"/>
                <w:szCs w:val="15"/>
                <w:u w:val="none"/>
                <w:lang w:val="en-US" w:eastAsia="zh-CN"/>
              </w:rPr>
              <w:t>正文部分</w:t>
            </w:r>
          </w:p>
        </w:tc>
      </w:tr>
      <w:tr w14:paraId="47179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7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363EE3ED">
            <w:pPr>
              <w:jc w:val="both"/>
              <w:rPr>
                <w:rFonts w:hint="eastAsia" w:ascii="微软雅黑" w:hAnsi="微软雅黑" w:eastAsia="微软雅黑" w:cs="微软雅黑"/>
                <w:i w:val="0"/>
                <w:iCs w:val="0"/>
                <w:color w:val="000000"/>
                <w:sz w:val="15"/>
                <w:szCs w:val="15"/>
                <w:u w:val="none"/>
              </w:rPr>
            </w:pPr>
            <w:bookmarkStart w:id="21" w:name="正文" w:colFirst="0" w:colLast="0"/>
            <w:r>
              <w:rPr>
                <w:rFonts w:ascii="微软雅黑" w:hAnsi="微软雅黑" w:eastAsia="微软雅黑" w:cs="微软雅黑"/>
              </w:rPr>
              <w:t>见附件</w:t>
            </w:r>
          </w:p>
        </w:tc>
      </w:tr>
      <w:bookmarkEnd w:id="21"/>
    </w:tbl>
    <w:p w14:paraId="39F5FEF2">
      <w:pPr>
        <w:rPr>
          <w:rFonts w:hint="eastAsia" w:ascii="微软雅黑" w:hAnsi="微软雅黑" w:eastAsia="微软雅黑" w:cs="微软雅黑"/>
          <w:color w:val="808080" w:themeColor="background1" w:themeShade="80"/>
          <w:sz w:val="20"/>
          <w:szCs w:val="20"/>
        </w:rPr>
        <w:sectPr>
          <w:headerReference r:id="rId3" w:type="default"/>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pPr>
    </w:p>
    <w:p w14:paraId="3ABDC0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4B4A48"/>
          <w:spacing w:val="0"/>
          <w:sz w:val="24"/>
          <w:szCs w:val="24"/>
          <w:shd w:val="clear" w:fill="FFFFFF"/>
          <w:lang w:eastAsia="zh-CN"/>
        </w:rPr>
      </w:pPr>
      <w:r>
        <w:rPr>
          <w:rFonts w:hint="eastAsia" w:ascii="微软雅黑" w:hAnsi="微软雅黑" w:eastAsia="微软雅黑" w:cs="微软雅黑"/>
          <w:i w:val="0"/>
          <w:iCs w:val="0"/>
          <w:caps w:val="0"/>
          <w:color w:val="4B4A48"/>
          <w:spacing w:val="0"/>
          <w:sz w:val="24"/>
          <w:szCs w:val="24"/>
          <w:shd w:val="clear" w:fill="FFFFFF"/>
        </w:rPr>
        <w:t>报告评级对应的预期收益率</w:t>
      </w:r>
      <w:r>
        <w:rPr>
          <w:rFonts w:hint="eastAsia" w:ascii="微软雅黑" w:hAnsi="微软雅黑" w:eastAsia="微软雅黑" w:cs="微软雅黑"/>
          <w:i w:val="0"/>
          <w:iCs w:val="0"/>
          <w:caps w:val="0"/>
          <w:color w:val="4B4A48"/>
          <w:spacing w:val="0"/>
          <w:sz w:val="24"/>
          <w:szCs w:val="24"/>
          <w:shd w:val="clear" w:fill="FFFFFF"/>
          <w:lang w:eastAsia="zh-CN"/>
        </w:rPr>
        <w:t>（</w:t>
      </w:r>
      <w:r>
        <w:rPr>
          <w:rFonts w:hint="eastAsia" w:ascii="微软雅黑" w:hAnsi="微软雅黑" w:eastAsia="微软雅黑" w:cs="微软雅黑"/>
          <w:i w:val="0"/>
          <w:iCs w:val="0"/>
          <w:caps w:val="0"/>
          <w:color w:val="4B4A48"/>
          <w:spacing w:val="0"/>
          <w:sz w:val="24"/>
          <w:szCs w:val="24"/>
          <w:shd w:val="clear" w:fill="FFFFFF"/>
          <w:lang w:val="en-US" w:eastAsia="zh-CN"/>
        </w:rPr>
        <w:t>9个月</w:t>
      </w:r>
      <w:r>
        <w:rPr>
          <w:rFonts w:hint="eastAsia" w:ascii="微软雅黑" w:hAnsi="微软雅黑" w:eastAsia="微软雅黑" w:cs="微软雅黑"/>
          <w:i w:val="0"/>
          <w:iCs w:val="0"/>
          <w:caps w:val="0"/>
          <w:color w:val="4B4A48"/>
          <w:spacing w:val="0"/>
          <w:sz w:val="24"/>
          <w:szCs w:val="24"/>
          <w:shd w:val="clear" w:fill="FFFFFF"/>
          <w:lang w:eastAsia="zh-CN"/>
        </w:rPr>
        <w:t>）：</w:t>
      </w:r>
    </w:p>
    <w:p w14:paraId="2CD1354D">
      <w:pPr>
        <w:rPr>
          <w:rFonts w:hint="eastAsia" w:ascii="微软雅黑" w:hAnsi="微软雅黑" w:eastAsia="微软雅黑" w:cs="微软雅黑"/>
          <w:color w:val="44546A" w:themeColor="text2"/>
          <w:sz w:val="18"/>
          <w:szCs w:val="18"/>
          <w:lang w:val="en-US" w:eastAsia="zh-CN"/>
          <w14:textFill>
            <w14:solidFill>
              <w14:schemeClr w14:val="tx2"/>
            </w14:solidFill>
          </w14:textFill>
        </w:rPr>
      </w:pPr>
      <w:r>
        <w:rPr>
          <w:rFonts w:hint="eastAsia" w:ascii="微软雅黑" w:hAnsi="微软雅黑" w:eastAsia="微软雅黑" w:cs="微软雅黑"/>
          <w:color w:val="808080" w:themeColor="background1" w:themeShade="80"/>
          <w:sz w:val="18"/>
          <w:szCs w:val="18"/>
          <w:lang w:val="en-US" w:eastAsia="zh-CN"/>
        </w:rPr>
        <w:t>请根据股票评级给出</w:t>
      </w:r>
      <w:r>
        <w:rPr>
          <w:rFonts w:hint="eastAsia" w:ascii="微软雅黑" w:hAnsi="微软雅黑" w:eastAsia="微软雅黑" w:cs="微软雅黑"/>
          <w:color w:val="808080" w:themeColor="background1" w:themeShade="80"/>
          <w:sz w:val="18"/>
          <w:szCs w:val="18"/>
          <w:lang w:eastAsia="zh-CN"/>
        </w:rPr>
        <w:t>预期收益率，</w:t>
      </w:r>
      <w:r>
        <w:rPr>
          <w:rFonts w:hint="eastAsia" w:ascii="微软雅黑" w:hAnsi="微软雅黑" w:eastAsia="微软雅黑" w:cs="微软雅黑"/>
          <w:color w:val="808080" w:themeColor="background1" w:themeShade="80"/>
          <w:sz w:val="18"/>
          <w:szCs w:val="18"/>
          <w:lang w:val="en-US" w:eastAsia="zh-CN"/>
        </w:rPr>
        <w:t>给出的预期收益率不可低于评级范围的下限</w:t>
      </w:r>
    </w:p>
    <w:p w14:paraId="62A4B030">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强烈买入（50%以上）</w:t>
      </w:r>
    </w:p>
    <w:p w14:paraId="780EEA6A">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买入（10%</w:t>
      </w:r>
      <w:r>
        <w:rPr>
          <w:rFonts w:hint="eastAsia" w:ascii="微软雅黑" w:hAnsi="微软雅黑" w:eastAsia="微软雅黑" w:cs="微软雅黑"/>
          <w:color w:val="808080" w:themeColor="background1" w:themeShade="80"/>
          <w:sz w:val="18"/>
          <w:szCs w:val="18"/>
          <w:lang w:val="en-US" w:eastAsia="zh-CN"/>
        </w:rPr>
        <w:t>~50%</w:t>
      </w:r>
      <w:r>
        <w:rPr>
          <w:rFonts w:hint="eastAsia" w:ascii="微软雅黑" w:hAnsi="微软雅黑" w:eastAsia="微软雅黑" w:cs="微软雅黑"/>
          <w:color w:val="808080" w:themeColor="background1" w:themeShade="80"/>
          <w:sz w:val="18"/>
          <w:szCs w:val="18"/>
        </w:rPr>
        <w:t>）</w:t>
      </w:r>
    </w:p>
    <w:p w14:paraId="32F00FDF">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持有（</w:t>
      </w:r>
      <w:r>
        <w:rPr>
          <w:rFonts w:hint="eastAsia" w:ascii="微软雅黑" w:hAnsi="微软雅黑" w:eastAsia="微软雅黑" w:cs="微软雅黑"/>
          <w:color w:val="808080" w:themeColor="background1" w:themeShade="80"/>
          <w:sz w:val="18"/>
          <w:szCs w:val="18"/>
          <w:lang w:val="en-US" w:eastAsia="zh-CN"/>
        </w:rPr>
        <w:t>-</w:t>
      </w:r>
      <w:r>
        <w:rPr>
          <w:rFonts w:hint="eastAsia" w:ascii="微软雅黑" w:hAnsi="微软雅黑" w:eastAsia="微软雅黑" w:cs="微软雅黑"/>
          <w:color w:val="808080" w:themeColor="background1" w:themeShade="80"/>
          <w:sz w:val="18"/>
          <w:szCs w:val="18"/>
        </w:rPr>
        <w:t>10%</w:t>
      </w:r>
      <w:r>
        <w:rPr>
          <w:rFonts w:hint="eastAsia" w:ascii="微软雅黑" w:hAnsi="微软雅黑" w:eastAsia="微软雅黑" w:cs="微软雅黑"/>
          <w:color w:val="808080" w:themeColor="background1" w:themeShade="80"/>
          <w:sz w:val="18"/>
          <w:szCs w:val="18"/>
          <w:lang w:val="en-US" w:eastAsia="zh-CN"/>
        </w:rPr>
        <w:t>~</w:t>
      </w:r>
      <w:r>
        <w:rPr>
          <w:rFonts w:hint="eastAsia" w:ascii="微软雅黑" w:hAnsi="微软雅黑" w:eastAsia="微软雅黑" w:cs="微软雅黑"/>
          <w:color w:val="808080" w:themeColor="background1" w:themeShade="80"/>
          <w:sz w:val="18"/>
          <w:szCs w:val="18"/>
        </w:rPr>
        <w:t>10%）</w:t>
      </w:r>
    </w:p>
    <w:p w14:paraId="4B4BDB7B">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卖出（-</w:t>
      </w:r>
      <w:r>
        <w:rPr>
          <w:rFonts w:hint="eastAsia" w:ascii="微软雅黑" w:hAnsi="微软雅黑" w:eastAsia="微软雅黑" w:cs="微软雅黑"/>
          <w:color w:val="808080" w:themeColor="background1" w:themeShade="80"/>
          <w:sz w:val="18"/>
          <w:szCs w:val="18"/>
          <w:lang w:val="en-US" w:eastAsia="zh-CN"/>
        </w:rPr>
        <w:t>5</w:t>
      </w:r>
      <w:r>
        <w:rPr>
          <w:rFonts w:hint="eastAsia" w:ascii="微软雅黑" w:hAnsi="微软雅黑" w:eastAsia="微软雅黑" w:cs="微软雅黑"/>
          <w:color w:val="808080" w:themeColor="background1" w:themeShade="80"/>
          <w:sz w:val="18"/>
          <w:szCs w:val="18"/>
        </w:rPr>
        <w:t>0%</w:t>
      </w:r>
      <w:r>
        <w:rPr>
          <w:rFonts w:hint="eastAsia" w:ascii="微软雅黑" w:hAnsi="微软雅黑" w:eastAsia="微软雅黑" w:cs="微软雅黑"/>
          <w:color w:val="808080" w:themeColor="background1" w:themeShade="80"/>
          <w:sz w:val="18"/>
          <w:szCs w:val="18"/>
          <w:lang w:val="en-US" w:eastAsia="zh-CN"/>
        </w:rPr>
        <w:t>~-10%</w:t>
      </w:r>
      <w:r>
        <w:rPr>
          <w:rFonts w:hint="eastAsia" w:ascii="微软雅黑" w:hAnsi="微软雅黑" w:eastAsia="微软雅黑" w:cs="微软雅黑"/>
          <w:color w:val="808080" w:themeColor="background1" w:themeShade="80"/>
          <w:sz w:val="18"/>
          <w:szCs w:val="18"/>
        </w:rPr>
        <w:t>）</w:t>
      </w:r>
    </w:p>
    <w:p w14:paraId="49366263">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lang w:eastAsia="zh-CN"/>
        </w:rPr>
      </w:pPr>
      <w:r>
        <w:rPr>
          <w:rFonts w:hint="eastAsia" w:ascii="微软雅黑" w:hAnsi="微软雅黑" w:eastAsia="微软雅黑" w:cs="微软雅黑"/>
          <w:color w:val="808080" w:themeColor="background1" w:themeShade="80"/>
          <w:sz w:val="18"/>
          <w:szCs w:val="18"/>
        </w:rPr>
        <w:t>强烈卖出</w:t>
      </w:r>
      <w:r>
        <w:rPr>
          <w:rFonts w:hint="eastAsia" w:ascii="微软雅黑" w:hAnsi="微软雅黑" w:eastAsia="微软雅黑" w:cs="微软雅黑"/>
          <w:color w:val="808080" w:themeColor="background1" w:themeShade="80"/>
          <w:sz w:val="18"/>
          <w:szCs w:val="18"/>
          <w:lang w:eastAsia="zh-CN"/>
        </w:rPr>
        <w:t>（</w:t>
      </w:r>
      <w:r>
        <w:rPr>
          <w:rFonts w:hint="eastAsia" w:ascii="微软雅黑" w:hAnsi="微软雅黑" w:eastAsia="微软雅黑" w:cs="微软雅黑"/>
          <w:color w:val="808080" w:themeColor="background1" w:themeShade="80"/>
          <w:sz w:val="18"/>
          <w:szCs w:val="18"/>
          <w:lang w:val="en-US" w:eastAsia="zh-CN"/>
        </w:rPr>
        <w:t>-50%以下</w:t>
      </w:r>
      <w:r>
        <w:rPr>
          <w:rFonts w:hint="eastAsia" w:ascii="微软雅黑" w:hAnsi="微软雅黑" w:eastAsia="微软雅黑" w:cs="微软雅黑"/>
          <w:color w:val="808080" w:themeColor="background1" w:themeShade="80"/>
          <w:sz w:val="18"/>
          <w:szCs w:val="18"/>
          <w:lang w:eastAsia="zh-CN"/>
        </w:rPr>
        <w:t>）</w:t>
      </w:r>
    </w:p>
    <w:p w14:paraId="7F42D26F">
      <w:pPr>
        <w:rPr>
          <w:rFonts w:hint="eastAsia" w:ascii="微软雅黑" w:hAnsi="微软雅黑" w:eastAsia="微软雅黑" w:cs="微软雅黑"/>
          <w:color w:val="808080" w:themeColor="background1" w:themeShade="80"/>
          <w:sz w:val="20"/>
          <w:szCs w:val="20"/>
        </w:rPr>
      </w:pPr>
    </w:p>
    <w:p w14:paraId="23B552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4B4A48"/>
          <w:spacing w:val="0"/>
          <w:sz w:val="24"/>
          <w:szCs w:val="24"/>
          <w:shd w:val="clear" w:fill="FFFFFF"/>
        </w:rPr>
      </w:pPr>
      <w:r>
        <w:rPr>
          <w:rFonts w:hint="eastAsia" w:ascii="微软雅黑" w:hAnsi="微软雅黑" w:eastAsia="微软雅黑" w:cs="微软雅黑"/>
          <w:i w:val="0"/>
          <w:iCs w:val="0"/>
          <w:caps w:val="0"/>
          <w:color w:val="4B4A48"/>
          <w:spacing w:val="0"/>
          <w:sz w:val="24"/>
          <w:szCs w:val="24"/>
          <w:shd w:val="clear" w:fill="FFFFFF"/>
        </w:rPr>
        <w:t>重要声明</w:t>
      </w:r>
    </w:p>
    <w:p w14:paraId="206E1BFF">
      <w:pPr>
        <w:ind w:firstLine="360" w:firstLineChars="20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本报告由博时基金管理有限公司（博时基金）编制。本报告中的信息来源于公开资料，公司对该等信息的准确性和完整性不作任何保证。报告中的信息、观点等仅供参考，在任何情况下不构成对任何人的投资建议，亦不构成我司的实际投资结果。取得本报告的机构或人员应对本报告中的信息和观点进行独立评估，自主审慎做出决策并自行承担风险。博时基金及/或其关联人员均不承担任何责任。本报告版权均归博时基金管理有限公司所有，且该报告为公司商业秘密，未经授权，任何机构或个人不得以任何形式复制、转发或公开传播本报告的全部或部分内容。</w:t>
      </w:r>
    </w:p>
    <w:p w14:paraId="367E1ACC">
      <w:pPr>
        <w:rPr>
          <w:rFonts w:ascii="微软雅黑" w:hAnsi="微软雅黑" w:eastAsia="微软雅黑" w:cs="微软雅黑"/>
          <w:b/>
          <w:bCs/>
          <w:i w:val="0"/>
          <w:iCs w:val="0"/>
          <w:caps w:val="0"/>
          <w:color w:val="606266"/>
          <w:spacing w:val="0"/>
          <w:sz w:val="21"/>
          <w:szCs w:val="21"/>
          <w:shd w:val="clear" w:fill="FFFFFF"/>
        </w:rPr>
      </w:pPr>
      <w:r>
        <w:rPr>
          <w:rFonts w:ascii="微软雅黑" w:hAnsi="微软雅黑" w:eastAsia="微软雅黑" w:cs="微软雅黑"/>
          <w:b/>
          <w:bCs/>
          <w:i w:val="0"/>
          <w:iCs w:val="0"/>
          <w:caps w:val="0"/>
          <w:color w:val="606266"/>
          <w:spacing w:val="0"/>
          <w:sz w:val="21"/>
          <w:szCs w:val="21"/>
          <w:shd w:val="clear" w:fill="FFFFFF"/>
        </w:rPr>
        <w:t>Disclaimer</w:t>
      </w:r>
    </w:p>
    <w:p w14:paraId="1E5BA716">
      <w:pPr>
        <w:ind w:firstLine="360" w:firstLineChars="200"/>
        <w:rPr>
          <w:rFonts w:hint="eastAsia" w:ascii="微软雅黑" w:hAnsi="微软雅黑" w:eastAsia="微软雅黑" w:cs="微软雅黑"/>
          <w:color w:val="808080" w:themeColor="background1" w:themeShade="80"/>
          <w:sz w:val="20"/>
          <w:szCs w:val="20"/>
        </w:rPr>
      </w:pPr>
      <w:r>
        <w:rPr>
          <w:rFonts w:hint="eastAsia" w:ascii="微软雅黑" w:hAnsi="微软雅黑" w:eastAsia="微软雅黑" w:cs="微软雅黑"/>
          <w:b w:val="0"/>
          <w:bCs w:val="0"/>
          <w:i w:val="0"/>
          <w:iCs w:val="0"/>
          <w:caps w:val="0"/>
          <w:color w:val="606266"/>
          <w:spacing w:val="0"/>
          <w:sz w:val="18"/>
          <w:szCs w:val="18"/>
          <w:shd w:val="clear" w:fill="FFFFFF"/>
        </w:rPr>
        <w:t>This report has been produced by Bosera Asset Management Co., Limited (“Bosera”). This report is based on information available to the public that we consider reliable, but Bosera do not represent that it is accurate or complete. The information and opinions contained herein are for reference only and are not an offer to buy or sell any securities/financial products or to participate in any particular trading strategy. Under no circumstances shall the information contained herein or the opinions expressed herein constitute a personal recommendation to anyone. Institution or person who obtained this report should make their own independent evaluation of the information contained in this report. Neither Bosera nor its related persons shall be liable in any manner whatsoever for any consequences of any reliance thereon or usage thereof. This report is distributed by Bosera Asset Management Co., Limited (“Bosera”). Any organization or individual may not copy, forward or publicly distribute all or part of this report in any form without authorisation.</w:t>
      </w:r>
    </w:p>
    <w:p w14:paraId="2C5BA1FB">
      <w:pPr>
        <w:ind w:firstLine="400" w:firstLineChars="200"/>
        <w:rPr>
          <w:rFonts w:hint="eastAsia" w:ascii="微软雅黑" w:hAnsi="微软雅黑" w:eastAsia="微软雅黑" w:cs="微软雅黑"/>
          <w:color w:val="808080" w:themeColor="background1" w:themeShade="80"/>
          <w:sz w:val="20"/>
          <w:szCs w:val="20"/>
        </w:rPr>
      </w:pPr>
    </w:p>
    <w:p w14:paraId="22AC6C72">
      <w:pPr>
        <w:ind w:firstLine="400" w:firstLineChars="200"/>
        <w:rPr>
          <w:rFonts w:hint="eastAsia" w:ascii="微软雅黑" w:hAnsi="微软雅黑" w:eastAsia="微软雅黑" w:cs="微软雅黑"/>
          <w:color w:val="808080" w:themeColor="background1" w:themeShade="80"/>
          <w:sz w:val="20"/>
          <w:szCs w:val="20"/>
        </w:rPr>
      </w:pPr>
    </w:p>
    <w:p w14:paraId="375EBBD0">
      <w:pPr>
        <w:ind w:firstLine="400" w:firstLineChars="200"/>
        <w:rPr>
          <w:rFonts w:hint="eastAsia" w:ascii="微软雅黑" w:hAnsi="微软雅黑" w:eastAsia="微软雅黑" w:cs="微软雅黑"/>
          <w:color w:val="808080" w:themeColor="background1" w:themeShade="80"/>
          <w:sz w:val="20"/>
          <w:szCs w:val="20"/>
        </w:rPr>
      </w:pPr>
    </w:p>
    <w:p w14:paraId="1EBC4ABF">
      <w:pPr>
        <w:ind w:firstLine="400" w:firstLineChars="200"/>
        <w:rPr>
          <w:rFonts w:hint="eastAsia" w:ascii="微软雅黑" w:hAnsi="微软雅黑" w:eastAsia="微软雅黑" w:cs="微软雅黑"/>
          <w:color w:val="808080" w:themeColor="background1" w:themeShade="80"/>
          <w:sz w:val="20"/>
          <w:szCs w:val="20"/>
        </w:rPr>
      </w:pPr>
    </w:p>
    <w:p w14:paraId="50E5BFF2">
      <w:pPr>
        <w:ind w:firstLine="400" w:firstLineChars="200"/>
        <w:rPr>
          <w:rFonts w:hint="eastAsia" w:ascii="微软雅黑" w:hAnsi="微软雅黑" w:eastAsia="微软雅黑" w:cs="微软雅黑"/>
          <w:color w:val="808080" w:themeColor="background1" w:themeShade="80"/>
          <w:sz w:val="20"/>
          <w:szCs w:val="20"/>
        </w:rPr>
      </w:pPr>
    </w:p>
    <w:p w14:paraId="40951D94">
      <w:pPr>
        <w:ind w:firstLine="400" w:firstLineChars="200"/>
        <w:rPr>
          <w:rFonts w:hint="eastAsia" w:ascii="微软雅黑" w:hAnsi="微软雅黑" w:eastAsia="微软雅黑" w:cs="微软雅黑"/>
          <w:color w:val="808080" w:themeColor="background1" w:themeShade="80"/>
          <w:sz w:val="20"/>
          <w:szCs w:val="20"/>
        </w:rPr>
      </w:pPr>
    </w:p>
    <w:p w14:paraId="0B406201">
      <w:pPr>
        <w:ind w:firstLine="400" w:firstLineChars="200"/>
        <w:rPr>
          <w:rFonts w:hint="eastAsia" w:ascii="微软雅黑" w:hAnsi="微软雅黑" w:eastAsia="微软雅黑" w:cs="微软雅黑"/>
          <w:color w:val="808080" w:themeColor="background1" w:themeShade="80"/>
          <w:sz w:val="20"/>
          <w:szCs w:val="20"/>
        </w:rPr>
      </w:pPr>
    </w:p>
    <w:p w14:paraId="199A5A08">
      <w:pPr>
        <w:ind w:firstLine="400" w:firstLineChars="200"/>
        <w:rPr>
          <w:rFonts w:hint="eastAsia" w:ascii="微软雅黑" w:hAnsi="微软雅黑" w:eastAsia="微软雅黑" w:cs="微软雅黑"/>
          <w:color w:val="808080" w:themeColor="background1" w:themeShade="80"/>
          <w:sz w:val="20"/>
          <w:szCs w:val="20"/>
        </w:rPr>
      </w:pPr>
    </w:p>
    <w:p w14:paraId="3EAE6CFA">
      <w:pPr>
        <w:ind w:firstLine="400" w:firstLineChars="200"/>
        <w:rPr>
          <w:rFonts w:hint="eastAsia" w:ascii="微软雅黑" w:hAnsi="微软雅黑" w:eastAsia="微软雅黑" w:cs="微软雅黑"/>
          <w:color w:val="808080" w:themeColor="background1" w:themeShade="80"/>
          <w:sz w:val="20"/>
          <w:szCs w:val="20"/>
        </w:rPr>
      </w:pPr>
    </w:p>
    <w:p w14:paraId="76C97CA3"/>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auto"/>
    <w:pitch w:val="default"/>
    <w:sig w:usb0="00000000" w:usb1="00000000" w:usb2="0000003F" w:usb3="00000000" w:csb0="603F01FF" w:csb1="FFFF0000"/>
  </w:font>
  <w:font w:name="微软雅黑">
    <w:panose1 w:val="020B0503020204020204"/>
    <w:charset w:val="86"/>
    <w:family w:val="auto"/>
    <w:pitch w:val="default"/>
    <w:sig w:usb0="80000287" w:usb1="2ACF3C50" w:usb2="00000016" w:usb3="00000000" w:csb0="0004001F" w:csb1="00000000"/>
  </w:font>
  <w:font w:name="PMingLiU">
    <w:altName w:val="PMingLiU-ExtB"/>
    <w:panose1 w:val="02020500000000000000"/>
    <w:charset w:val="88"/>
    <w:family w:val="auto"/>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BBA48">
    <w:pPr>
      <w:pStyle w:val="4"/>
      <w:rPr>
        <w:rFonts w:hint="eastAsia" w:ascii="黑体" w:hAnsi="黑体" w:eastAsia="黑体"/>
        <w:color w:val="FF0000"/>
        <w:sz w:val="15"/>
        <w:szCs w:val="15"/>
      </w:rPr>
    </w:pPr>
  </w:p>
  <w:p w14:paraId="43F25F8B">
    <w:pPr>
      <w:pStyle w:val="4"/>
    </w:pPr>
    <w:r>
      <w:rPr>
        <w:rFonts w:hint="default" w:ascii="黑体" w:hAnsi="黑体" w:eastAsia="黑体"/>
        <w:color w:val="FF0000"/>
        <w:sz w:val="13"/>
        <w:szCs w:val="13"/>
        <w:lang w:val="en-US" w:eastAsia="zh-CN"/>
      </w:rPr>
      <w:t>博时基金内部</w:t>
    </w:r>
  </w:p>
  <w:p w14:paraId="667149A4">
    <w:pPr>
      <w:pStyle w:val="4"/>
    </w:pPr>
    <w:r>
      <w:rPr>
        <w:rFonts w:hint="eastAsia" w:ascii="黑体" w:hAnsi="黑体" w:eastAsia="黑体"/>
        <w:color w:val="FF0000"/>
        <w:sz w:val="13"/>
        <w:szCs w:val="13"/>
        <w:lang w:eastAsia="zh-CN"/>
      </w:rPr>
      <w:t>内部资料，严禁以任何形式外发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D3BAC5"/>
    <w:multiLevelType w:val="singleLevel"/>
    <w:tmpl w:val="4AD3BAC5"/>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9E6DCC"/>
    <w:rsid w:val="042B546D"/>
    <w:rsid w:val="0C630610"/>
    <w:rsid w:val="10054457"/>
    <w:rsid w:val="11D91E11"/>
    <w:rsid w:val="15CB025E"/>
    <w:rsid w:val="16E4330B"/>
    <w:rsid w:val="17AB7891"/>
    <w:rsid w:val="1849118F"/>
    <w:rsid w:val="185A3823"/>
    <w:rsid w:val="19F608D3"/>
    <w:rsid w:val="1A2E74A7"/>
    <w:rsid w:val="1A980DEB"/>
    <w:rsid w:val="1AA06D71"/>
    <w:rsid w:val="1B9A7D02"/>
    <w:rsid w:val="1DAC29C4"/>
    <w:rsid w:val="1E1D08CD"/>
    <w:rsid w:val="1F2917BE"/>
    <w:rsid w:val="1F900288"/>
    <w:rsid w:val="20E4496A"/>
    <w:rsid w:val="22644917"/>
    <w:rsid w:val="229E3895"/>
    <w:rsid w:val="240D37EF"/>
    <w:rsid w:val="25257879"/>
    <w:rsid w:val="267D2CF3"/>
    <w:rsid w:val="2B841891"/>
    <w:rsid w:val="2EAF61D1"/>
    <w:rsid w:val="2EB246E5"/>
    <w:rsid w:val="312B436A"/>
    <w:rsid w:val="3256265D"/>
    <w:rsid w:val="33146A1F"/>
    <w:rsid w:val="35933BA3"/>
    <w:rsid w:val="3BE12CF0"/>
    <w:rsid w:val="3EBB6D81"/>
    <w:rsid w:val="3FFE708C"/>
    <w:rsid w:val="4403255B"/>
    <w:rsid w:val="440A0DFD"/>
    <w:rsid w:val="481028EF"/>
    <w:rsid w:val="48444E3E"/>
    <w:rsid w:val="4C07329C"/>
    <w:rsid w:val="4DCE0537"/>
    <w:rsid w:val="4F0A49F1"/>
    <w:rsid w:val="517107F5"/>
    <w:rsid w:val="542E5ED7"/>
    <w:rsid w:val="544B1D99"/>
    <w:rsid w:val="561828FD"/>
    <w:rsid w:val="5ACF37ED"/>
    <w:rsid w:val="5CB0049F"/>
    <w:rsid w:val="5DE26666"/>
    <w:rsid w:val="5F28ADE4"/>
    <w:rsid w:val="600A0FE7"/>
    <w:rsid w:val="609472C8"/>
    <w:rsid w:val="60EE2C3D"/>
    <w:rsid w:val="62A9767F"/>
    <w:rsid w:val="65915055"/>
    <w:rsid w:val="6AF55AB3"/>
    <w:rsid w:val="6B874DA8"/>
    <w:rsid w:val="6D2300B2"/>
    <w:rsid w:val="6DD57BDE"/>
    <w:rsid w:val="6DFFC0FE"/>
    <w:rsid w:val="6E090BD8"/>
    <w:rsid w:val="6FF63393"/>
    <w:rsid w:val="702D2468"/>
    <w:rsid w:val="73D4378B"/>
    <w:rsid w:val="755810B1"/>
    <w:rsid w:val="75722D85"/>
    <w:rsid w:val="75D24577"/>
    <w:rsid w:val="761E54F1"/>
    <w:rsid w:val="762F6FCD"/>
    <w:rsid w:val="77BFB76E"/>
    <w:rsid w:val="7990566B"/>
    <w:rsid w:val="7AE01111"/>
    <w:rsid w:val="7B514346"/>
    <w:rsid w:val="7D143A7A"/>
    <w:rsid w:val="7D596445"/>
    <w:rsid w:val="7D6E3139"/>
    <w:rsid w:val="BC5F93B1"/>
    <w:rsid w:val="DFDDCE82"/>
    <w:rsid w:val="EBBDCB6F"/>
    <w:rsid w:val="F99F24B2"/>
    <w:rsid w:val="FBBF0D8D"/>
    <w:rsid w:val="FC65AF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样式1"/>
    <w:basedOn w:val="1"/>
    <w:link w:val="9"/>
    <w:qFormat/>
    <w:uiPriority w:val="0"/>
    <w:rPr>
      <w:rFonts w:eastAsia="Arial Unicode MS" w:asciiTheme="minorAscii" w:hAnsiTheme="minorAscii"/>
      <w:sz w:val="15"/>
    </w:rPr>
  </w:style>
  <w:style w:type="character" w:customStyle="1" w:styleId="9">
    <w:name w:val="样式1 Char"/>
    <w:link w:val="8"/>
    <w:qFormat/>
    <w:uiPriority w:val="0"/>
    <w:rPr>
      <w:rFonts w:eastAsia="Arial Unicode MS" w:asciiTheme="minorAscii" w:hAnsiTheme="minorAscii"/>
      <w:sz w:val="15"/>
    </w:rPr>
  </w:style>
  <w:style w:type="paragraph" w:customStyle="1" w:styleId="10">
    <w:name w:val="样式2"/>
    <w:basedOn w:val="1"/>
    <w:link w:val="11"/>
    <w:qFormat/>
    <w:uiPriority w:val="0"/>
    <w:rPr>
      <w:rFonts w:eastAsia="Arial Unicode MS" w:asciiTheme="minorAscii" w:hAnsiTheme="minorAscii"/>
      <w:sz w:val="15"/>
    </w:rPr>
  </w:style>
  <w:style w:type="character" w:customStyle="1" w:styleId="11">
    <w:name w:val="样式2 Char"/>
    <w:link w:val="10"/>
    <w:qFormat/>
    <w:uiPriority w:val="0"/>
    <w:rPr>
      <w:rFonts w:eastAsia="Arial Unicode MS" w:asciiTheme="minorAscii" w:hAnsiTheme="minorAscii"/>
      <w:sz w:val="15"/>
    </w:rPr>
  </w:style>
  <w:style w:type="paragraph" w:customStyle="1" w:styleId="12">
    <w:name w:val="样式3"/>
    <w:basedOn w:val="1"/>
    <w:link w:val="13"/>
    <w:qFormat/>
    <w:uiPriority w:val="0"/>
    <w:rPr>
      <w:rFonts w:eastAsia="Arial Unicode MS" w:asciiTheme="minorAscii" w:hAnsiTheme="minorAscii"/>
      <w:sz w:val="15"/>
    </w:rPr>
  </w:style>
  <w:style w:type="character" w:customStyle="1" w:styleId="13">
    <w:name w:val="样式3 Char"/>
    <w:link w:val="12"/>
    <w:qFormat/>
    <w:uiPriority w:val="0"/>
    <w:rPr>
      <w:rFonts w:eastAsia="Arial Unicode MS" w:asciiTheme="minorAscii" w:hAnsiTheme="minorAscii"/>
      <w:sz w:val="15"/>
    </w:rPr>
  </w:style>
  <w:style w:type="paragraph" w:customStyle="1" w:styleId="14">
    <w:name w:val="样式4"/>
    <w:basedOn w:val="1"/>
    <w:link w:val="15"/>
    <w:qFormat/>
    <w:uiPriority w:val="0"/>
    <w:rPr>
      <w:rFonts w:eastAsia="Arial Unicode MS" w:asciiTheme="minorAscii" w:hAnsiTheme="minorAscii"/>
      <w:sz w:val="13"/>
    </w:rPr>
  </w:style>
  <w:style w:type="character" w:customStyle="1" w:styleId="15">
    <w:name w:val="样式4 Char"/>
    <w:link w:val="14"/>
    <w:qFormat/>
    <w:uiPriority w:val="0"/>
    <w:rPr>
      <w:rFonts w:eastAsia="Arial Unicode MS" w:asciiTheme="minorAscii" w:hAnsiTheme="minorAscii"/>
      <w:sz w:val="13"/>
    </w:rPr>
  </w:style>
  <w:style w:type="paragraph" w:customStyle="1" w:styleId="16">
    <w:name w:val="样式5"/>
    <w:basedOn w:val="1"/>
    <w:link w:val="17"/>
    <w:qFormat/>
    <w:uiPriority w:val="0"/>
    <w:rPr>
      <w:rFonts w:eastAsia="Arial Unicode MS" w:asciiTheme="minorAscii" w:hAnsiTheme="minorAscii"/>
      <w:sz w:val="15"/>
    </w:rPr>
  </w:style>
  <w:style w:type="character" w:customStyle="1" w:styleId="17">
    <w:name w:val="样式5 Char"/>
    <w:link w:val="16"/>
    <w:qFormat/>
    <w:uiPriority w:val="0"/>
    <w:rPr>
      <w:rFonts w:eastAsia="Arial Unicode MS" w:asciiTheme="minorAscii" w:hAnsiTheme="minorAscii"/>
      <w:sz w:val="15"/>
    </w:rPr>
  </w:style>
  <w:style w:type="paragraph" w:customStyle="1" w:styleId="18">
    <w:name w:val="样式6"/>
    <w:basedOn w:val="1"/>
    <w:link w:val="19"/>
    <w:qFormat/>
    <w:uiPriority w:val="0"/>
    <w:rPr>
      <w:rFonts w:eastAsia="Arial Unicode MS" w:asciiTheme="minorAscii" w:hAnsiTheme="minorAscii"/>
      <w:sz w:val="15"/>
    </w:rPr>
  </w:style>
  <w:style w:type="character" w:customStyle="1" w:styleId="19">
    <w:name w:val="样式6 Char"/>
    <w:link w:val="18"/>
    <w:qFormat/>
    <w:uiPriority w:val="0"/>
    <w:rPr>
      <w:rFonts w:eastAsia="Arial Unicode MS" w:asciiTheme="minorAscii" w:hAnsiTheme="minorAscii"/>
      <w:sz w:val="15"/>
    </w:rPr>
  </w:style>
</w:style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29291ec-e9dc-4608-a903-d1366562d724}"/>
        <w:style w:val=""/>
        <w:category>
          <w:name w:val="常规"/>
          <w:gallery w:val="placeholder"/>
        </w:category>
        <w:types>
          <w:type w:val="bbPlcHdr"/>
        </w:types>
        <w:behaviors>
          <w:behavior w:val="content"/>
        </w:behaviors>
        <w:description w:val=""/>
        <w:guid w:val="{c29291ec-e9dc-4608-a903-d1366562d724}"/>
      </w:docPartPr>
      <w:docPartBody>
        <w:p w14:paraId="51E57562">
          <w:r>
            <w:rPr>
              <w:color w:val="808080"/>
            </w:rPr>
            <w:t>选择一项。</w:t>
          </w:r>
        </w:p>
      </w:docPartBody>
    </w:docPart>
    <w:docPart>
      <w:docPartPr>
        <w:name w:val="{0daf061f-d72c-4e6a-bb21-74e9fcd2540c}"/>
        <w:style w:val=""/>
        <w:category>
          <w:name w:val="常规"/>
          <w:gallery w:val="placeholder"/>
        </w:category>
        <w:types>
          <w:type w:val="bbPlcHdr"/>
        </w:types>
        <w:behaviors>
          <w:behavior w:val="content"/>
        </w:behaviors>
        <w:description w:val=""/>
        <w:guid w:val="{0daf061f-d72c-4e6a-bb21-74e9fcd2540c}"/>
      </w:docPartPr>
      <w:docPartBody>
        <w:p w14:paraId="75C9E3F5">
          <w:r>
            <w:rPr>
              <w:color w:val="808080"/>
            </w:rPr>
            <w:t>单击此处输入文字。</w:t>
          </w:r>
        </w:p>
      </w:docPartBody>
    </w:docPart>
    <w:docPart>
      <w:docPartPr>
        <w:name w:val="{df61b350-aee6-47bd-944d-08e6078126c1}"/>
        <w:style w:val=""/>
        <w:category>
          <w:name w:val="常规"/>
          <w:gallery w:val="placeholder"/>
        </w:category>
        <w:types>
          <w:type w:val="bbPlcHdr"/>
        </w:types>
        <w:behaviors>
          <w:behavior w:val="content"/>
        </w:behaviors>
        <w:description w:val=""/>
        <w:guid w:val="{df61b350-aee6-47bd-944d-08e6078126c1}"/>
      </w:docPartPr>
      <w:docPartBody>
        <w:p w14:paraId="16C0C1F4">
          <w:r>
            <w:rPr>
              <w:color w:val="808080"/>
            </w:rPr>
            <w:t>单击此处输入日期。</w:t>
          </w:r>
        </w:p>
      </w:docPartBody>
    </w:docPart>
    <w:docPart>
      <w:docPartPr>
        <w:name w:val="{02a91e4c-c88b-425f-b53c-17349660d8d2}"/>
        <w:style w:val=""/>
        <w:category>
          <w:name w:val="常规"/>
          <w:gallery w:val="placeholder"/>
        </w:category>
        <w:types>
          <w:type w:val="bbPlcHdr"/>
        </w:types>
        <w:behaviors>
          <w:behavior w:val="content"/>
        </w:behaviors>
        <w:description w:val=""/>
        <w:guid w:val="{02a91e4c-c88b-425f-b53c-17349660d8d2}"/>
      </w:docPartPr>
      <w:docPartBody>
        <w:p w14:paraId="669A7B3D">
          <w:r>
            <w:rPr>
              <w:color w:val="808080"/>
            </w:rPr>
            <w:t>选择一项。</w:t>
          </w:r>
        </w:p>
      </w:docPartBody>
    </w:docPart>
    <w:docPart>
      <w:docPartPr>
        <w:name w:val="{54f684b5-99ba-4458-9b63-c98da7f6cfa6}"/>
        <w:style w:val=""/>
        <w:category>
          <w:name w:val="常规"/>
          <w:gallery w:val="placeholder"/>
        </w:category>
        <w:types>
          <w:type w:val="bbPlcHdr"/>
        </w:types>
        <w:behaviors>
          <w:behavior w:val="content"/>
        </w:behaviors>
        <w:description w:val=""/>
        <w:guid w:val="{54f684b5-99ba-4458-9b63-c98da7f6cfa6}"/>
      </w:docPartPr>
      <w:docPartBody>
        <w:p w14:paraId="16814FDE">
          <w:r>
            <w:rPr>
              <w:color w:val="808080"/>
            </w:rPr>
            <w:t>选择一项。</w:t>
          </w:r>
        </w:p>
      </w:docPartBody>
    </w:docPart>
    <w:docPart>
      <w:docPartPr>
        <w:name w:val="{5b90eca8-60e1-46ed-8f03-92f9c27e6e40}"/>
        <w:style w:val=""/>
        <w:category>
          <w:name w:val="常规"/>
          <w:gallery w:val="placeholder"/>
        </w:category>
        <w:types>
          <w:type w:val="bbPlcHdr"/>
        </w:types>
        <w:behaviors>
          <w:behavior w:val="content"/>
        </w:behaviors>
        <w:description w:val=""/>
        <w:guid w:val="{5b90eca8-60e1-46ed-8f03-92f9c27e6e40}"/>
      </w:docPartPr>
      <w:docPartBody>
        <w:p w14:paraId="0BBB2603"/>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1254</Words>
  <Characters>2312</Characters>
  <Lines>0</Lines>
  <Paragraphs>0</Paragraphs>
  <TotalTime>24</TotalTime>
  <ScaleCrop>false</ScaleCrop>
  <LinksUpToDate>false</LinksUpToDate>
  <CharactersWithSpaces>2571</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2022-03-03T10:04:00Z</dcterms:created>
  <dc:creator>wanli</dc:creator>
  <cp:lastModifiedBy>shans739</cp:lastModifiedBy>
  <dcterms:modified xsi:type="dcterms:W3CDTF">2026-06-29T01:46:25Z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169A89A17C3441CCAAF764253CCD8B00_13</vt:lpwstr>
  </property>
  <property fmtid="{D5CDD505-2E9C-101B-9397-08002B2CF9AE}" pid="4" name="username">
    <vt:lpwstr>bsjj</vt:lpwstr>
  </property>
</Properties>
</file>