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5"/>
        <w:tblW w:w="8335" w:type="dxa"/>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053"/>
        <w:gridCol w:w="943"/>
        <w:gridCol w:w="932"/>
        <w:gridCol w:w="1179"/>
        <w:gridCol w:w="900"/>
        <w:gridCol w:w="1254"/>
        <w:gridCol w:w="1232"/>
        <w:gridCol w:w="842"/>
      </w:tblGrid>
      <w:tr w14:paraId="7DCB14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726" w:hRule="atLeast"/>
        </w:trPr>
        <w:tc>
          <w:tcPr>
            <w:tcW w:w="1996" w:type="dxa"/>
            <w:gridSpan w:val="2"/>
            <w:tcBorders>
              <w:top w:val="single" w:color="000000" w:sz="4" w:space="0"/>
              <w:left w:val="single" w:color="000000" w:sz="4" w:space="0"/>
              <w:bottom w:val="single" w:color="000000" w:sz="4" w:space="0"/>
              <w:right w:val="nil"/>
            </w:tcBorders>
            <w:shd w:val="clear" w:color="auto" w:fill="FFFFFF" w:themeFill="background1"/>
            <w:noWrap/>
            <w:vAlign w:val="center"/>
          </w:tcPr>
          <w:p w14:paraId="565C9F77">
            <w:pPr>
              <w:jc w:val="left"/>
              <w:rPr>
                <w:rFonts w:hint="eastAsia" w:ascii="微软雅黑" w:hAnsi="微软雅黑" w:eastAsia="微软雅黑" w:cs="微软雅黑"/>
                <w:b/>
                <w:bCs/>
                <w:i w:val="0"/>
                <w:iCs w:val="0"/>
                <w:color w:val="000000"/>
                <w:sz w:val="18"/>
                <w:szCs w:val="18"/>
                <w:u w:val="none"/>
                <w:lang w:val="en-US" w:eastAsia="zh-CN"/>
              </w:rPr>
            </w:pPr>
            <w:bookmarkStart w:id="0" w:name="股票名称" w:colFirst="1" w:colLast="1"/>
            <w:bookmarkStart w:id="1" w:name="行业名称" w:colFirst="2" w:colLast="2"/>
            <w:bookmarkStart w:id="2" w:name="报告名称" w:colFirst="0" w:colLast="0"/>
            <w:sdt>
              <w:sdtPr>
                <w:rPr>
                  <w:rFonts w:hint="eastAsia" w:ascii="微软雅黑" w:hAnsi="微软雅黑" w:eastAsia="微软雅黑" w:cs="微软雅黑"/>
                  <w:b w:val="0"/>
                  <w:bCs w:val="0"/>
                  <w:i w:val="0"/>
                  <w:iCs w:val="0"/>
                  <w:color w:val="000000"/>
                  <w:kern w:val="2"/>
                  <w:sz w:val="18"/>
                  <w:szCs w:val="18"/>
                  <w:u w:val="none"/>
                  <w:lang w:val="en-US" w:eastAsia="zh-TW" w:bidi="ar-SA"/>
                </w:rPr>
                <w:id w:val="147482084"/>
                <w:lock w:val="sdtContentLocked"/>
                <w:placeholder>
                  <w:docPart w:val="{0daf061f-d72c-4e6a-bb21-74e9fcd2540c}"/>
                </w:placeholder>
              </w:sdtPr>
              <w:sdtEndPr>
                <w:rPr>
                  <w:rFonts w:hint="eastAsia" w:ascii="微软雅黑" w:hAnsi="微软雅黑" w:eastAsia="微软雅黑" w:cs="微软雅黑"/>
                  <w:b w:val="0"/>
                  <w:bCs w:val="0"/>
                  <w:i w:val="0"/>
                  <w:iCs w:val="0"/>
                  <w:color w:val="000000"/>
                  <w:kern w:val="2"/>
                  <w:sz w:val="18"/>
                  <w:szCs w:val="18"/>
                  <w:u w:val="none"/>
                  <w:lang w:val="en-US" w:eastAsia="zh-TW" w:bidi="ar-SA"/>
                </w:rPr>
              </w:sdtEndPr>
              <w:sdtContent>
                <w:r>
                  <w:rPr>
                    <w:rFonts w:hint="eastAsia" w:ascii="微软雅黑" w:hAnsi="微软雅黑" w:eastAsia="微软雅黑" w:cs="微软雅黑"/>
                    <w:b/>
                    <w:bCs/>
                    <w:i w:val="0"/>
                    <w:iCs w:val="0"/>
                    <w:color w:val="000000"/>
                    <w:sz w:val="18"/>
                    <w:szCs w:val="18"/>
                    <w:u w:val="none"/>
                    <w:lang w:val="en-US" w:eastAsia="zh-CN"/>
                  </w:rPr>
                  <w:t>评级报告</w:t>
                </w:r>
              </w:sdtContent>
            </w:sdt>
            <w:r>
              <w:rPr>
                <w:rFonts w:hint="eastAsia" w:ascii="微软雅黑" w:hAnsi="微软雅黑" w:eastAsia="微软雅黑" w:cs="微软雅黑"/>
                <w:b/>
                <w:bCs/>
                <w:i w:val="0"/>
                <w:iCs w:val="0"/>
                <w:color w:val="000000"/>
                <w:sz w:val="18"/>
                <w:szCs w:val="18"/>
                <w:u w:val="none"/>
                <w:lang w:val="en-US" w:eastAsia="zh-CN"/>
              </w:rPr>
              <w:t xml:space="preserve">                                                            </w:t>
            </w:r>
          </w:p>
        </w:tc>
        <w:tc>
          <w:tcPr>
            <w:tcW w:w="2111" w:type="dxa"/>
            <w:gridSpan w:val="2"/>
            <w:tcBorders>
              <w:top w:val="single" w:color="000000" w:sz="4" w:space="0"/>
              <w:left w:val="nil"/>
              <w:bottom w:val="single" w:color="000000" w:sz="4" w:space="0"/>
              <w:right w:val="nil"/>
            </w:tcBorders>
            <w:shd w:val="clear" w:color="auto" w:fill="FFFFFF" w:themeFill="background1"/>
            <w:noWrap/>
            <w:vAlign w:val="center"/>
          </w:tcPr>
          <w:p w14:paraId="642D6B5B">
            <w:pPr>
              <w:jc w:val="center"/>
              <w:rPr>
                <w:rFonts w:hint="eastAsia" w:ascii="微软雅黑" w:hAnsi="微软雅黑" w:eastAsia="微软雅黑" w:cs="微软雅黑"/>
                <w:b w:val="0"/>
                <w:bCs w:val="0"/>
                <w:i w:val="0"/>
                <w:iCs w:val="0"/>
                <w:color w:val="000000"/>
                <w:sz w:val="18"/>
                <w:szCs w:val="18"/>
                <w:u w:val="none"/>
                <w:lang w:val="en-US" w:eastAsia="zh-TW"/>
              </w:rPr>
            </w:pPr>
          </w:p>
        </w:tc>
        <w:tc>
          <w:tcPr>
            <w:tcW w:w="2154" w:type="dxa"/>
            <w:gridSpan w:val="2"/>
            <w:tcBorders>
              <w:top w:val="single" w:color="000000" w:sz="4" w:space="0"/>
              <w:left w:val="nil"/>
              <w:bottom w:val="single" w:color="000000" w:sz="4" w:space="0"/>
              <w:right w:val="nil"/>
            </w:tcBorders>
            <w:shd w:val="clear" w:color="auto" w:fill="FFFFFF" w:themeFill="background1"/>
            <w:noWrap/>
            <w:vAlign w:val="center"/>
          </w:tcPr>
          <w:p w14:paraId="66F9BA31">
            <w:pPr>
              <w:jc w:val="center"/>
              <w:rPr>
                <w:rFonts w:hint="eastAsia" w:ascii="微软雅黑" w:hAnsi="微软雅黑" w:eastAsia="微软雅黑" w:cs="微软雅黑"/>
                <w:b w:val="0"/>
                <w:bCs w:val="0"/>
                <w:i w:val="0"/>
                <w:iCs w:val="0"/>
                <w:color w:val="000000"/>
                <w:sz w:val="18"/>
                <w:szCs w:val="18"/>
                <w:u w:val="none"/>
                <w:lang w:val="en-US" w:eastAsia="zh-TW"/>
              </w:rPr>
            </w:pPr>
          </w:p>
        </w:tc>
        <w:tc>
          <w:tcPr>
            <w:tcW w:w="2074" w:type="dxa"/>
            <w:gridSpan w:val="2"/>
            <w:tcBorders>
              <w:top w:val="single" w:color="000000" w:sz="4" w:space="0"/>
              <w:left w:val="nil"/>
              <w:bottom w:val="single" w:color="000000" w:sz="4" w:space="0"/>
              <w:right w:val="single" w:color="000000" w:sz="4" w:space="0"/>
            </w:tcBorders>
            <w:shd w:val="clear" w:color="auto" w:fill="FFFFFF" w:themeFill="background1"/>
            <w:noWrap/>
            <w:vAlign w:val="center"/>
          </w:tcPr>
          <w:p w14:paraId="248EA507">
            <w:pPr>
              <w:jc w:val="center"/>
              <w:rPr>
                <w:rFonts w:hint="eastAsia" w:ascii="Arial Unicode MS" w:hAnsi="Arial Unicode MS" w:eastAsia="Arial Unicode MS" w:cs="Arial Unicode MS"/>
                <w:b/>
                <w:bCs/>
                <w:i w:val="0"/>
                <w:iCs w:val="0"/>
                <w:color w:val="000000"/>
                <w:sz w:val="15"/>
                <w:szCs w:val="15"/>
                <w:u w:val="none"/>
                <w:lang w:val="en-US" w:eastAsia="zh-CN"/>
              </w:rPr>
            </w:pPr>
            <w:r>
              <w:rPr>
                <w:rFonts w:ascii="微软雅黑" w:hAnsi="微软雅黑" w:eastAsia="微软雅黑" w:cs="微软雅黑"/>
                <w:sz w:val="15"/>
                <w:szCs w:val="15"/>
              </w:rPr>
              <w:drawing>
                <wp:inline distT="0" distB="0" distL="114300" distR="114300">
                  <wp:extent cx="880745" cy="379730"/>
                  <wp:effectExtent l="0" t="0" r="14605" b="1270"/>
                  <wp:docPr id="2" name="图片 1" descr="Bose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Bosera.png"/>
                          <pic:cNvPicPr>
                            <a:picLocks noChangeAspect="1"/>
                          </pic:cNvPicPr>
                        </pic:nvPicPr>
                        <pic:blipFill>
                          <a:blip r:embed="rId5" cstate="print"/>
                          <a:stretch>
                            <a:fillRect/>
                          </a:stretch>
                        </pic:blipFill>
                        <pic:spPr>
                          <a:xfrm>
                            <a:off x="0" y="0"/>
                            <a:ext cx="880745" cy="379730"/>
                          </a:xfrm>
                          <a:prstGeom prst="rect">
                            <a:avLst/>
                          </a:prstGeom>
                        </pic:spPr>
                      </pic:pic>
                    </a:graphicData>
                  </a:graphic>
                </wp:inline>
              </w:drawing>
            </w:r>
          </w:p>
        </w:tc>
      </w:tr>
      <w:bookmarkEnd w:id="0"/>
      <w:bookmarkEnd w:id="1"/>
      <w:bookmarkEnd w:id="2"/>
      <w:tr w14:paraId="2F8D41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75"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BE43C70">
            <w:pPr>
              <w:jc w:val="both"/>
              <w:rPr>
                <w:rFonts w:hint="eastAsia" w:ascii="微软雅黑" w:hAnsi="微软雅黑" w:eastAsia="微软雅黑" w:cs="微软雅黑"/>
                <w:b/>
                <w:bCs/>
                <w:i w:val="0"/>
                <w:iCs w:val="0"/>
                <w:color w:val="000000"/>
                <w:sz w:val="18"/>
                <w:szCs w:val="18"/>
                <w:u w:val="none"/>
                <w:lang w:val="en-US" w:eastAsia="zh-CN"/>
              </w:rPr>
            </w:pPr>
            <w:bookmarkStart w:id="3" w:name="报告标题" w:colFirst="1" w:colLast="1"/>
            <w:bookmarkStart w:id="4" w:name="是否重大推荐" w:colFirst="3" w:colLast="3"/>
            <w:r>
              <w:rPr>
                <w:rFonts w:hint="eastAsia" w:ascii="微软雅黑" w:hAnsi="微软雅黑" w:eastAsia="微软雅黑" w:cs="微软雅黑"/>
                <w:b/>
                <w:bCs/>
                <w:i w:val="0"/>
                <w:iCs w:val="0"/>
                <w:color w:val="000000"/>
                <w:sz w:val="18"/>
                <w:szCs w:val="18"/>
                <w:u w:val="none"/>
                <w:lang w:val="en-US" w:eastAsia="zh-CN"/>
              </w:rPr>
              <w:t>报告标题</w:t>
            </w:r>
          </w:p>
        </w:tc>
        <w:tc>
          <w:tcPr>
            <w:tcW w:w="5208" w:type="dxa"/>
            <w:gridSpan w:val="5"/>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773B61E3">
            <w:pPr>
              <w:jc w:val="both"/>
              <w:rPr>
                <w:rFonts w:hint="default" w:ascii="微软雅黑" w:hAnsi="微软雅黑" w:eastAsia="微软雅黑" w:cs="微软雅黑"/>
                <w:b/>
                <w:bCs/>
                <w:i w:val="0"/>
                <w:iCs w:val="0"/>
                <w:color w:val="000000"/>
                <w:sz w:val="18"/>
                <w:szCs w:val="18"/>
                <w:u w:val="none"/>
                <w:lang w:val="en-US" w:eastAsia="zh-TW"/>
              </w:rPr>
            </w:pPr>
            <w:r>
              <w:rPr>
                <w:rFonts w:ascii="微软雅黑" w:hAnsi="微软雅黑" w:eastAsia="微软雅黑" w:cs="微软雅黑"/>
                <w:b/>
                <w:sz w:val="18"/>
              </w:rPr>
              <w:t>结构升级撑住毛利，但降速转亏、渠道乏力，不建议关注</w:t>
            </w:r>
          </w:p>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204327E3">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是否重大推荐</w:t>
            </w:r>
          </w:p>
        </w:tc>
        <w:sdt>
          <w:sdtPr>
            <w:rPr>
              <w:rFonts w:hint="default" w:ascii="微软雅黑" w:hAnsi="微软雅黑" w:eastAsia="微软雅黑" w:cs="微软雅黑"/>
              <w:i w:val="0"/>
              <w:iCs w:val="0"/>
              <w:color w:val="000000"/>
              <w:sz w:val="15"/>
              <w:szCs w:val="15"/>
              <w:u w:val="none"/>
              <w:lang w:val="en-US" w:eastAsia="zh-TW"/>
            </w:rPr>
            <w:alias w:val="是否重大推荐"/>
            <w:id w:val="274842591"/>
            <w:lock w:val="sdtLocked"/>
            <w:placeholder>
              <w:docPart w:val="{5b90eca8-60e1-46ed-8f03-92f9c27e6e40}"/>
            </w:placeholder>
            <w:dropDownList>
              <w:listItem w:displayText=" " w:value=" "/>
              <w:listItem w:displayText="是" w:value="是"/>
              <w:listItem w:displayText="否" w:value="否"/>
            </w:dropDownList>
          </w:sdtPr>
          <w:sdtEndPr>
            <w:rPr>
              <w:rFonts w:hint="default" w:ascii="微软雅黑" w:hAnsi="微软雅黑" w:eastAsia="微软雅黑" w:cs="微软雅黑"/>
              <w:i w:val="0"/>
              <w:iCs w:val="0"/>
              <w:color w:val="000000"/>
              <w:sz w:val="15"/>
              <w:szCs w:val="15"/>
              <w:u w:val="none"/>
              <w:lang w:val="en-US" w:eastAsia="zh-TW"/>
            </w:rPr>
          </w:sdtEndPr>
          <w:sdtContent>
            <w:tc>
              <w:tcPr>
                <w:tcW w:w="842" w:type="dxa"/>
                <w:tcBorders>
                  <w:top w:val="single" w:color="000000" w:sz="4" w:space="0"/>
                  <w:left w:val="single" w:color="000000" w:sz="4" w:space="0"/>
                  <w:bottom w:val="single" w:color="000000" w:sz="4" w:space="0"/>
                  <w:right w:val="single" w:color="000000" w:sz="4" w:space="0"/>
                </w:tcBorders>
                <w:shd w:val="clear" w:color="auto" w:fill="FFFFFF" w:themeFill="background1"/>
                <w:noWrap/>
                <w:vAlign w:val="center"/>
              </w:tcPr>
              <w:p w14:paraId="1C47E485">
                <w:pPr>
                  <w:keepNext w:val="0"/>
                  <w:keepLines w:val="0"/>
                  <w:widowControl/>
                  <w:suppressLineNumbers w:val="0"/>
                  <w:jc w:val="center"/>
                  <w:textAlignment w:val="center"/>
                  <w:rPr>
                    <w:rFonts w:hint="default" w:ascii="微软雅黑" w:hAnsi="微软雅黑" w:eastAsia="微软雅黑" w:cs="微软雅黑"/>
                    <w:i w:val="0"/>
                    <w:iCs w:val="0"/>
                    <w:color w:val="000000"/>
                    <w:sz w:val="15"/>
                    <w:szCs w:val="15"/>
                    <w:u w:val="none"/>
                    <w:lang w:val="en-US" w:eastAsia="zh-TW"/>
                  </w:rPr>
                </w:pPr>
                <w:r>
                  <w:rPr>
                    <w:rFonts w:hint="default" w:ascii="微软雅黑" w:hAnsi="微软雅黑" w:eastAsia="微软雅黑" w:cs="微软雅黑"/>
                    <w:i w:val="0"/>
                    <w:iCs w:val="0"/>
                    <w:color w:val="000000"/>
                    <w:kern w:val="2"/>
                    <w:sz w:val="15"/>
                    <w:szCs w:val="15"/>
                    <w:u w:val="none"/>
                    <w:lang w:val="en-US" w:eastAsia="zh-TW" w:bidi="ar-SA"/>
                  </w:rPr>
                  <w:t xml:space="preserve"> </w:t>
                </w:r>
              </w:p>
            </w:tc>
          </w:sdtContent>
        </w:sdt>
      </w:tr>
      <w:bookmarkEnd w:id="3"/>
      <w:bookmarkEnd w:id="4"/>
      <w:tr w14:paraId="25987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563BA16A">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5" w:name="股票代码" w:colFirst="1" w:colLast="1"/>
            <w:bookmarkStart w:id="6" w:name="上次评级" w:colFirst="5" w:colLast="5"/>
            <w:bookmarkStart w:id="7" w:name="预期收益率" w:colFirst="7" w:colLast="7"/>
            <w:bookmarkStart w:id="8" w:name="股票评级" w:colFirst="3" w:colLast="3"/>
            <w:r>
              <w:rPr>
                <w:rFonts w:hint="eastAsia" w:ascii="微软雅黑" w:hAnsi="微软雅黑" w:eastAsia="微软雅黑" w:cs="微软雅黑"/>
                <w:i w:val="0"/>
                <w:iCs w:val="0"/>
                <w:color w:val="000000"/>
                <w:sz w:val="15"/>
                <w:szCs w:val="15"/>
                <w:u w:val="none"/>
                <w:lang w:eastAsia="zh-CN"/>
              </w:rPr>
              <w:t>股票代码</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2AC719">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ascii="微软雅黑" w:hAnsi="微软雅黑" w:eastAsia="微软雅黑" w:cs="微软雅黑"/>
                <w:b w:val="0"/>
                <w:sz w:val="18"/>
              </w:rPr>
              <w:t>002461</w:t>
            </w:r>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447A0FA">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股票评级</w:t>
            </w:r>
          </w:p>
        </w:tc>
        <w:sdt>
          <w:sdtPr>
            <w:rPr>
              <w:rFonts w:hint="eastAsia" w:ascii="微软雅黑" w:hAnsi="微软雅黑" w:eastAsia="微软雅黑" w:cs="微软雅黑"/>
              <w:i w:val="0"/>
              <w:iCs w:val="0"/>
              <w:color w:val="000000"/>
              <w:sz w:val="15"/>
              <w:szCs w:val="15"/>
              <w:u w:val="none"/>
              <w:lang w:val="en-US" w:eastAsia="zh-CN"/>
            </w:rPr>
            <w:alias w:val="股票评级"/>
            <w:id w:val="147454962"/>
            <w:lock w:val="sdtLocked"/>
            <w:placeholder>
              <w:docPart w:val="{c29291ec-e9dc-4608-a903-d1366562d724}"/>
            </w:placeholder>
            <w:dropDownList>
              <w:listItem w:displayText="强烈买入-1" w:value="强烈买入-1"/>
              <w:listItem w:displayText="买入-2" w:value="买入-2"/>
              <w:listItem w:displayText="持有-3" w:value="持有-3"/>
              <w:listItem w:displayText="卖出-4" w:value="卖出-4"/>
              <w:listItem w:displayText="强烈卖出-5" w:value="强烈卖出-5"/>
            </w:dropDownList>
          </w:sdtPr>
          <w:sdtEndPr>
            <w:rPr>
              <w:rFonts w:hint="eastAsia" w:ascii="微软雅黑" w:hAnsi="微软雅黑" w:eastAsia="微软雅黑" w:cs="微软雅黑"/>
              <w:i w:val="0"/>
              <w:iCs w:val="0"/>
              <w:color w:val="000000"/>
              <w:sz w:val="15"/>
              <w:szCs w:val="15"/>
              <w:u w:val="none"/>
              <w:lang w:val="en-US" w:eastAsia="zh-CN"/>
            </w:rPr>
          </w:sdtEndPr>
          <w:sdtContent>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871311E">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r>
                  <w:rPr>
                    <w:rFonts w:hint="eastAsia" w:ascii="微软雅黑" w:hAnsi="微软雅黑" w:eastAsia="微软雅黑" w:cs="微软雅黑"/>
                    <w:i w:val="0"/>
                    <w:iCs w:val="0"/>
                    <w:color w:val="000000"/>
                    <w:kern w:val="2"/>
                    <w:sz w:val="15"/>
                    <w:szCs w:val="15"/>
                    <w:u w:val="none"/>
                    <w:lang w:val="en-US" w:eastAsia="zh-CN" w:bidi="ar-SA"/>
                  </w:rPr>
                  <w:t>强烈买入-1</w:t>
                </w:r>
              </w:p>
            </w:tc>
          </w:sdtContent>
        </w:sdt>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69411E4">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r>
              <w:rPr>
                <w:rFonts w:hint="eastAsia" w:ascii="微软雅黑" w:hAnsi="微软雅黑" w:eastAsia="微软雅黑" w:cs="微软雅黑"/>
                <w:i w:val="0"/>
                <w:iCs w:val="0"/>
                <w:color w:val="000000"/>
                <w:sz w:val="15"/>
                <w:szCs w:val="15"/>
                <w:u w:val="none"/>
                <w:lang w:val="en-US" w:eastAsia="zh-TW"/>
              </w:rPr>
              <w:t>上次评级</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eastAsia" w:ascii="微软雅黑" w:hAnsi="微软雅黑" w:eastAsia="微软雅黑" w:cs="微软雅黑"/>
                <w:i w:val="0"/>
                <w:iCs w:val="0"/>
                <w:color w:val="000000"/>
                <w:sz w:val="15"/>
                <w:szCs w:val="15"/>
                <w:u w:val="none"/>
                <w:lang w:val="en-US" w:eastAsia="zh-CN"/>
              </w:rPr>
              <w:alias w:val="上次评级"/>
              <w:id w:val="144595064"/>
              <w:lock w:val="sdtLocked"/>
              <w:placeholder>
                <w:docPart w:val="{02a91e4c-c88b-425f-b53c-17349660d8d2}"/>
              </w:placeholder>
              <w:dropDownList>
                <w:listItem w:displayText="强烈买入-1" w:value="强烈买入-1"/>
                <w:listItem w:displayText="买入-2" w:value="买入-2"/>
                <w:listItem w:displayText="持有-3" w:value="持有-3"/>
                <w:listItem w:displayText="卖出-4" w:value="卖出-4"/>
                <w:listItem w:displayText="强烈卖出-5" w:value="强烈卖出-5"/>
              </w:dropDownList>
            </w:sdtPr>
            <w:sdtEndPr>
              <w:rPr>
                <w:rFonts w:hint="eastAsia" w:ascii="微软雅黑" w:hAnsi="微软雅黑" w:eastAsia="微软雅黑" w:cs="微软雅黑"/>
                <w:i w:val="0"/>
                <w:iCs w:val="0"/>
                <w:color w:val="000000"/>
                <w:sz w:val="15"/>
                <w:szCs w:val="15"/>
                <w:u w:val="none"/>
                <w:lang w:val="en-US" w:eastAsia="zh-CN"/>
              </w:rPr>
            </w:sdtEndPr>
            <w:sdtContent>
              <w:p w14:paraId="2B5AAA27">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hint="eastAsia" w:ascii="微软雅黑" w:hAnsi="微软雅黑" w:eastAsia="微软雅黑" w:cs="微软雅黑"/>
                    <w:i w:val="0"/>
                    <w:iCs w:val="0"/>
                    <w:color w:val="000000"/>
                    <w:kern w:val="2"/>
                    <w:sz w:val="15"/>
                    <w:szCs w:val="15"/>
                    <w:u w:val="none"/>
                    <w:lang w:val="en-US" w:eastAsia="zh-CN" w:bidi="ar-SA"/>
                  </w:rPr>
                  <w:t>强烈买入-1</w:t>
                </w:r>
              </w:p>
            </w:sdtContent>
          </w:sdt>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70021422">
            <w:pPr>
              <w:keepNext w:val="0"/>
              <w:keepLines w:val="0"/>
              <w:widowControl/>
              <w:suppressLineNumbers w:val="0"/>
              <w:jc w:val="left"/>
              <w:textAlignment w:val="center"/>
              <w:rPr>
                <w:rFonts w:hint="default" w:ascii="微软雅黑" w:hAnsi="微软雅黑" w:eastAsia="PMingLiU"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eastAsia="zh-CN"/>
              </w:rPr>
              <w:t>预期收益率</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239095">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p>
        </w:tc>
      </w:tr>
      <w:bookmarkEnd w:id="5"/>
      <w:bookmarkEnd w:id="6"/>
      <w:bookmarkEnd w:id="7"/>
      <w:bookmarkEnd w:id="8"/>
      <w:tr w14:paraId="6CF94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CEAA696">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9" w:name="当前市值" w:colFirst="3" w:colLast="3"/>
            <w:bookmarkStart w:id="10" w:name="年初以来涨跌幅" w:colFirst="7" w:colLast="7"/>
            <w:bookmarkStart w:id="11" w:name="目标价" w:colFirst="5" w:colLast="5"/>
            <w:bookmarkStart w:id="12" w:name="当前股价" w:colFirst="1" w:colLast="1"/>
            <w:r>
              <w:rPr>
                <w:rFonts w:hint="eastAsia" w:ascii="微软雅黑" w:hAnsi="微软雅黑" w:eastAsia="微软雅黑" w:cs="微软雅黑"/>
                <w:i w:val="0"/>
                <w:iCs w:val="0"/>
                <w:color w:val="000000"/>
                <w:sz w:val="15"/>
                <w:szCs w:val="15"/>
                <w:u w:val="none"/>
                <w:lang w:val="en-US" w:eastAsia="zh-CN"/>
              </w:rPr>
              <w:t>当前股价</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8D0C7E">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bookmarkStart w:id="22" w:name="_GoBack"/>
            <w:bookmarkEnd w:id="22"/>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0799090">
            <w:pPr>
              <w:keepNext w:val="0"/>
              <w:keepLines w:val="0"/>
              <w:widowControl/>
              <w:suppressLineNumbers w:val="0"/>
              <w:jc w:val="left"/>
              <w:textAlignment w:val="center"/>
              <w:rPr>
                <w:rFonts w:hint="default" w:ascii="微软雅黑" w:hAnsi="微软雅黑" w:eastAsia="PMingLiU"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val="en-US" w:eastAsia="zh-CN"/>
              </w:rPr>
              <w:t>当前市值</w:t>
            </w:r>
            <w:r>
              <w:rPr>
                <w:rFonts w:hint="eastAsia" w:ascii="微软雅黑" w:hAnsi="微软雅黑" w:eastAsia="微软雅黑" w:cs="微软雅黑"/>
                <w:i w:val="0"/>
                <w:iCs w:val="0"/>
                <w:color w:val="000000"/>
                <w:sz w:val="15"/>
                <w:szCs w:val="15"/>
                <w:u w:val="none"/>
                <w:lang w:val="en-US" w:eastAsia="zh-TW"/>
              </w:rPr>
              <w:t>(亿元)</w:t>
            </w:r>
          </w:p>
        </w:tc>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48589C1">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p>
        </w:tc>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598AA44E">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目标价</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7D13B7">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p>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19292B3">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r>
              <w:rPr>
                <w:rFonts w:hint="eastAsia" w:ascii="微软雅黑" w:hAnsi="微软雅黑" w:eastAsia="微软雅黑" w:cs="微软雅黑"/>
                <w:i w:val="0"/>
                <w:iCs w:val="0"/>
                <w:color w:val="000000"/>
                <w:sz w:val="15"/>
                <w:szCs w:val="15"/>
                <w:u w:val="none"/>
                <w:lang w:val="en-US" w:eastAsia="zh-CN"/>
              </w:rPr>
              <w:t>年初以来涨跌幅</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B83F38">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p>
        </w:tc>
      </w:tr>
      <w:bookmarkEnd w:id="9"/>
      <w:bookmarkEnd w:id="10"/>
      <w:bookmarkEnd w:id="11"/>
      <w:bookmarkEnd w:id="12"/>
      <w:tr w14:paraId="6F48F5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40" w:hRule="atLeast"/>
        </w:trPr>
        <w:tc>
          <w:tcPr>
            <w:tcW w:w="1053"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3B124740">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eastAsia="zh-CN"/>
              </w:rPr>
            </w:pPr>
            <w:bookmarkStart w:id="13" w:name="研究员" w:colFirst="1" w:colLast="1"/>
            <w:bookmarkStart w:id="14" w:name="相对行业涨跌幅" w:colFirst="7" w:colLast="7"/>
            <w:bookmarkStart w:id="15" w:name="报告类型" w:colFirst="3" w:colLast="3"/>
            <w:bookmarkStart w:id="16" w:name="报告日期" w:colFirst="5" w:colLast="5"/>
            <w:r>
              <w:rPr>
                <w:rFonts w:hint="eastAsia" w:ascii="微软雅黑" w:hAnsi="微软雅黑" w:eastAsia="微软雅黑" w:cs="微软雅黑"/>
                <w:i w:val="0"/>
                <w:iCs w:val="0"/>
                <w:color w:val="000000"/>
                <w:sz w:val="15"/>
                <w:szCs w:val="15"/>
                <w:u w:val="none"/>
                <w:lang w:eastAsia="zh-TW"/>
              </w:rPr>
              <w:t>研究员</w:t>
            </w:r>
          </w:p>
        </w:tc>
        <w:tc>
          <w:tcPr>
            <w:tcW w:w="94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33D72EB">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ascii="微软雅黑" w:hAnsi="微软雅黑" w:eastAsia="微软雅黑" w:cs="微软雅黑"/>
                <w:sz w:val="15"/>
              </w:rPr>
              <w:t>单朔</w:t>
            </w:r>
          </w:p>
        </w:tc>
        <w:tc>
          <w:tcPr>
            <w:tcW w:w="9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05B12C44">
            <w:pPr>
              <w:keepNext w:val="0"/>
              <w:keepLines w:val="0"/>
              <w:widowControl/>
              <w:suppressLineNumbers w:val="0"/>
              <w:jc w:val="left"/>
              <w:textAlignment w:val="center"/>
              <w:rPr>
                <w:rFonts w:hint="eastAsia" w:ascii="微软雅黑" w:hAnsi="微软雅黑" w:eastAsia="微软雅黑" w:cs="微软雅黑"/>
                <w:i w:val="0"/>
                <w:iCs w:val="0"/>
                <w:color w:val="000000"/>
                <w:kern w:val="2"/>
                <w:sz w:val="15"/>
                <w:szCs w:val="15"/>
                <w:u w:val="none"/>
                <w:lang w:val="en-US" w:eastAsia="zh-CN" w:bidi="ar-SA"/>
              </w:rPr>
            </w:pPr>
            <w:r>
              <w:rPr>
                <w:rFonts w:hint="eastAsia" w:ascii="微软雅黑" w:hAnsi="微软雅黑" w:eastAsia="微软雅黑" w:cs="微软雅黑"/>
                <w:i w:val="0"/>
                <w:iCs w:val="0"/>
                <w:color w:val="000000"/>
                <w:sz w:val="15"/>
                <w:szCs w:val="15"/>
                <w:u w:val="none"/>
                <w:lang w:eastAsia="zh-CN"/>
              </w:rPr>
              <w:t>报告类型</w:t>
            </w:r>
          </w:p>
        </w:tc>
        <w:tc>
          <w:tcPr>
            <w:tcW w:w="1179"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eastAsia" w:ascii="微软雅黑" w:hAnsi="微软雅黑" w:eastAsia="微软雅黑" w:cs="微软雅黑"/>
                <w:i w:val="0"/>
                <w:iCs w:val="0"/>
                <w:color w:val="000000"/>
                <w:sz w:val="15"/>
                <w:szCs w:val="15"/>
                <w:u w:val="none"/>
                <w:lang w:val="en-US" w:eastAsia="zh-CN"/>
              </w:rPr>
              <w:alias w:val="报告类型"/>
              <w:id w:val="147455465"/>
              <w:lock w:val="sdtLocked"/>
              <w:placeholder>
                <w:docPart w:val="{54f684b5-99ba-4458-9b63-c98da7f6cfa6}"/>
              </w:placeholder>
              <w:dropDownList>
                <w:listItem w:displayText="普通模板" w:value="普通模板"/>
                <w:listItem w:displayText="银行模板" w:value="银行模板"/>
                <w:listItem w:displayText="券商模板" w:value="券商模板"/>
                <w:listItem w:displayText="保险模板" w:value="保险模板"/>
              </w:dropDownList>
            </w:sdtPr>
            <w:sdtEndPr>
              <w:rPr>
                <w:rFonts w:hint="eastAsia" w:ascii="微软雅黑" w:hAnsi="微软雅黑" w:eastAsia="微软雅黑" w:cs="微软雅黑"/>
                <w:i w:val="0"/>
                <w:iCs w:val="0"/>
                <w:color w:val="000000"/>
                <w:sz w:val="15"/>
                <w:szCs w:val="15"/>
                <w:u w:val="none"/>
                <w:lang w:val="en-US" w:eastAsia="zh-CN"/>
              </w:rPr>
            </w:sdtEndPr>
            <w:sdtContent>
              <w:p w14:paraId="7CFF5C22">
                <w:pPr>
                  <w:keepNext w:val="0"/>
                  <w:keepLines w:val="0"/>
                  <w:widowControl/>
                  <w:suppressLineNumbers w:val="0"/>
                  <w:jc w:val="left"/>
                  <w:textAlignment w:val="center"/>
                  <w:rPr>
                    <w:rFonts w:hint="default" w:ascii="微软雅黑" w:hAnsi="微软雅黑" w:eastAsia="微软雅黑" w:cs="微软雅黑"/>
                    <w:i w:val="0"/>
                    <w:iCs w:val="0"/>
                    <w:color w:val="000000"/>
                    <w:sz w:val="15"/>
                    <w:szCs w:val="15"/>
                    <w:u w:val="none"/>
                    <w:lang w:val="en-US" w:eastAsia="zh-TW"/>
                  </w:rPr>
                </w:pPr>
                <w:r>
                  <w:rPr>
                    <w:rFonts w:hint="eastAsia" w:ascii="微软雅黑" w:hAnsi="微软雅黑" w:eastAsia="微软雅黑" w:cs="微软雅黑"/>
                    <w:i w:val="0"/>
                    <w:iCs w:val="0"/>
                    <w:color w:val="000000"/>
                    <w:sz w:val="15"/>
                    <w:szCs w:val="15"/>
                    <w:u w:val="none"/>
                    <w:lang w:val="en-US" w:eastAsia="zh-CN"/>
                  </w:rPr>
                  <w:t>普通模板</w:t>
                </w:r>
              </w:p>
            </w:sdtContent>
          </w:sdt>
        </w:tc>
        <w:tc>
          <w:tcPr>
            <w:tcW w:w="900"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6CE8EB50">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CN"/>
              </w:rPr>
            </w:pPr>
            <w:r>
              <w:rPr>
                <w:rFonts w:hint="eastAsia" w:ascii="微软雅黑" w:hAnsi="微软雅黑" w:eastAsia="微软雅黑" w:cs="微软雅黑"/>
                <w:i w:val="0"/>
                <w:iCs w:val="0"/>
                <w:color w:val="000000"/>
                <w:sz w:val="15"/>
                <w:szCs w:val="15"/>
                <w:u w:val="none"/>
                <w:lang w:val="en-US" w:eastAsia="zh-CN"/>
              </w:rPr>
              <w:t>报告日期</w:t>
            </w:r>
          </w:p>
        </w:tc>
        <w:tc>
          <w:tcPr>
            <w:tcW w:w="1254" w:type="dxa"/>
            <w:tcBorders>
              <w:top w:val="single" w:color="000000" w:sz="4" w:space="0"/>
              <w:left w:val="single" w:color="000000" w:sz="4" w:space="0"/>
              <w:bottom w:val="single" w:color="000000" w:sz="4" w:space="0"/>
              <w:right w:val="single" w:color="000000" w:sz="4" w:space="0"/>
            </w:tcBorders>
            <w:shd w:val="clear" w:color="auto" w:fill="auto"/>
            <w:noWrap/>
            <w:vAlign w:val="center"/>
          </w:tcPr>
          <w:sdt>
            <w:sdtPr>
              <w:rPr>
                <w:rFonts w:hint="default" w:ascii="微软雅黑" w:hAnsi="微软雅黑" w:eastAsia="微软雅黑" w:cs="微软雅黑"/>
                <w:i w:val="0"/>
                <w:iCs w:val="0"/>
                <w:color w:val="000000"/>
                <w:kern w:val="2"/>
                <w:sz w:val="15"/>
                <w:szCs w:val="15"/>
                <w:u w:val="none"/>
                <w:lang w:val="en-US" w:eastAsia="zh-TW" w:bidi="ar-SA"/>
              </w:rPr>
              <w:alias w:val="报告日期"/>
              <w:id w:val="147457270"/>
              <w:lock w:val="sdtLocked"/>
              <w:placeholder>
                <w:docPart w:val="{df61b350-aee6-47bd-944d-08e6078126c1}"/>
              </w:placeholder>
              <w:date w:fullDate="2022-01-01T00:00:00Z">
                <w:dateFormat w:val="YYYY-MM-DD"/>
                <w:lid w:val="zh-CN"/>
                <w:storeMappedDataAs w:val="text"/>
                <w:calendar w:val="gregorian"/>
              </w:date>
            </w:sdtPr>
            <w:sdtEndPr>
              <w:rPr>
                <w:rFonts w:hint="default" w:ascii="微软雅黑" w:hAnsi="微软雅黑" w:eastAsia="微软雅黑" w:cs="微软雅黑"/>
                <w:i w:val="0"/>
                <w:iCs w:val="0"/>
                <w:color w:val="000000"/>
                <w:kern w:val="2"/>
                <w:sz w:val="15"/>
                <w:szCs w:val="15"/>
                <w:u w:val="none"/>
                <w:lang w:val="en-US" w:eastAsia="zh-TW" w:bidi="ar-SA"/>
              </w:rPr>
            </w:sdtEndPr>
            <w:sdtContent>
              <w:p w14:paraId="0065AC32">
                <w:pPr>
                  <w:keepNext w:val="0"/>
                  <w:keepLines w:val="0"/>
                  <w:widowControl/>
                  <w:suppressLineNumbers w:val="0"/>
                  <w:jc w:val="left"/>
                  <w:textAlignment w:val="center"/>
                  <w:rPr>
                    <w:rFonts w:hint="default" w:ascii="微软雅黑" w:hAnsi="微软雅黑" w:eastAsia="微软雅黑" w:cs="微软雅黑"/>
                    <w:i w:val="0"/>
                    <w:iCs w:val="0"/>
                    <w:color w:val="000000"/>
                    <w:kern w:val="2"/>
                    <w:sz w:val="15"/>
                    <w:szCs w:val="15"/>
                    <w:u w:val="none"/>
                    <w:lang w:val="en-US" w:eastAsia="zh-TW" w:bidi="ar-SA"/>
                  </w:rPr>
                </w:pPr>
                <w:r>
                  <w:rPr>
                    <w:rFonts w:hint="eastAsia" w:ascii="微软雅黑" w:hAnsi="微软雅黑" w:eastAsia="微软雅黑" w:cs="微软雅黑"/>
                    <w:i w:val="0"/>
                    <w:iCs w:val="0"/>
                    <w:color w:val="000000"/>
                    <w:kern w:val="2"/>
                    <w:sz w:val="15"/>
                    <w:szCs w:val="15"/>
                    <w:u w:val="none"/>
                    <w:lang w:val="en-US" w:eastAsia="zh-CN" w:bidi="ar-SA"/>
                  </w:rPr>
                  <w:t>2026-06-29</w:t>
                </w:r>
              </w:p>
            </w:sdtContent>
          </w:sdt>
        </w:tc>
        <w:tc>
          <w:tcPr>
            <w:tcW w:w="1232" w:type="dxa"/>
            <w:tcBorders>
              <w:top w:val="single" w:color="000000" w:sz="4" w:space="0"/>
              <w:left w:val="single" w:color="000000" w:sz="4" w:space="0"/>
              <w:bottom w:val="single" w:color="000000" w:sz="4" w:space="0"/>
              <w:right w:val="single" w:color="000000" w:sz="4" w:space="0"/>
            </w:tcBorders>
            <w:shd w:val="clear" w:color="auto" w:fill="D6DCE5" w:themeFill="text2" w:themeFillTint="32"/>
            <w:noWrap/>
            <w:vAlign w:val="center"/>
          </w:tcPr>
          <w:p w14:paraId="466EB917">
            <w:pPr>
              <w:keepNext w:val="0"/>
              <w:keepLines w:val="0"/>
              <w:widowControl/>
              <w:suppressLineNumbers w:val="0"/>
              <w:jc w:val="left"/>
              <w:textAlignment w:val="center"/>
              <w:rPr>
                <w:rFonts w:hint="eastAsia" w:ascii="微软雅黑" w:hAnsi="微软雅黑" w:eastAsia="PMingLiU" w:cs="微软雅黑"/>
                <w:i w:val="0"/>
                <w:iCs w:val="0"/>
                <w:color w:val="000000"/>
                <w:sz w:val="15"/>
                <w:szCs w:val="15"/>
                <w:u w:val="none"/>
                <w:lang w:eastAsia="zh-TW"/>
              </w:rPr>
            </w:pPr>
            <w:r>
              <w:rPr>
                <w:rFonts w:hint="eastAsia" w:ascii="微软雅黑" w:hAnsi="微软雅黑" w:eastAsia="微软雅黑" w:cs="微软雅黑"/>
                <w:i w:val="0"/>
                <w:iCs w:val="0"/>
                <w:color w:val="000000"/>
                <w:sz w:val="15"/>
                <w:szCs w:val="15"/>
                <w:u w:val="none"/>
                <w:lang w:eastAsia="zh-TW"/>
              </w:rPr>
              <w:t>年初以来相对行业涨跌幅</w:t>
            </w:r>
            <w:r>
              <w:rPr>
                <w:rFonts w:hint="eastAsia" w:ascii="微软雅黑" w:hAnsi="微软雅黑" w:eastAsia="微软雅黑" w:cs="微软雅黑"/>
                <w:i w:val="0"/>
                <w:iCs w:val="0"/>
                <w:color w:val="000000"/>
                <w:sz w:val="15"/>
                <w:szCs w:val="15"/>
                <w:u w:val="none"/>
                <w:lang w:val="en-US" w:eastAsia="zh-TW"/>
              </w:rPr>
              <w:t>(%)</w:t>
            </w:r>
          </w:p>
        </w:tc>
        <w:tc>
          <w:tcPr>
            <w:tcW w:w="842"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4D0C99">
            <w:pPr>
              <w:keepNext w:val="0"/>
              <w:keepLines w:val="0"/>
              <w:widowControl/>
              <w:suppressLineNumbers w:val="0"/>
              <w:jc w:val="left"/>
              <w:textAlignment w:val="center"/>
              <w:rPr>
                <w:rFonts w:hint="eastAsia" w:ascii="微软雅黑" w:hAnsi="微软雅黑" w:eastAsia="微软雅黑" w:cs="微软雅黑"/>
                <w:i w:val="0"/>
                <w:iCs w:val="0"/>
                <w:color w:val="000000"/>
                <w:sz w:val="15"/>
                <w:szCs w:val="15"/>
                <w:u w:val="none"/>
                <w:lang w:val="en-US" w:eastAsia="zh-TW"/>
              </w:rPr>
            </w:pPr>
          </w:p>
        </w:tc>
      </w:tr>
      <w:bookmarkEnd w:id="13"/>
      <w:bookmarkEnd w:id="14"/>
      <w:bookmarkEnd w:id="15"/>
      <w:bookmarkEnd w:id="16"/>
      <w:tr w14:paraId="1C2E4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3BA084">
            <w:pPr>
              <w:keepNext w:val="0"/>
              <w:keepLines w:val="0"/>
              <w:widowControl/>
              <w:suppressLineNumbers w:val="0"/>
              <w:jc w:val="left"/>
              <w:textAlignment w:val="center"/>
              <w:rPr>
                <w:rFonts w:hint="default" w:ascii="Arial Unicode MS" w:hAnsi="Arial Unicode MS" w:eastAsia="PMingLiU" w:cs="Arial Unicode MS"/>
                <w:i w:val="0"/>
                <w:iCs w:val="0"/>
                <w:color w:val="FFFFFF"/>
                <w:sz w:val="15"/>
                <w:szCs w:val="15"/>
                <w:u w:val="none"/>
                <w:lang w:val="en-US" w:eastAsia="zh-TW"/>
              </w:rPr>
            </w:pPr>
            <w:r>
              <w:rPr>
                <w:rFonts w:hint="default" w:ascii="微软雅黑" w:hAnsi="微软雅黑" w:eastAsia="微软雅黑" w:cs="微软雅黑"/>
                <w:b/>
                <w:bCs/>
                <w:i w:val="0"/>
                <w:iCs w:val="0"/>
                <w:color w:val="000000"/>
                <w:sz w:val="15"/>
                <w:szCs w:val="15"/>
                <w:u w:val="none"/>
                <w:lang w:val="en-US" w:eastAsia="zh-CN"/>
              </w:rPr>
              <w:t>研究结论</w:t>
            </w:r>
          </w:p>
        </w:tc>
      </w:tr>
      <w:tr w14:paraId="080154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2"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2A13213A">
            <w:pPr>
              <w:keepNext w:val="0"/>
              <w:keepLines w:val="0"/>
              <w:widowControl/>
              <w:suppressLineNumbers w:val="0"/>
              <w:jc w:val="both"/>
              <w:textAlignment w:val="center"/>
              <w:rPr>
                <w:rFonts w:hint="eastAsia" w:ascii="微软雅黑" w:hAnsi="微软雅黑" w:eastAsia="微软雅黑" w:cs="微软雅黑"/>
                <w:i w:val="0"/>
                <w:iCs w:val="0"/>
                <w:color w:val="000000"/>
                <w:sz w:val="15"/>
                <w:szCs w:val="15"/>
                <w:u w:val="none"/>
                <w:lang w:val="en-US" w:eastAsia="zh-CN"/>
              </w:rPr>
            </w:pPr>
            <w:bookmarkStart w:id="17" w:name="研究结论" w:colFirst="0" w:colLast="0"/>
            <w:r>
              <w:rPr>
                <w:rFonts w:ascii="微软雅黑" w:hAnsi="微软雅黑" w:eastAsia="微软雅黑" w:cs="微软雅黑"/>
                <w:b/>
                <w:sz w:val="18"/>
              </w:rPr>
              <w:t>短期：增速逐季收敛，Q4 拐点向下</w:t>
            </w:r>
          </w:p>
          <w:p>
            <w:r>
              <w:rPr>
                <w:rFonts w:ascii="微软雅黑" w:hAnsi="微软雅黑" w:eastAsia="微软雅黑" w:cs="微软雅黑"/>
                <w:b w:val="0"/>
                <w:sz w:val="18"/>
              </w:rPr>
              <w:t xml:space="preserve">1. </w:t>
            </w:r>
            <w:r>
              <w:rPr>
                <w:rFonts w:ascii="微软雅黑" w:hAnsi="微软雅黑" w:eastAsia="微软雅黑" w:cs="微软雅黑"/>
                <w:b/>
                <w:sz w:val="18"/>
              </w:rPr>
              <w:t>增速在逐季回落</w:t>
            </w:r>
            <w:r>
              <w:rPr>
                <w:rFonts w:ascii="微软雅黑" w:hAnsi="微软雅黑" w:eastAsia="微软雅黑" w:cs="微软雅黑"/>
                <w:b w:val="0"/>
                <w:sz w:val="18"/>
              </w:rPr>
              <w:t>：2026Q1 营收 +5.9% 已是连续降速后的低位（2024 全年 +6.6% → 2025 全年 +2.6%），4 月渠道跟踪 +3%、5 月广东仅 +1%，世界杯与高温旺季的拉动尚待验证；97 纯生 26Q1 +26% 含补库存扰动，渠道跟踪已落到个位数，真实动销并未跟上表观增速。</w:t>
            </w:r>
          </w:p>
          <w:p>
            <w:r>
              <w:rPr>
                <w:rFonts w:ascii="微软雅黑" w:hAnsi="微软雅黑" w:eastAsia="微软雅黑" w:cs="微软雅黑"/>
                <w:b w:val="0"/>
                <w:sz w:val="18"/>
              </w:rPr>
              <w:t xml:space="preserve">2. </w:t>
            </w:r>
            <w:r>
              <w:rPr>
                <w:rFonts w:ascii="微软雅黑" w:hAnsi="微软雅黑" w:eastAsia="微软雅黑" w:cs="微软雅黑"/>
                <w:b/>
                <w:sz w:val="18"/>
              </w:rPr>
              <w:t>Q4 转亏暴露脆弱性</w:t>
            </w:r>
            <w:r>
              <w:rPr>
                <w:rFonts w:ascii="微软雅黑" w:hAnsi="微软雅黑" w:eastAsia="微软雅黑" w:cs="微软雅黑"/>
                <w:b w:val="0"/>
                <w:sz w:val="18"/>
              </w:rPr>
              <w:t>：2025Q4 单季营收 -4.7%、归母 -0.40 亿，淡季去库加大货折致吨价 -5.1%，反映高档占比抬到 76% 后，淡季价格维护能力反而变弱——结构升级的红利在旺季兑现、在淡季又被还回去。</w:t>
            </w:r>
          </w:p>
          <w:p>
            <w:r>
              <w:rPr>
                <w:rFonts w:ascii="微软雅黑" w:hAnsi="微软雅黑" w:eastAsia="微软雅黑" w:cs="微软雅黑"/>
                <w:b w:val="0"/>
                <w:sz w:val="18"/>
              </w:rPr>
              <w:t xml:space="preserve">3. </w:t>
            </w:r>
            <w:r>
              <w:rPr>
                <w:rFonts w:ascii="微软雅黑" w:hAnsi="微软雅黑" w:eastAsia="微软雅黑" w:cs="微软雅黑"/>
                <w:b/>
                <w:sz w:val="18"/>
              </w:rPr>
              <w:t>毛利改善有对冲</w:t>
            </w:r>
            <w:r>
              <w:rPr>
                <w:rFonts w:ascii="微软雅黑" w:hAnsi="微软雅黑" w:eastAsia="微软雅黑" w:cs="微软雅黑"/>
                <w:b w:val="0"/>
                <w:sz w:val="18"/>
              </w:rPr>
              <w:t>：2025 毛利率 48.3%、26Q1 49.6% 的结构升级红利真实，但 26Q2 铝材、大麦、瓦楞纸提价周期将在报表端体现，成本红利难以延续，毛利率温和上行而非加速。</w:t>
            </w:r>
          </w:p>
          <w:p/>
          <w:p>
            <w:r>
              <w:rPr>
                <w:rFonts w:ascii="微软雅黑" w:hAnsi="微软雅黑" w:eastAsia="微软雅黑" w:cs="微软雅黑"/>
                <w:b/>
                <w:sz w:val="18"/>
              </w:rPr>
              <w:t>中长期：吃消费 beta 的区域国企，渠道活力与省外扩张都不支撑 alpha</w:t>
            </w:r>
          </w:p>
          <w:p>
            <w:r>
              <w:rPr>
                <w:rFonts w:ascii="微软雅黑" w:hAnsi="微软雅黑" w:eastAsia="微软雅黑" w:cs="微软雅黑"/>
                <w:b w:val="0"/>
                <w:sz w:val="18"/>
              </w:rPr>
              <w:t xml:space="preserve">1. </w:t>
            </w:r>
            <w:r>
              <w:rPr>
                <w:rFonts w:ascii="微软雅黑" w:hAnsi="微软雅黑" w:eastAsia="微软雅黑" w:cs="微软雅黑"/>
                <w:b/>
                <w:sz w:val="18"/>
              </w:rPr>
              <w:t>增长越来越依赖行业总需求</w:t>
            </w:r>
            <w:r>
              <w:rPr>
                <w:rFonts w:ascii="微软雅黑" w:hAnsi="微软雅黑" w:eastAsia="微软雅黑" w:cs="微软雅黑"/>
                <w:b w:val="0"/>
                <w:sz w:val="18"/>
              </w:rPr>
              <w:t>：全国啤酒产量 2025 -1.1%，行业已进入存量博弈；公司 2018-2025 收入 CAGR 5.5% 主要靠高档占比从 49% 拉到 76% 的结构红利，量已基本停滞（2025 销量 +1.6%）。结构升级进入高基数后段，alpha 来源收窄，增长越来越取决于行业总需求这个它自己决定不了的变量。</w:t>
            </w:r>
          </w:p>
          <w:p>
            <w:r>
              <w:rPr>
                <w:rFonts w:ascii="微软雅黑" w:hAnsi="微软雅黑" w:eastAsia="微软雅黑" w:cs="微软雅黑"/>
                <w:b w:val="0"/>
                <w:sz w:val="18"/>
              </w:rPr>
              <w:t xml:space="preserve">2. </w:t>
            </w:r>
            <w:r>
              <w:rPr>
                <w:rFonts w:ascii="微软雅黑" w:hAnsi="微软雅黑" w:eastAsia="微软雅黑" w:cs="微软雅黑"/>
                <w:b/>
                <w:sz w:val="18"/>
              </w:rPr>
              <w:t>渠道结构偏传统</w:t>
            </w:r>
            <w:r>
              <w:rPr>
                <w:rFonts w:ascii="微软雅黑" w:hAnsi="微软雅黑" w:eastAsia="微软雅黑" w:cs="微软雅黑"/>
                <w:b w:val="0"/>
                <w:sz w:val="18"/>
              </w:rPr>
              <w:t>：普通渠道占比 88.55% 且 -2.32%，夜场 -18.44%；电商 +342% 和商超 +35% 增速虽快但基数极小、合计仅约 10%，尚不足以对冲主渠道的下滑。新管理层 2025 年上任，但至今未检索到省外扩张、费用率目标的公开战略口径，渠道焕新仍待观察。</w:t>
            </w:r>
          </w:p>
          <w:p>
            <w:r>
              <w:rPr>
                <w:rFonts w:ascii="微软雅黑" w:hAnsi="微软雅黑" w:eastAsia="微软雅黑" w:cs="微软雅黑"/>
                <w:b w:val="0"/>
                <w:sz w:val="18"/>
              </w:rPr>
              <w:t xml:space="preserve">3. </w:t>
            </w:r>
            <w:r>
              <w:rPr>
                <w:rFonts w:ascii="微软雅黑" w:hAnsi="微软雅黑" w:eastAsia="微软雅黑" w:cs="微软雅黑"/>
                <w:b/>
                <w:sz w:val="18"/>
              </w:rPr>
              <w:t>省外停滞</w:t>
            </w:r>
            <w:r>
              <w:rPr>
                <w:rFonts w:ascii="微软雅黑" w:hAnsi="微软雅黑" w:eastAsia="微软雅黑" w:cs="微软雅黑"/>
                <w:b w:val="0"/>
                <w:sz w:val="18"/>
              </w:rPr>
              <w:t>：华南占比 95.66%，其他地区收入仅 2.55 亿、增量 0.15 亿；华润 1-4 月销量 +4%、喜力 +25% 在广东持续渗透，区域龙头模式省外难以复制，珠三角以外的故事暂时讲不出来。</w:t>
            </w:r>
          </w:p>
          <w:p/>
          <w:p>
            <w:r>
              <w:rPr>
                <w:rFonts w:ascii="微软雅黑" w:hAnsi="微软雅黑" w:eastAsia="微软雅黑" w:cs="微软雅黑"/>
                <w:b/>
                <w:sz w:val="18"/>
              </w:rPr>
              <w:t>投资建议：</w:t>
            </w:r>
          </w:p>
          <w:p>
            <w:r>
              <w:rPr>
                <w:rFonts w:ascii="微软雅黑" w:hAnsi="微软雅黑" w:eastAsia="微软雅黑" w:cs="微软雅黑"/>
                <w:b w:val="0"/>
                <w:sz w:val="18"/>
              </w:rPr>
              <w:t>预计 2026 年销售收入 60.3 亿，yoy +3%，归母净利润 8.7 亿，yoy -4%，对应 PE 20 倍；2027 年销售收入 62.0 亿，yoy +3%，归母净利润 9.0 亿，yoy +4%，对应 PE 19 倍。不建议关注——传统国企渠道活力差、增长靠结构升级撑着已进入降速段，省外扩张停滞、alpha 缺失，作为消费 beta 标的而 beta 本身不好，当前估值又处历史偏高位置缺乏保护，参与交易价值有限。</w:t>
            </w:r>
          </w:p>
        </w:tc>
      </w:tr>
      <w:bookmarkEnd w:id="17"/>
      <w:tr w14:paraId="3AEDC8D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E227C">
            <w:pPr>
              <w:keepNext w:val="0"/>
              <w:keepLines w:val="0"/>
              <w:widowControl/>
              <w:suppressLineNumbers w:val="0"/>
              <w:jc w:val="left"/>
              <w:textAlignment w:val="center"/>
              <w:rPr>
                <w:rFonts w:hint="eastAsia" w:ascii="Arial Unicode MS" w:hAnsi="Arial Unicode MS" w:eastAsia="PMingLiU" w:cs="Arial Unicode MS"/>
                <w:i w:val="0"/>
                <w:iCs w:val="0"/>
                <w:color w:val="FFFFFF"/>
                <w:kern w:val="2"/>
                <w:sz w:val="15"/>
                <w:szCs w:val="15"/>
                <w:u w:val="none"/>
                <w:lang w:val="en-US" w:eastAsia="zh-CN" w:bidi="ar-SA"/>
              </w:rPr>
            </w:pPr>
            <w:r>
              <w:rPr>
                <w:rFonts w:hint="eastAsia" w:ascii="微软雅黑" w:hAnsi="微软雅黑" w:eastAsia="微软雅黑" w:cs="微软雅黑"/>
                <w:b/>
                <w:bCs/>
                <w:i w:val="0"/>
                <w:iCs w:val="0"/>
                <w:color w:val="000000"/>
                <w:sz w:val="15"/>
                <w:szCs w:val="15"/>
                <w:u w:val="none"/>
                <w:lang w:val="en-US" w:eastAsia="zh-CN"/>
              </w:rPr>
              <w:t>盈利预测</w:t>
            </w:r>
            <w:r>
              <w:rPr>
                <w:rFonts w:hint="eastAsia" w:ascii="微软雅黑" w:hAnsi="微软雅黑" w:eastAsia="微软雅黑" w:cs="微软雅黑"/>
                <w:b/>
                <w:bCs/>
                <w:i w:val="0"/>
                <w:iCs w:val="0"/>
                <w:color w:val="000000"/>
                <w:sz w:val="15"/>
                <w:szCs w:val="15"/>
                <w:u w:val="none"/>
                <w:lang w:val="en-US" w:eastAsia="zh-TW"/>
              </w:rPr>
              <w:t>(</w:t>
            </w:r>
            <w:r>
              <w:rPr>
                <w:rFonts w:hint="eastAsia" w:ascii="微软雅黑" w:hAnsi="微软雅黑" w:eastAsia="微软雅黑" w:cs="微软雅黑"/>
                <w:b/>
                <w:bCs/>
                <w:i w:val="0"/>
                <w:iCs w:val="0"/>
                <w:color w:val="000000"/>
                <w:sz w:val="15"/>
                <w:szCs w:val="15"/>
                <w:u w:val="none"/>
                <w:lang w:val="en-US" w:eastAsia="zh-CN"/>
              </w:rPr>
              <w:t>年度</w:t>
            </w:r>
            <w:r>
              <w:rPr>
                <w:rFonts w:hint="eastAsia" w:ascii="微软雅黑" w:hAnsi="微软雅黑" w:eastAsia="微软雅黑" w:cs="微软雅黑"/>
                <w:b/>
                <w:bCs/>
                <w:i w:val="0"/>
                <w:iCs w:val="0"/>
                <w:color w:val="000000"/>
                <w:sz w:val="15"/>
                <w:szCs w:val="15"/>
                <w:u w:val="none"/>
                <w:lang w:val="en-US" w:eastAsia="zh-TW"/>
              </w:rPr>
              <w:t>)</w:t>
            </w:r>
          </w:p>
        </w:tc>
      </w:tr>
      <w:tr w14:paraId="2708A1A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0"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tbl>
            <w:tblPr>
              <w:tblStyle w:val="6"/>
              <w:tblW w:w="8094" w:type="dxa"/>
              <w:tblInd w:w="5" w:type="dxa"/>
              <w:tblBorders>
                <w:top w:val="none" w:color="auto" w:sz="4" w:space="0"/>
                <w:left w:val="none" w:color="auto" w:sz="4" w:space="0"/>
                <w:bottom w:val="none" w:color="auto" w:sz="4" w:space="0"/>
                <w:right w:val="none" w:color="auto" w:sz="4" w:space="0"/>
                <w:insideH w:val="single" w:color="auto" w:sz="4" w:space="0"/>
                <w:insideV w:val="dotted" w:color="C0C0C0" w:sz="4" w:space="0"/>
              </w:tblBorders>
              <w:tblLayout w:type="fixed"/>
              <w:tblCellMar>
                <w:left w:w="108" w:type="dxa"/>
                <w:right w:w="108" w:type="dxa"/>
              </w:tblCellMar>
            </w:tblPr>
            <w:tblGrid>
              <w:gridCol w:w="1644"/>
              <w:gridCol w:w="1075"/>
              <w:gridCol w:w="1075"/>
              <w:gridCol w:w="1075"/>
              <w:gridCol w:w="1075"/>
              <w:gridCol w:w="1075"/>
              <w:gridCol w:w="1075"/>
            </w:tblGrid>
            <w:tr w14:paraId="759E18FE">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280CA40A">
                  <w:pPr>
                    <w:jc w:val="both"/>
                    <w:rPr>
                      <w:rFonts w:hint="eastAsia" w:ascii="微软雅黑" w:hAnsi="微软雅黑" w:eastAsia="微软雅黑" w:cs="微软雅黑"/>
                      <w:b/>
                      <w:i w:val="0"/>
                      <w:iCs w:val="0"/>
                      <w:color w:val="000000"/>
                      <w:sz w:val="15"/>
                      <w:szCs w:val="15"/>
                      <w:u w:val="none"/>
                      <w:vertAlign w:val="baseline"/>
                      <w:lang w:eastAsia="zh-CN"/>
                    </w:rPr>
                  </w:pPr>
                  <w:bookmarkStart w:id="18" w:name="财务"/>
                  <w:bookmarkStart w:id="19" w:name="盈利预测" w:colFirst="0" w:colLast="0"/>
                  <w:r>
                    <w:rPr>
                      <w:rFonts w:hint="eastAsia" w:ascii="微软雅黑" w:hAnsi="微软雅黑" w:eastAsia="微软雅黑" w:cs="微软雅黑"/>
                      <w:b/>
                      <w:i w:val="0"/>
                      <w:iCs w:val="0"/>
                      <w:color w:val="000000"/>
                      <w:sz w:val="15"/>
                      <w:szCs w:val="15"/>
                      <w:u w:val="none"/>
                      <w:vertAlign w:val="baseline"/>
                      <w:lang w:eastAsia="zh-CN"/>
                    </w:rPr>
                    <w:t>财务指标</w:t>
                  </w:r>
                </w:p>
              </w:tc>
              <w:tc>
                <w:tcPr>
                  <w:tcW w:w="1075" w:type="dxa"/>
                </w:tcPr>
                <w:p w14:paraId="79DCD154">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2023</w:t>
                  </w:r>
                </w:p>
              </w:tc>
              <w:tc>
                <w:tcPr>
                  <w:tcW w:w="1075" w:type="dxa"/>
                </w:tcPr>
                <w:p w14:paraId="478981C9">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2024</w:t>
                  </w:r>
                </w:p>
              </w:tc>
              <w:tc>
                <w:tcPr>
                  <w:tcW w:w="1075" w:type="dxa"/>
                </w:tcPr>
                <w:p w14:paraId="0AD24977">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2025</w:t>
                  </w:r>
                </w:p>
              </w:tc>
              <w:tc>
                <w:tcPr>
                  <w:tcW w:w="1075" w:type="dxa"/>
                </w:tcPr>
                <w:p w14:paraId="199B0BB6">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2026E</w:t>
                  </w:r>
                </w:p>
              </w:tc>
              <w:tc>
                <w:tcPr>
                  <w:tcW w:w="1075" w:type="dxa"/>
                </w:tcPr>
                <w:p w14:paraId="60147B94">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2027E</w:t>
                  </w:r>
                </w:p>
              </w:tc>
              <w:tc>
                <w:tcPr>
                  <w:tcW w:w="1075" w:type="dxa"/>
                </w:tcPr>
                <w:p w14:paraId="6211DCBA">
                  <w:pPr>
                    <w:jc w:val="both"/>
                    <w:rPr>
                      <w:rFonts w:hint="eastAsia" w:ascii="微软雅黑" w:hAnsi="微软雅黑" w:eastAsia="微软雅黑" w:cs="微软雅黑"/>
                      <w:b/>
                      <w:i w:val="0"/>
                      <w:iCs w:val="0"/>
                      <w:color w:val="000000"/>
                      <w:sz w:val="15"/>
                      <w:szCs w:val="15"/>
                      <w:u w:val="none"/>
                      <w:vertAlign w:val="baseline"/>
                      <w:lang w:eastAsia="zh-CN"/>
                    </w:rPr>
                  </w:pPr>
                  <w:r>
                    <w:rPr>
                      <w:rFonts w:hint="eastAsia" w:ascii="微软雅黑" w:hAnsi="微软雅黑" w:eastAsia="微软雅黑" w:cs="微软雅黑"/>
                      <w:b/>
                      <w:i w:val="0"/>
                      <w:iCs w:val="0"/>
                      <w:color w:val="000000"/>
                      <w:sz w:val="15"/>
                      <w:szCs w:val="15"/>
                      <w:u w:val="none"/>
                      <w:vertAlign w:val="baseline"/>
                      <w:lang w:eastAsia="zh-CN"/>
                    </w:rPr>
                    <w:t>2028E</w:t>
                  </w:r>
                </w:p>
              </w:tc>
            </w:tr>
            <w:tr w14:paraId="706C7977">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1FA8E9F1">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营业收入(百万)</w:t>
                  </w:r>
                </w:p>
              </w:tc>
              <w:tc>
                <w:tcPr>
                  <w:tcW w:w="1075" w:type="dxa"/>
                </w:tcPr>
                <w:p w14:paraId="6C4F184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5,378</w:t>
                  </w:r>
                </w:p>
              </w:tc>
              <w:tc>
                <w:tcPr>
                  <w:tcW w:w="1075" w:type="dxa"/>
                </w:tcPr>
                <w:p w14:paraId="2118B22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5,731</w:t>
                  </w:r>
                </w:p>
              </w:tc>
              <w:tc>
                <w:tcPr>
                  <w:tcW w:w="1075" w:type="dxa"/>
                </w:tcPr>
                <w:p w14:paraId="43FE060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5,878</w:t>
                  </w:r>
                </w:p>
              </w:tc>
              <w:tc>
                <w:tcPr>
                  <w:tcW w:w="1075" w:type="dxa"/>
                </w:tcPr>
                <w:p w14:paraId="53887A4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6,028</w:t>
                  </w:r>
                </w:p>
              </w:tc>
              <w:tc>
                <w:tcPr>
                  <w:tcW w:w="1075" w:type="dxa"/>
                </w:tcPr>
                <w:p w14:paraId="23808BB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6,200</w:t>
                  </w:r>
                </w:p>
              </w:tc>
              <w:tc>
                <w:tcPr>
                  <w:tcW w:w="1075" w:type="dxa"/>
                </w:tcPr>
                <w:p w14:paraId="53F8549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6,366</w:t>
                  </w:r>
                </w:p>
              </w:tc>
            </w:tr>
            <w:tr w14:paraId="4CAA850B">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6F500D25">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营收YOY %</w:t>
                  </w:r>
                </w:p>
              </w:tc>
              <w:tc>
                <w:tcPr>
                  <w:tcW w:w="1075" w:type="dxa"/>
                </w:tcPr>
                <w:p w14:paraId="619EF75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9.1%</w:t>
                  </w:r>
                </w:p>
              </w:tc>
              <w:tc>
                <w:tcPr>
                  <w:tcW w:w="1075" w:type="dxa"/>
                </w:tcPr>
                <w:p w14:paraId="368A519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6.6%</w:t>
                  </w:r>
                </w:p>
              </w:tc>
              <w:tc>
                <w:tcPr>
                  <w:tcW w:w="1075" w:type="dxa"/>
                </w:tcPr>
                <w:p w14:paraId="0CEAF0FC">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2.6%</w:t>
                  </w:r>
                </w:p>
              </w:tc>
              <w:tc>
                <w:tcPr>
                  <w:tcW w:w="1075" w:type="dxa"/>
                </w:tcPr>
                <w:p w14:paraId="2CEA0B0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2.6%</w:t>
                  </w:r>
                </w:p>
              </w:tc>
              <w:tc>
                <w:tcPr>
                  <w:tcW w:w="1075" w:type="dxa"/>
                </w:tcPr>
                <w:p w14:paraId="6A346A5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2.8%</w:t>
                  </w:r>
                </w:p>
              </w:tc>
              <w:tc>
                <w:tcPr>
                  <w:tcW w:w="1075" w:type="dxa"/>
                </w:tcPr>
                <w:p w14:paraId="5F8F383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2.7%</w:t>
                  </w:r>
                </w:p>
              </w:tc>
            </w:tr>
            <w:tr w14:paraId="4F90956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2E681DA2">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毛利率</w:t>
                  </w:r>
                </w:p>
              </w:tc>
              <w:tc>
                <w:tcPr>
                  <w:tcW w:w="1075" w:type="dxa"/>
                </w:tcPr>
                <w:p w14:paraId="002DBFFD">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42.8%</w:t>
                  </w:r>
                </w:p>
              </w:tc>
              <w:tc>
                <w:tcPr>
                  <w:tcW w:w="1075" w:type="dxa"/>
                </w:tcPr>
                <w:p w14:paraId="0651207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46.3%</w:t>
                  </w:r>
                </w:p>
              </w:tc>
              <w:tc>
                <w:tcPr>
                  <w:tcW w:w="1075" w:type="dxa"/>
                </w:tcPr>
                <w:p w14:paraId="26A2715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48.3%</w:t>
                  </w:r>
                </w:p>
              </w:tc>
              <w:tc>
                <w:tcPr>
                  <w:tcW w:w="1075" w:type="dxa"/>
                </w:tcPr>
                <w:p w14:paraId="1091F4B5">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48.5%</w:t>
                  </w:r>
                </w:p>
              </w:tc>
              <w:tc>
                <w:tcPr>
                  <w:tcW w:w="1075" w:type="dxa"/>
                </w:tcPr>
                <w:p w14:paraId="536B17B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49.0%</w:t>
                  </w:r>
                </w:p>
              </w:tc>
              <w:tc>
                <w:tcPr>
                  <w:tcW w:w="1075" w:type="dxa"/>
                </w:tcPr>
                <w:p w14:paraId="23F52C2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49.5%</w:t>
                  </w:r>
                </w:p>
              </w:tc>
            </w:tr>
            <w:tr w14:paraId="6A9FD9D1">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407FD1DE">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归母净利润(百万)</w:t>
                  </w:r>
                </w:p>
              </w:tc>
              <w:tc>
                <w:tcPr>
                  <w:tcW w:w="1075" w:type="dxa"/>
                </w:tcPr>
                <w:p w14:paraId="7E829C6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624</w:t>
                  </w:r>
                </w:p>
              </w:tc>
              <w:tc>
                <w:tcPr>
                  <w:tcW w:w="1075" w:type="dxa"/>
                </w:tcPr>
                <w:p w14:paraId="23276A7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810</w:t>
                  </w:r>
                </w:p>
              </w:tc>
              <w:tc>
                <w:tcPr>
                  <w:tcW w:w="1075" w:type="dxa"/>
                </w:tcPr>
                <w:p w14:paraId="7B3754F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904</w:t>
                  </w:r>
                </w:p>
              </w:tc>
              <w:tc>
                <w:tcPr>
                  <w:tcW w:w="1075" w:type="dxa"/>
                </w:tcPr>
                <w:p w14:paraId="6528763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867</w:t>
                  </w:r>
                </w:p>
              </w:tc>
              <w:tc>
                <w:tcPr>
                  <w:tcW w:w="1075" w:type="dxa"/>
                </w:tcPr>
                <w:p w14:paraId="2367A39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902</w:t>
                  </w:r>
                </w:p>
              </w:tc>
              <w:tc>
                <w:tcPr>
                  <w:tcW w:w="1075" w:type="dxa"/>
                </w:tcPr>
                <w:p w14:paraId="77A835CE">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951</w:t>
                  </w:r>
                </w:p>
              </w:tc>
            </w:tr>
            <w:tr w14:paraId="519FA45F">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4EE31D2D">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归母净利润YOY %</w:t>
                  </w:r>
                </w:p>
              </w:tc>
              <w:tc>
                <w:tcPr>
                  <w:tcW w:w="1075" w:type="dxa"/>
                </w:tcPr>
                <w:p w14:paraId="2CA73F4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4.2%</w:t>
                  </w:r>
                </w:p>
              </w:tc>
              <w:tc>
                <w:tcPr>
                  <w:tcW w:w="1075" w:type="dxa"/>
                </w:tcPr>
                <w:p w14:paraId="45FD6DF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30.0%</w:t>
                  </w:r>
                </w:p>
              </w:tc>
              <w:tc>
                <w:tcPr>
                  <w:tcW w:w="1075" w:type="dxa"/>
                </w:tcPr>
                <w:p w14:paraId="0AE09D4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11.5%</w:t>
                  </w:r>
                </w:p>
              </w:tc>
              <w:tc>
                <w:tcPr>
                  <w:tcW w:w="1075" w:type="dxa"/>
                </w:tcPr>
                <w:p w14:paraId="34DEB96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-4.0%</w:t>
                  </w:r>
                </w:p>
              </w:tc>
              <w:tc>
                <w:tcPr>
                  <w:tcW w:w="1075" w:type="dxa"/>
                </w:tcPr>
                <w:p w14:paraId="5298556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4.0%</w:t>
                  </w:r>
                </w:p>
              </w:tc>
              <w:tc>
                <w:tcPr>
                  <w:tcW w:w="1075" w:type="dxa"/>
                </w:tcPr>
                <w:p w14:paraId="6849370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5.3%</w:t>
                  </w:r>
                </w:p>
              </w:tc>
            </w:tr>
            <w:tr w14:paraId="5373C6BF">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1D0BE0E7">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ROE %</w:t>
                  </w:r>
                </w:p>
              </w:tc>
              <w:tc>
                <w:tcPr>
                  <w:tcW w:w="1075" w:type="dxa"/>
                </w:tcPr>
                <w:p w14:paraId="1F004B1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6.4%</w:t>
                  </w:r>
                </w:p>
              </w:tc>
              <w:tc>
                <w:tcPr>
                  <w:tcW w:w="1075" w:type="dxa"/>
                </w:tcPr>
                <w:p w14:paraId="16D1BEF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7.9%</w:t>
                  </w:r>
                </w:p>
              </w:tc>
              <w:tc>
                <w:tcPr>
                  <w:tcW w:w="1075" w:type="dxa"/>
                </w:tcPr>
                <w:p w14:paraId="21AD633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8.4%</w:t>
                  </w:r>
                </w:p>
              </w:tc>
              <w:tc>
                <w:tcPr>
                  <w:tcW w:w="1075" w:type="dxa"/>
                </w:tcPr>
                <w:p w14:paraId="35B4ED6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7.7%</w:t>
                  </w:r>
                </w:p>
              </w:tc>
              <w:tc>
                <w:tcPr>
                  <w:tcW w:w="1075" w:type="dxa"/>
                </w:tcPr>
                <w:p w14:paraId="1F4337E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7.6%</w:t>
                  </w:r>
                </w:p>
              </w:tc>
              <w:tc>
                <w:tcPr>
                  <w:tcW w:w="1075" w:type="dxa"/>
                </w:tcPr>
                <w:p w14:paraId="690C1F2D">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7.7%</w:t>
                  </w:r>
                </w:p>
              </w:tc>
            </w:tr>
            <w:tr w14:paraId="21BCBD21">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37B86503">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EPS</w:t>
                  </w:r>
                </w:p>
              </w:tc>
              <w:tc>
                <w:tcPr>
                  <w:tcW w:w="1075" w:type="dxa"/>
                </w:tcPr>
                <w:p w14:paraId="1D2A5436">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0.28</w:t>
                  </w:r>
                </w:p>
              </w:tc>
              <w:tc>
                <w:tcPr>
                  <w:tcW w:w="1075" w:type="dxa"/>
                </w:tcPr>
                <w:p w14:paraId="1C19DDB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0.37</w:t>
                  </w:r>
                </w:p>
              </w:tc>
              <w:tc>
                <w:tcPr>
                  <w:tcW w:w="1075" w:type="dxa"/>
                </w:tcPr>
                <w:p w14:paraId="074FDCB3">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0.41</w:t>
                  </w:r>
                </w:p>
              </w:tc>
              <w:tc>
                <w:tcPr>
                  <w:tcW w:w="1075" w:type="dxa"/>
                </w:tcPr>
                <w:p w14:paraId="384914B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0.39</w:t>
                  </w:r>
                </w:p>
              </w:tc>
              <w:tc>
                <w:tcPr>
                  <w:tcW w:w="1075" w:type="dxa"/>
                </w:tcPr>
                <w:p w14:paraId="5A77393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0.41</w:t>
                  </w:r>
                </w:p>
              </w:tc>
              <w:tc>
                <w:tcPr>
                  <w:tcW w:w="1075" w:type="dxa"/>
                </w:tcPr>
                <w:p w14:paraId="05903B9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0.43</w:t>
                  </w:r>
                </w:p>
              </w:tc>
            </w:tr>
            <w:tr w14:paraId="4E3379A6">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PrEx>
              <w:trPr>
                <w:wAfter w:w="0" w:type="auto"/>
              </w:trPr>
              <w:tc>
                <w:tcPr>
                  <w:tcW w:w="1644" w:type="dxa"/>
                </w:tcPr>
                <w:p w14:paraId="376B2F0F">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PE</w:t>
                  </w:r>
                </w:p>
              </w:tc>
              <w:tc>
                <w:tcPr>
                  <w:tcW w:w="1075" w:type="dxa"/>
                </w:tcPr>
                <w:p w14:paraId="518F0A7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27.6</w:t>
                  </w:r>
                </w:p>
              </w:tc>
              <w:tc>
                <w:tcPr>
                  <w:tcW w:w="1075" w:type="dxa"/>
                </w:tcPr>
                <w:p w14:paraId="343E222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21.2</w:t>
                  </w:r>
                </w:p>
              </w:tc>
              <w:tc>
                <w:tcPr>
                  <w:tcW w:w="1075" w:type="dxa"/>
                </w:tcPr>
                <w:p w14:paraId="22091E9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19.0</w:t>
                  </w:r>
                </w:p>
              </w:tc>
              <w:tc>
                <w:tcPr>
                  <w:tcW w:w="1075" w:type="dxa"/>
                </w:tcPr>
                <w:p w14:paraId="1E29A9F8">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19.8</w:t>
                  </w:r>
                </w:p>
              </w:tc>
              <w:tc>
                <w:tcPr>
                  <w:tcW w:w="1075" w:type="dxa"/>
                </w:tcPr>
                <w:p w14:paraId="74E56FD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19.1</w:t>
                  </w:r>
                </w:p>
              </w:tc>
              <w:tc>
                <w:tcPr>
                  <w:tcW w:w="1075" w:type="dxa"/>
                </w:tcPr>
                <w:p w14:paraId="743050DC">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18.1</w:t>
                  </w:r>
                </w:p>
              </w:tc>
            </w:tr>
            <w:tr w14:paraId="5767CEE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626A1C2A">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PB</w:t>
                  </w:r>
                </w:p>
              </w:tc>
              <w:tc>
                <w:tcPr>
                  <w:tcW w:w="1075" w:type="dxa"/>
                </w:tcPr>
                <w:p w14:paraId="0395B9A9">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1.7</w:t>
                  </w:r>
                </w:p>
              </w:tc>
              <w:tc>
                <w:tcPr>
                  <w:tcW w:w="1075" w:type="dxa"/>
                </w:tcPr>
                <w:p w14:paraId="74FDE061">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1.6</w:t>
                  </w:r>
                </w:p>
              </w:tc>
              <w:tc>
                <w:tcPr>
                  <w:tcW w:w="1075" w:type="dxa"/>
                </w:tcPr>
                <w:p w14:paraId="6C315862">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1.6</w:t>
                  </w:r>
                </w:p>
              </w:tc>
              <w:tc>
                <w:tcPr>
                  <w:tcW w:w="1075" w:type="dxa"/>
                </w:tcPr>
                <w:p w14:paraId="7883F56B">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1.5</w:t>
                  </w:r>
                </w:p>
              </w:tc>
              <w:tc>
                <w:tcPr>
                  <w:tcW w:w="1075" w:type="dxa"/>
                </w:tcPr>
                <w:p w14:paraId="202A9FAF">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w:t>
                  </w:r>
                </w:p>
              </w:tc>
              <w:tc>
                <w:tcPr>
                  <w:tcW w:w="1075" w:type="dxa"/>
                </w:tcPr>
                <w:p w14:paraId="2299A311">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1.4</w:t>
                  </w:r>
                </w:p>
              </w:tc>
            </w:tr>
            <w:tr w14:paraId="7F46868A">
              <w:tblPrEx>
                <w:tblBorders>
                  <w:top w:val="none" w:color="auto" w:sz="4" w:space="0"/>
                  <w:left w:val="none" w:color="auto" w:sz="4" w:space="0"/>
                  <w:bottom w:val="none" w:color="auto" w:sz="4" w:space="0"/>
                  <w:right w:val="none" w:color="auto" w:sz="4" w:space="0"/>
                  <w:insideH w:val="single" w:color="auto" w:sz="4" w:space="0"/>
                  <w:insideV w:val="dotted" w:color="C0C0C0" w:sz="4" w:space="0"/>
                </w:tblBorders>
                <w:tblCellMar>
                  <w:left w:w="108" w:type="dxa"/>
                  <w:right w:w="108" w:type="dxa"/>
                </w:tblCellMar>
              </w:tblPrEx>
              <w:trPr>
                <w:wAfter w:w="0" w:type="auto"/>
              </w:trPr>
              <w:tc>
                <w:tcPr>
                  <w:tcW w:w="1644" w:type="dxa"/>
                </w:tcPr>
                <w:p w14:paraId="035DAB08">
                  <w:pPr>
                    <w:jc w:val="both"/>
                    <w:rPr>
                      <w:rFonts w:hint="eastAsia" w:ascii="微软雅黑" w:hAnsi="微软雅黑" w:eastAsia="微软雅黑" w:cs="微软雅黑"/>
                      <w:i w:val="0"/>
                      <w:iCs w:val="0"/>
                      <w:color w:val="000000"/>
                      <w:sz w:val="15"/>
                      <w:szCs w:val="15"/>
                      <w:u w:val="none"/>
                      <w:vertAlign w:val="baseline"/>
                      <w:lang w:eastAsia="zh-CN"/>
                    </w:rPr>
                  </w:pPr>
                  <w:r>
                    <w:rPr>
                      <w:rFonts w:hint="eastAsia" w:ascii="微软雅黑" w:hAnsi="微软雅黑" w:eastAsia="微软雅黑" w:cs="微软雅黑"/>
                      <w:i w:val="0"/>
                      <w:iCs w:val="0"/>
                      <w:color w:val="000000"/>
                      <w:sz w:val="15"/>
                      <w:szCs w:val="15"/>
                      <w:u w:val="none"/>
                      <w:vertAlign w:val="baseline"/>
                      <w:lang w:eastAsia="zh-CN"/>
                    </w:rPr>
                    <w:t>EV/EBITDA</w:t>
                  </w:r>
                </w:p>
              </w:tc>
              <w:tc>
                <w:tcPr>
                  <w:tcW w:w="1075" w:type="dxa"/>
                </w:tcPr>
                <w:p w14:paraId="7BDA50CA">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13.7</w:t>
                  </w:r>
                </w:p>
              </w:tc>
              <w:tc>
                <w:tcPr>
                  <w:tcW w:w="1075" w:type="dxa"/>
                </w:tcPr>
                <w:p w14:paraId="51144E40">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10.6</w:t>
                  </w:r>
                </w:p>
              </w:tc>
              <w:tc>
                <w:tcPr>
                  <w:tcW w:w="1075" w:type="dxa"/>
                </w:tcPr>
                <w:p w14:paraId="35A829A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10.0</w:t>
                  </w:r>
                </w:p>
              </w:tc>
              <w:tc>
                <w:tcPr>
                  <w:tcW w:w="1075" w:type="dxa"/>
                </w:tcPr>
                <w:p w14:paraId="7A957BD7">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10.2</w:t>
                  </w:r>
                </w:p>
              </w:tc>
              <w:tc>
                <w:tcPr>
                  <w:tcW w:w="1075" w:type="dxa"/>
                </w:tcPr>
                <w:p w14:paraId="2CC9BD94">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9.4</w:t>
                  </w:r>
                </w:p>
              </w:tc>
              <w:tc>
                <w:tcPr>
                  <w:tcW w:w="1075" w:type="dxa"/>
                </w:tcPr>
                <w:p w14:paraId="1BC4AD20">
                  <w:pPr>
                    <w:jc w:val="both"/>
                    <w:rPr>
                      <w:rFonts w:hint="eastAsia" w:ascii="微软雅黑" w:hAnsi="微软雅黑" w:eastAsia="微软雅黑" w:cs="微软雅黑"/>
                      <w:i w:val="0"/>
                      <w:iCs w:val="0"/>
                      <w:color w:val="000000"/>
                      <w:sz w:val="15"/>
                      <w:szCs w:val="15"/>
                      <w:u w:val="none"/>
                      <w:vertAlign w:val="baseline"/>
                      <w:lang w:eastAsia="zh-TW"/>
                    </w:rPr>
                  </w:pPr>
                  <w:r>
                    <w:rPr>
                      <w:rFonts w:ascii="微软雅黑" w:hAnsi="微软雅黑" w:eastAsia="微软雅黑" w:cs="微软雅黑"/>
                      <w:sz w:val="15"/>
                    </w:rPr>
                    <w:t>8.6</w:t>
                  </w:r>
                </w:p>
              </w:tc>
            </w:tr>
            <w:bookmarkEnd w:id="18"/>
          </w:tbl>
          <w:p w14:paraId="5B8D3CD5">
            <w:pPr>
              <w:jc w:val="both"/>
              <w:rPr>
                <w:rFonts w:hint="eastAsia" w:ascii="微软雅黑" w:hAnsi="微软雅黑" w:eastAsia="微软雅黑" w:cs="微软雅黑"/>
                <w:i w:val="0"/>
                <w:iCs w:val="0"/>
                <w:color w:val="000000"/>
                <w:sz w:val="15"/>
                <w:szCs w:val="15"/>
                <w:u w:val="none"/>
                <w:lang w:eastAsia="zh-TW"/>
              </w:rPr>
            </w:pPr>
          </w:p>
        </w:tc>
      </w:tr>
      <w:bookmarkEnd w:id="19"/>
      <w:tr w14:paraId="5D59BFF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7BA67C46">
            <w:pPr>
              <w:keepNext w:val="0"/>
              <w:keepLines w:val="0"/>
              <w:widowControl/>
              <w:suppressLineNumbers w:val="0"/>
              <w:jc w:val="left"/>
              <w:textAlignment w:val="center"/>
              <w:rPr>
                <w:rFonts w:hint="eastAsia" w:ascii="Arial Unicode MS" w:hAnsi="Arial Unicode MS" w:eastAsia="PMingLiU" w:cs="Arial Unicode MS"/>
                <w:b/>
                <w:bCs/>
                <w:i w:val="0"/>
                <w:iCs w:val="0"/>
                <w:color w:val="000000"/>
                <w:sz w:val="15"/>
                <w:szCs w:val="15"/>
                <w:u w:val="none"/>
                <w:lang w:eastAsia="zh-TW"/>
              </w:rPr>
            </w:pPr>
            <w:r>
              <w:rPr>
                <w:rFonts w:hint="eastAsia" w:ascii="微软雅黑" w:hAnsi="微软雅黑" w:eastAsia="微软雅黑" w:cs="微软雅黑"/>
                <w:b/>
                <w:bCs/>
                <w:i w:val="0"/>
                <w:iCs w:val="0"/>
                <w:color w:val="000000"/>
                <w:sz w:val="15"/>
                <w:szCs w:val="15"/>
                <w:u w:val="none"/>
                <w:lang w:val="en-US" w:eastAsia="zh-CN"/>
              </w:rPr>
              <w:t>投资</w:t>
            </w:r>
            <w:r>
              <w:rPr>
                <w:rFonts w:hint="eastAsia" w:ascii="微软雅黑" w:hAnsi="微软雅黑" w:eastAsia="微软雅黑" w:cs="微软雅黑"/>
                <w:b/>
                <w:bCs/>
                <w:i w:val="0"/>
                <w:iCs w:val="0"/>
                <w:color w:val="000000"/>
                <w:sz w:val="15"/>
                <w:szCs w:val="15"/>
                <w:u w:val="none"/>
                <w:lang w:val="en-US" w:eastAsia="zh-TW"/>
              </w:rPr>
              <w:t>要点</w:t>
            </w:r>
          </w:p>
        </w:tc>
      </w:tr>
      <w:tr w14:paraId="09B1B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250"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7C7C5F89">
            <w:pPr>
              <w:jc w:val="both"/>
              <w:rPr>
                <w:rFonts w:hint="eastAsia" w:ascii="微软雅黑" w:hAnsi="微软雅黑" w:eastAsia="微软雅黑" w:cs="微软雅黑"/>
                <w:i w:val="0"/>
                <w:iCs w:val="0"/>
                <w:color w:val="000000"/>
                <w:sz w:val="15"/>
                <w:szCs w:val="15"/>
                <w:u w:val="none"/>
              </w:rPr>
            </w:pPr>
            <w:bookmarkStart w:id="20" w:name="投资逻辑" w:colFirst="0" w:colLast="0"/>
            <w:r>
              <w:rPr>
                <w:rFonts w:ascii="微软雅黑" w:hAnsi="微软雅黑" w:eastAsia="微软雅黑" w:cs="微软雅黑"/>
              </w:rPr>
              <w:t>见附件</w:t>
            </w:r>
          </w:p>
        </w:tc>
      </w:tr>
      <w:bookmarkEnd w:id="20"/>
      <w:tr w14:paraId="6870334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14979A">
            <w:pPr>
              <w:keepNext w:val="0"/>
              <w:keepLines w:val="0"/>
              <w:widowControl/>
              <w:suppressLineNumbers w:val="0"/>
              <w:jc w:val="left"/>
              <w:textAlignment w:val="center"/>
              <w:rPr>
                <w:rFonts w:hint="eastAsia" w:ascii="Arial Unicode MS" w:hAnsi="Arial Unicode MS" w:eastAsia="Arial Unicode MS" w:cs="Arial Unicode MS"/>
                <w:b/>
                <w:bCs/>
                <w:i w:val="0"/>
                <w:iCs w:val="0"/>
                <w:color w:val="000000"/>
                <w:sz w:val="15"/>
                <w:szCs w:val="15"/>
                <w:u w:val="none"/>
              </w:rPr>
            </w:pPr>
            <w:r>
              <w:rPr>
                <w:rFonts w:hint="eastAsia" w:ascii="微软雅黑" w:hAnsi="微软雅黑" w:eastAsia="微软雅黑" w:cs="微软雅黑"/>
                <w:b/>
                <w:bCs/>
                <w:i w:val="0"/>
                <w:iCs w:val="0"/>
                <w:color w:val="000000"/>
                <w:sz w:val="15"/>
                <w:szCs w:val="15"/>
                <w:u w:val="none"/>
                <w:lang w:val="en-US" w:eastAsia="zh-CN"/>
              </w:rPr>
              <w:t>正文部分</w:t>
            </w:r>
          </w:p>
        </w:tc>
      </w:tr>
      <w:tr w14:paraId="47179B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75" w:hRule="atLeast"/>
        </w:trPr>
        <w:tc>
          <w:tcPr>
            <w:tcW w:w="8335" w:type="dxa"/>
            <w:gridSpan w:val="8"/>
            <w:tcBorders>
              <w:top w:val="single" w:color="000000" w:sz="4" w:space="0"/>
              <w:left w:val="single" w:color="000000" w:sz="4" w:space="0"/>
              <w:bottom w:val="single" w:color="000000" w:sz="4" w:space="0"/>
              <w:right w:val="single" w:color="000000" w:sz="4" w:space="0"/>
            </w:tcBorders>
            <w:shd w:val="clear" w:color="auto" w:fill="auto"/>
            <w:noWrap/>
            <w:vAlign w:val="top"/>
          </w:tcPr>
          <w:p w14:paraId="363EE3ED">
            <w:pPr>
              <w:jc w:val="both"/>
              <w:rPr>
                <w:rFonts w:hint="eastAsia" w:ascii="微软雅黑" w:hAnsi="微软雅黑" w:eastAsia="微软雅黑" w:cs="微软雅黑"/>
                <w:i w:val="0"/>
                <w:iCs w:val="0"/>
                <w:color w:val="000000"/>
                <w:sz w:val="15"/>
                <w:szCs w:val="15"/>
                <w:u w:val="none"/>
              </w:rPr>
            </w:pPr>
            <w:bookmarkStart w:id="21" w:name="正文" w:colFirst="0" w:colLast="0"/>
            <w:r>
              <w:rPr>
                <w:rFonts w:ascii="微软雅黑" w:hAnsi="微软雅黑" w:eastAsia="微软雅黑" w:cs="微软雅黑"/>
              </w:rPr>
              <w:t>见附件</w:t>
            </w:r>
          </w:p>
        </w:tc>
      </w:tr>
      <w:bookmarkEnd w:id="21"/>
    </w:tbl>
    <w:p w14:paraId="39F5FEF2">
      <w:pPr>
        <w:rPr>
          <w:rFonts w:hint="eastAsia" w:ascii="微软雅黑" w:hAnsi="微软雅黑" w:eastAsia="微软雅黑" w:cs="微软雅黑"/>
          <w:color w:val="808080" w:themeColor="background1" w:themeShade="80"/>
          <w:sz w:val="20"/>
          <w:szCs w:val="20"/>
        </w:rPr>
        <w:sectPr>
          <w:headerReference r:id="rId3" w:type="default"/>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pPr>
    </w:p>
    <w:p w14:paraId="3ABDC0D6">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4B4A48"/>
          <w:spacing w:val="0"/>
          <w:sz w:val="24"/>
          <w:szCs w:val="24"/>
          <w:shd w:val="clear" w:fill="FFFFFF"/>
          <w:lang w:eastAsia="zh-CN"/>
        </w:rPr>
      </w:pPr>
      <w:r>
        <w:rPr>
          <w:rFonts w:hint="eastAsia" w:ascii="微软雅黑" w:hAnsi="微软雅黑" w:eastAsia="微软雅黑" w:cs="微软雅黑"/>
          <w:i w:val="0"/>
          <w:iCs w:val="0"/>
          <w:caps w:val="0"/>
          <w:color w:val="4B4A48"/>
          <w:spacing w:val="0"/>
          <w:sz w:val="24"/>
          <w:szCs w:val="24"/>
          <w:shd w:val="clear" w:fill="FFFFFF"/>
        </w:rPr>
        <w:t>报告评级对应的预期收益率</w:t>
      </w:r>
      <w:r>
        <w:rPr>
          <w:rFonts w:hint="eastAsia" w:ascii="微软雅黑" w:hAnsi="微软雅黑" w:eastAsia="微软雅黑" w:cs="微软雅黑"/>
          <w:i w:val="0"/>
          <w:iCs w:val="0"/>
          <w:caps w:val="0"/>
          <w:color w:val="4B4A48"/>
          <w:spacing w:val="0"/>
          <w:sz w:val="24"/>
          <w:szCs w:val="24"/>
          <w:shd w:val="clear" w:fill="FFFFFF"/>
          <w:lang w:eastAsia="zh-CN"/>
        </w:rPr>
        <w:t>（</w:t>
      </w:r>
      <w:r>
        <w:rPr>
          <w:rFonts w:hint="eastAsia" w:ascii="微软雅黑" w:hAnsi="微软雅黑" w:eastAsia="微软雅黑" w:cs="微软雅黑"/>
          <w:i w:val="0"/>
          <w:iCs w:val="0"/>
          <w:caps w:val="0"/>
          <w:color w:val="4B4A48"/>
          <w:spacing w:val="0"/>
          <w:sz w:val="24"/>
          <w:szCs w:val="24"/>
          <w:shd w:val="clear" w:fill="FFFFFF"/>
          <w:lang w:val="en-US" w:eastAsia="zh-CN"/>
        </w:rPr>
        <w:t>9个月</w:t>
      </w:r>
      <w:r>
        <w:rPr>
          <w:rFonts w:hint="eastAsia" w:ascii="微软雅黑" w:hAnsi="微软雅黑" w:eastAsia="微软雅黑" w:cs="微软雅黑"/>
          <w:i w:val="0"/>
          <w:iCs w:val="0"/>
          <w:caps w:val="0"/>
          <w:color w:val="4B4A48"/>
          <w:spacing w:val="0"/>
          <w:sz w:val="24"/>
          <w:szCs w:val="24"/>
          <w:shd w:val="clear" w:fill="FFFFFF"/>
          <w:lang w:eastAsia="zh-CN"/>
        </w:rPr>
        <w:t>）：</w:t>
      </w:r>
    </w:p>
    <w:p w14:paraId="2CD1354D">
      <w:pPr>
        <w:rPr>
          <w:rFonts w:hint="eastAsia" w:ascii="微软雅黑" w:hAnsi="微软雅黑" w:eastAsia="微软雅黑" w:cs="微软雅黑"/>
          <w:color w:val="44546A" w:themeColor="text2"/>
          <w:sz w:val="18"/>
          <w:szCs w:val="18"/>
          <w:lang w:val="en-US" w:eastAsia="zh-CN"/>
          <w14:textFill>
            <w14:solidFill>
              <w14:schemeClr w14:val="tx2"/>
            </w14:solidFill>
          </w14:textFill>
        </w:rPr>
      </w:pPr>
      <w:r>
        <w:rPr>
          <w:rFonts w:hint="eastAsia" w:ascii="微软雅黑" w:hAnsi="微软雅黑" w:eastAsia="微软雅黑" w:cs="微软雅黑"/>
          <w:color w:val="808080" w:themeColor="background1" w:themeShade="80"/>
          <w:sz w:val="18"/>
          <w:szCs w:val="18"/>
          <w:lang w:val="en-US" w:eastAsia="zh-CN"/>
        </w:rPr>
        <w:t>请根据股票评级给出</w:t>
      </w:r>
      <w:r>
        <w:rPr>
          <w:rFonts w:hint="eastAsia" w:ascii="微软雅黑" w:hAnsi="微软雅黑" w:eastAsia="微软雅黑" w:cs="微软雅黑"/>
          <w:color w:val="808080" w:themeColor="background1" w:themeShade="80"/>
          <w:sz w:val="18"/>
          <w:szCs w:val="18"/>
          <w:lang w:eastAsia="zh-CN"/>
        </w:rPr>
        <w:t>预期收益率，</w:t>
      </w:r>
      <w:r>
        <w:rPr>
          <w:rFonts w:hint="eastAsia" w:ascii="微软雅黑" w:hAnsi="微软雅黑" w:eastAsia="微软雅黑" w:cs="微软雅黑"/>
          <w:color w:val="808080" w:themeColor="background1" w:themeShade="80"/>
          <w:sz w:val="18"/>
          <w:szCs w:val="18"/>
          <w:lang w:val="en-US" w:eastAsia="zh-CN"/>
        </w:rPr>
        <w:t>给出的预期收益率不可低于评级范围的下限</w:t>
      </w:r>
    </w:p>
    <w:p w14:paraId="62A4B030">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强烈买入（50%以上）</w:t>
      </w:r>
    </w:p>
    <w:p w14:paraId="780EEA6A">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买入（10%</w:t>
      </w:r>
      <w:r>
        <w:rPr>
          <w:rFonts w:hint="eastAsia" w:ascii="微软雅黑" w:hAnsi="微软雅黑" w:eastAsia="微软雅黑" w:cs="微软雅黑"/>
          <w:color w:val="808080" w:themeColor="background1" w:themeShade="80"/>
          <w:sz w:val="18"/>
          <w:szCs w:val="18"/>
          <w:lang w:val="en-US" w:eastAsia="zh-CN"/>
        </w:rPr>
        <w:t>~50%</w:t>
      </w:r>
      <w:r>
        <w:rPr>
          <w:rFonts w:hint="eastAsia" w:ascii="微软雅黑" w:hAnsi="微软雅黑" w:eastAsia="微软雅黑" w:cs="微软雅黑"/>
          <w:color w:val="808080" w:themeColor="background1" w:themeShade="80"/>
          <w:sz w:val="18"/>
          <w:szCs w:val="18"/>
        </w:rPr>
        <w:t>）</w:t>
      </w:r>
    </w:p>
    <w:p w14:paraId="32F00FDF">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持有（</w:t>
      </w:r>
      <w:r>
        <w:rPr>
          <w:rFonts w:hint="eastAsia" w:ascii="微软雅黑" w:hAnsi="微软雅黑" w:eastAsia="微软雅黑" w:cs="微软雅黑"/>
          <w:color w:val="808080" w:themeColor="background1" w:themeShade="80"/>
          <w:sz w:val="18"/>
          <w:szCs w:val="18"/>
          <w:lang w:val="en-US" w:eastAsia="zh-CN"/>
        </w:rPr>
        <w:t>-</w:t>
      </w:r>
      <w:r>
        <w:rPr>
          <w:rFonts w:hint="eastAsia" w:ascii="微软雅黑" w:hAnsi="微软雅黑" w:eastAsia="微软雅黑" w:cs="微软雅黑"/>
          <w:color w:val="808080" w:themeColor="background1" w:themeShade="80"/>
          <w:sz w:val="18"/>
          <w:szCs w:val="18"/>
        </w:rPr>
        <w:t>10%</w:t>
      </w:r>
      <w:r>
        <w:rPr>
          <w:rFonts w:hint="eastAsia" w:ascii="微软雅黑" w:hAnsi="微软雅黑" w:eastAsia="微软雅黑" w:cs="微软雅黑"/>
          <w:color w:val="808080" w:themeColor="background1" w:themeShade="80"/>
          <w:sz w:val="18"/>
          <w:szCs w:val="18"/>
          <w:lang w:val="en-US" w:eastAsia="zh-CN"/>
        </w:rPr>
        <w:t>~</w:t>
      </w:r>
      <w:r>
        <w:rPr>
          <w:rFonts w:hint="eastAsia" w:ascii="微软雅黑" w:hAnsi="微软雅黑" w:eastAsia="微软雅黑" w:cs="微软雅黑"/>
          <w:color w:val="808080" w:themeColor="background1" w:themeShade="80"/>
          <w:sz w:val="18"/>
          <w:szCs w:val="18"/>
        </w:rPr>
        <w:t>10%）</w:t>
      </w:r>
    </w:p>
    <w:p w14:paraId="4B4BDB7B">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卖出（-</w:t>
      </w:r>
      <w:r>
        <w:rPr>
          <w:rFonts w:hint="eastAsia" w:ascii="微软雅黑" w:hAnsi="微软雅黑" w:eastAsia="微软雅黑" w:cs="微软雅黑"/>
          <w:color w:val="808080" w:themeColor="background1" w:themeShade="80"/>
          <w:sz w:val="18"/>
          <w:szCs w:val="18"/>
          <w:lang w:val="en-US" w:eastAsia="zh-CN"/>
        </w:rPr>
        <w:t>5</w:t>
      </w:r>
      <w:r>
        <w:rPr>
          <w:rFonts w:hint="eastAsia" w:ascii="微软雅黑" w:hAnsi="微软雅黑" w:eastAsia="微软雅黑" w:cs="微软雅黑"/>
          <w:color w:val="808080" w:themeColor="background1" w:themeShade="80"/>
          <w:sz w:val="18"/>
          <w:szCs w:val="18"/>
        </w:rPr>
        <w:t>0%</w:t>
      </w:r>
      <w:r>
        <w:rPr>
          <w:rFonts w:hint="eastAsia" w:ascii="微软雅黑" w:hAnsi="微软雅黑" w:eastAsia="微软雅黑" w:cs="微软雅黑"/>
          <w:color w:val="808080" w:themeColor="background1" w:themeShade="80"/>
          <w:sz w:val="18"/>
          <w:szCs w:val="18"/>
          <w:lang w:val="en-US" w:eastAsia="zh-CN"/>
        </w:rPr>
        <w:t>~-10%</w:t>
      </w:r>
      <w:r>
        <w:rPr>
          <w:rFonts w:hint="eastAsia" w:ascii="微软雅黑" w:hAnsi="微软雅黑" w:eastAsia="微软雅黑" w:cs="微软雅黑"/>
          <w:color w:val="808080" w:themeColor="background1" w:themeShade="80"/>
          <w:sz w:val="18"/>
          <w:szCs w:val="18"/>
        </w:rPr>
        <w:t>）</w:t>
      </w:r>
    </w:p>
    <w:p w14:paraId="49366263">
      <w:pPr>
        <w:numPr>
          <w:ilvl w:val="0"/>
          <w:numId w:val="1"/>
        </w:numPr>
        <w:ind w:left="420" w:leftChars="0" w:hanging="420" w:firstLineChars="0"/>
        <w:rPr>
          <w:rFonts w:hint="eastAsia" w:ascii="微软雅黑" w:hAnsi="微软雅黑" w:eastAsia="微软雅黑" w:cs="微软雅黑"/>
          <w:color w:val="808080" w:themeColor="background1" w:themeShade="80"/>
          <w:sz w:val="18"/>
          <w:szCs w:val="18"/>
          <w:lang w:eastAsia="zh-CN"/>
        </w:rPr>
      </w:pPr>
      <w:r>
        <w:rPr>
          <w:rFonts w:hint="eastAsia" w:ascii="微软雅黑" w:hAnsi="微软雅黑" w:eastAsia="微软雅黑" w:cs="微软雅黑"/>
          <w:color w:val="808080" w:themeColor="background1" w:themeShade="80"/>
          <w:sz w:val="18"/>
          <w:szCs w:val="18"/>
        </w:rPr>
        <w:t>强烈卖出</w:t>
      </w:r>
      <w:r>
        <w:rPr>
          <w:rFonts w:hint="eastAsia" w:ascii="微软雅黑" w:hAnsi="微软雅黑" w:eastAsia="微软雅黑" w:cs="微软雅黑"/>
          <w:color w:val="808080" w:themeColor="background1" w:themeShade="80"/>
          <w:sz w:val="18"/>
          <w:szCs w:val="18"/>
          <w:lang w:eastAsia="zh-CN"/>
        </w:rPr>
        <w:t>（</w:t>
      </w:r>
      <w:r>
        <w:rPr>
          <w:rFonts w:hint="eastAsia" w:ascii="微软雅黑" w:hAnsi="微软雅黑" w:eastAsia="微软雅黑" w:cs="微软雅黑"/>
          <w:color w:val="808080" w:themeColor="background1" w:themeShade="80"/>
          <w:sz w:val="18"/>
          <w:szCs w:val="18"/>
          <w:lang w:val="en-US" w:eastAsia="zh-CN"/>
        </w:rPr>
        <w:t>-50%以下</w:t>
      </w:r>
      <w:r>
        <w:rPr>
          <w:rFonts w:hint="eastAsia" w:ascii="微软雅黑" w:hAnsi="微软雅黑" w:eastAsia="微软雅黑" w:cs="微软雅黑"/>
          <w:color w:val="808080" w:themeColor="background1" w:themeShade="80"/>
          <w:sz w:val="18"/>
          <w:szCs w:val="18"/>
          <w:lang w:eastAsia="zh-CN"/>
        </w:rPr>
        <w:t>）</w:t>
      </w:r>
    </w:p>
    <w:p w14:paraId="7F42D26F">
      <w:pPr>
        <w:rPr>
          <w:rFonts w:hint="eastAsia" w:ascii="微软雅黑" w:hAnsi="微软雅黑" w:eastAsia="微软雅黑" w:cs="微软雅黑"/>
          <w:color w:val="808080" w:themeColor="background1" w:themeShade="80"/>
          <w:sz w:val="20"/>
          <w:szCs w:val="20"/>
        </w:rPr>
      </w:pPr>
    </w:p>
    <w:p w14:paraId="23B552B8">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ind w:left="0" w:right="0" w:firstLine="0"/>
        <w:rPr>
          <w:rFonts w:hint="eastAsia" w:ascii="微软雅黑" w:hAnsi="微软雅黑" w:eastAsia="微软雅黑" w:cs="微软雅黑"/>
          <w:i w:val="0"/>
          <w:iCs w:val="0"/>
          <w:caps w:val="0"/>
          <w:color w:val="4B4A48"/>
          <w:spacing w:val="0"/>
          <w:sz w:val="24"/>
          <w:szCs w:val="24"/>
          <w:shd w:val="clear" w:fill="FFFFFF"/>
        </w:rPr>
      </w:pPr>
      <w:r>
        <w:rPr>
          <w:rFonts w:hint="eastAsia" w:ascii="微软雅黑" w:hAnsi="微软雅黑" w:eastAsia="微软雅黑" w:cs="微软雅黑"/>
          <w:i w:val="0"/>
          <w:iCs w:val="0"/>
          <w:caps w:val="0"/>
          <w:color w:val="4B4A48"/>
          <w:spacing w:val="0"/>
          <w:sz w:val="24"/>
          <w:szCs w:val="24"/>
          <w:shd w:val="clear" w:fill="FFFFFF"/>
        </w:rPr>
        <w:t>重要声明</w:t>
      </w:r>
    </w:p>
    <w:p w14:paraId="206E1BFF">
      <w:pPr>
        <w:ind w:firstLine="360" w:firstLineChars="200"/>
        <w:rPr>
          <w:rFonts w:hint="eastAsia" w:ascii="微软雅黑" w:hAnsi="微软雅黑" w:eastAsia="微软雅黑" w:cs="微软雅黑"/>
          <w:color w:val="808080" w:themeColor="background1" w:themeShade="80"/>
          <w:sz w:val="18"/>
          <w:szCs w:val="18"/>
        </w:rPr>
      </w:pPr>
      <w:r>
        <w:rPr>
          <w:rFonts w:hint="eastAsia" w:ascii="微软雅黑" w:hAnsi="微软雅黑" w:eastAsia="微软雅黑" w:cs="微软雅黑"/>
          <w:color w:val="808080" w:themeColor="background1" w:themeShade="80"/>
          <w:sz w:val="18"/>
          <w:szCs w:val="18"/>
        </w:rPr>
        <w:t>本报告由博时基金管理有限公司（博时基金）编制。本报告中的信息来源于公开资料，公司对该等信息的准确性和完整性不作任何保证。报告中的信息、观点等仅供参考，在任何情况下不构成对任何人的投资建议，亦不构成我司的实际投资结果。取得本报告的机构或人员应对本报告中的信息和观点进行独立评估，自主审慎做出决策并自行承担风险。博时基金及/或其关联人员均不承担任何责任。本报告版权均归博时基金管理有限公司所有，且该报告为公司商业秘密，未经授权，任何机构或个人不得以任何形式复制、转发或公开传播本报告的全部或部分内容。</w:t>
      </w:r>
    </w:p>
    <w:p w14:paraId="367E1ACC">
      <w:pPr>
        <w:rPr>
          <w:rFonts w:ascii="微软雅黑" w:hAnsi="微软雅黑" w:eastAsia="微软雅黑" w:cs="微软雅黑"/>
          <w:b/>
          <w:bCs/>
          <w:i w:val="0"/>
          <w:iCs w:val="0"/>
          <w:caps w:val="0"/>
          <w:color w:val="606266"/>
          <w:spacing w:val="0"/>
          <w:sz w:val="21"/>
          <w:szCs w:val="21"/>
          <w:shd w:val="clear" w:fill="FFFFFF"/>
        </w:rPr>
      </w:pPr>
      <w:r>
        <w:rPr>
          <w:rFonts w:ascii="微软雅黑" w:hAnsi="微软雅黑" w:eastAsia="微软雅黑" w:cs="微软雅黑"/>
          <w:b/>
          <w:bCs/>
          <w:i w:val="0"/>
          <w:iCs w:val="0"/>
          <w:caps w:val="0"/>
          <w:color w:val="606266"/>
          <w:spacing w:val="0"/>
          <w:sz w:val="21"/>
          <w:szCs w:val="21"/>
          <w:shd w:val="clear" w:fill="FFFFFF"/>
        </w:rPr>
        <w:t>Disclaimer</w:t>
      </w:r>
    </w:p>
    <w:p w14:paraId="1E5BA716">
      <w:pPr>
        <w:ind w:firstLine="360" w:firstLineChars="200"/>
        <w:rPr>
          <w:rFonts w:hint="eastAsia" w:ascii="微软雅黑" w:hAnsi="微软雅黑" w:eastAsia="微软雅黑" w:cs="微软雅黑"/>
          <w:color w:val="808080" w:themeColor="background1" w:themeShade="80"/>
          <w:sz w:val="20"/>
          <w:szCs w:val="20"/>
        </w:rPr>
      </w:pPr>
      <w:r>
        <w:rPr>
          <w:rFonts w:hint="eastAsia" w:ascii="微软雅黑" w:hAnsi="微软雅黑" w:eastAsia="微软雅黑" w:cs="微软雅黑"/>
          <w:b w:val="0"/>
          <w:bCs w:val="0"/>
          <w:i w:val="0"/>
          <w:iCs w:val="0"/>
          <w:caps w:val="0"/>
          <w:color w:val="606266"/>
          <w:spacing w:val="0"/>
          <w:sz w:val="18"/>
          <w:szCs w:val="18"/>
          <w:shd w:val="clear" w:fill="FFFFFF"/>
        </w:rPr>
        <w:t>This report has been produced by Bosera Asset Management Co., Limited (“Bosera”). This report is based on information available to the public that we consider reliable, but Bosera do not represent that it is accurate or complete. The information and opinions contained herein are for reference only and are not an offer to buy or sell any securities/financial products or to participate in any particular trading strategy. Under no circumstances shall the information contained herein or the opinions expressed herein constitute a personal recommendation to anyone. Institution or person who obtained this report should make their own independent evaluation of the information contained in this report. Neither Bosera nor its related persons shall be liable in any manner whatsoever for any consequences of any reliance thereon or usage thereof. This report is distributed by Bosera Asset Management Co., Limited (“Bosera”). Any organization or individual may not copy, forward or publicly distribute all or part of this report in any form without authorisation.</w:t>
      </w:r>
    </w:p>
    <w:p w14:paraId="2C5BA1FB">
      <w:pPr>
        <w:ind w:firstLine="400" w:firstLineChars="200"/>
        <w:rPr>
          <w:rFonts w:hint="eastAsia" w:ascii="微软雅黑" w:hAnsi="微软雅黑" w:eastAsia="微软雅黑" w:cs="微软雅黑"/>
          <w:color w:val="808080" w:themeColor="background1" w:themeShade="80"/>
          <w:sz w:val="20"/>
          <w:szCs w:val="20"/>
        </w:rPr>
      </w:pPr>
    </w:p>
    <w:p w14:paraId="22AC6C72">
      <w:pPr>
        <w:ind w:firstLine="400" w:firstLineChars="200"/>
        <w:rPr>
          <w:rFonts w:hint="eastAsia" w:ascii="微软雅黑" w:hAnsi="微软雅黑" w:eastAsia="微软雅黑" w:cs="微软雅黑"/>
          <w:color w:val="808080" w:themeColor="background1" w:themeShade="80"/>
          <w:sz w:val="20"/>
          <w:szCs w:val="20"/>
        </w:rPr>
      </w:pPr>
    </w:p>
    <w:p w14:paraId="375EBBD0">
      <w:pPr>
        <w:ind w:firstLine="400" w:firstLineChars="200"/>
        <w:rPr>
          <w:rFonts w:hint="eastAsia" w:ascii="微软雅黑" w:hAnsi="微软雅黑" w:eastAsia="微软雅黑" w:cs="微软雅黑"/>
          <w:color w:val="808080" w:themeColor="background1" w:themeShade="80"/>
          <w:sz w:val="20"/>
          <w:szCs w:val="20"/>
        </w:rPr>
      </w:pPr>
    </w:p>
    <w:p w14:paraId="1EBC4ABF">
      <w:pPr>
        <w:ind w:firstLine="400" w:firstLineChars="200"/>
        <w:rPr>
          <w:rFonts w:hint="eastAsia" w:ascii="微软雅黑" w:hAnsi="微软雅黑" w:eastAsia="微软雅黑" w:cs="微软雅黑"/>
          <w:color w:val="808080" w:themeColor="background1" w:themeShade="80"/>
          <w:sz w:val="20"/>
          <w:szCs w:val="20"/>
        </w:rPr>
      </w:pPr>
    </w:p>
    <w:p w14:paraId="50E5BFF2">
      <w:pPr>
        <w:ind w:firstLine="400" w:firstLineChars="200"/>
        <w:rPr>
          <w:rFonts w:hint="eastAsia" w:ascii="微软雅黑" w:hAnsi="微软雅黑" w:eastAsia="微软雅黑" w:cs="微软雅黑"/>
          <w:color w:val="808080" w:themeColor="background1" w:themeShade="80"/>
          <w:sz w:val="20"/>
          <w:szCs w:val="20"/>
        </w:rPr>
      </w:pPr>
    </w:p>
    <w:p w14:paraId="40951D94">
      <w:pPr>
        <w:ind w:firstLine="400" w:firstLineChars="200"/>
        <w:rPr>
          <w:rFonts w:hint="eastAsia" w:ascii="微软雅黑" w:hAnsi="微软雅黑" w:eastAsia="微软雅黑" w:cs="微软雅黑"/>
          <w:color w:val="808080" w:themeColor="background1" w:themeShade="80"/>
          <w:sz w:val="20"/>
          <w:szCs w:val="20"/>
        </w:rPr>
      </w:pPr>
    </w:p>
    <w:p w14:paraId="0B406201">
      <w:pPr>
        <w:ind w:firstLine="400" w:firstLineChars="200"/>
        <w:rPr>
          <w:rFonts w:hint="eastAsia" w:ascii="微软雅黑" w:hAnsi="微软雅黑" w:eastAsia="微软雅黑" w:cs="微软雅黑"/>
          <w:color w:val="808080" w:themeColor="background1" w:themeShade="80"/>
          <w:sz w:val="20"/>
          <w:szCs w:val="20"/>
        </w:rPr>
      </w:pPr>
    </w:p>
    <w:p w14:paraId="199A5A08">
      <w:pPr>
        <w:ind w:firstLine="400" w:firstLineChars="200"/>
        <w:rPr>
          <w:rFonts w:hint="eastAsia" w:ascii="微软雅黑" w:hAnsi="微软雅黑" w:eastAsia="微软雅黑" w:cs="微软雅黑"/>
          <w:color w:val="808080" w:themeColor="background1" w:themeShade="80"/>
          <w:sz w:val="20"/>
          <w:szCs w:val="20"/>
        </w:rPr>
      </w:pPr>
    </w:p>
    <w:p w14:paraId="3EAE6CFA">
      <w:pPr>
        <w:ind w:firstLine="400" w:firstLineChars="200"/>
        <w:rPr>
          <w:rFonts w:hint="eastAsia" w:ascii="微软雅黑" w:hAnsi="微软雅黑" w:eastAsia="微软雅黑" w:cs="微软雅黑"/>
          <w:color w:val="808080" w:themeColor="background1" w:themeShade="80"/>
          <w:sz w:val="20"/>
          <w:szCs w:val="20"/>
        </w:rPr>
      </w:pPr>
    </w:p>
    <w:p w14:paraId="76C97CA3"/>
    <w:sectPr>
      <w:pgSz w:w="11906" w:h="16838"/>
      <w:pgMar w:top="1440" w:right="1800" w:bottom="1440" w:left="1800" w:header="851" w:footer="992" w:gutter="0"/>
      <w:pgBorders w:offsetFrom="page">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Unicode MS">
    <w:altName w:val="宋体"/>
    <w:panose1 w:val="020B0604020202020204"/>
    <w:charset w:val="86"/>
    <w:family w:val="auto"/>
    <w:pitch w:val="default"/>
    <w:sig w:usb0="00000000" w:usb1="00000000" w:usb2="0000003F" w:usb3="00000000" w:csb0="603F01FF" w:csb1="FFFF0000"/>
  </w:font>
  <w:font w:name="微软雅黑">
    <w:panose1 w:val="020B0503020204020204"/>
    <w:charset w:val="86"/>
    <w:family w:val="auto"/>
    <w:pitch w:val="default"/>
    <w:sig w:usb0="80000287" w:usb1="2ACF3C50" w:usb2="00000016" w:usb3="00000000" w:csb0="0004001F" w:csb1="00000000"/>
  </w:font>
  <w:font w:name="PMingLiU">
    <w:altName w:val="PMingLiU-ExtB"/>
    <w:panose1 w:val="02020500000000000000"/>
    <w:charset w:val="88"/>
    <w:family w:val="auto"/>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CBBA48">
    <w:pPr>
      <w:pStyle w:val="4"/>
      <w:rPr>
        <w:rFonts w:hint="eastAsia" w:ascii="黑体" w:hAnsi="黑体" w:eastAsia="黑体"/>
        <w:color w:val="FF0000"/>
        <w:sz w:val="15"/>
        <w:szCs w:val="15"/>
      </w:rPr>
    </w:pPr>
  </w:p>
  <w:p w14:paraId="43F25F8B">
    <w:pPr>
      <w:pStyle w:val="4"/>
    </w:pPr>
    <w:r>
      <w:rPr>
        <w:rFonts w:hint="default" w:ascii="黑体" w:hAnsi="黑体" w:eastAsia="黑体"/>
        <w:color w:val="FF0000"/>
        <w:sz w:val="13"/>
        <w:szCs w:val="13"/>
        <w:lang w:val="en-US" w:eastAsia="zh-CN"/>
      </w:rPr>
      <w:t>博时基金内部</w:t>
    </w:r>
  </w:p>
  <w:p w14:paraId="667149A4">
    <w:pPr>
      <w:pStyle w:val="4"/>
    </w:pPr>
    <w:r>
      <w:rPr>
        <w:rFonts w:hint="eastAsia" w:ascii="黑体" w:hAnsi="黑体" w:eastAsia="黑体"/>
        <w:color w:val="FF0000"/>
        <w:sz w:val="13"/>
        <w:szCs w:val="13"/>
        <w:lang w:eastAsia="zh-CN"/>
      </w:rPr>
      <w:t>内部资料，严禁以任何形式外发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D3BAC5"/>
    <w:multiLevelType w:val="singleLevel"/>
    <w:tmpl w:val="4AD3BAC5"/>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39E6DCC"/>
    <w:rsid w:val="042B546D"/>
    <w:rsid w:val="0C630610"/>
    <w:rsid w:val="10054457"/>
    <w:rsid w:val="11D91E11"/>
    <w:rsid w:val="15CB025E"/>
    <w:rsid w:val="16E4330B"/>
    <w:rsid w:val="17AB7891"/>
    <w:rsid w:val="1849118F"/>
    <w:rsid w:val="185A3823"/>
    <w:rsid w:val="19F608D3"/>
    <w:rsid w:val="1A2E74A7"/>
    <w:rsid w:val="1A980DEB"/>
    <w:rsid w:val="1AA06D71"/>
    <w:rsid w:val="1B9A7D02"/>
    <w:rsid w:val="1DAC29C4"/>
    <w:rsid w:val="1E1D08CD"/>
    <w:rsid w:val="1F2917BE"/>
    <w:rsid w:val="1F900288"/>
    <w:rsid w:val="20E4496A"/>
    <w:rsid w:val="22644917"/>
    <w:rsid w:val="229E3895"/>
    <w:rsid w:val="240D37EF"/>
    <w:rsid w:val="25257879"/>
    <w:rsid w:val="267D2CF3"/>
    <w:rsid w:val="2B841891"/>
    <w:rsid w:val="2EAF61D1"/>
    <w:rsid w:val="2EB246E5"/>
    <w:rsid w:val="312B436A"/>
    <w:rsid w:val="3256265D"/>
    <w:rsid w:val="33146A1F"/>
    <w:rsid w:val="35933BA3"/>
    <w:rsid w:val="3BE12CF0"/>
    <w:rsid w:val="3EBB6D81"/>
    <w:rsid w:val="3FFE708C"/>
    <w:rsid w:val="4403255B"/>
    <w:rsid w:val="440A0DFD"/>
    <w:rsid w:val="481028EF"/>
    <w:rsid w:val="48444E3E"/>
    <w:rsid w:val="4C07329C"/>
    <w:rsid w:val="4DCE0537"/>
    <w:rsid w:val="4F0A49F1"/>
    <w:rsid w:val="517107F5"/>
    <w:rsid w:val="542E5ED7"/>
    <w:rsid w:val="544B1D99"/>
    <w:rsid w:val="561828FD"/>
    <w:rsid w:val="5ACF37ED"/>
    <w:rsid w:val="5CB0049F"/>
    <w:rsid w:val="5DE26666"/>
    <w:rsid w:val="5F28ADE4"/>
    <w:rsid w:val="600A0FE7"/>
    <w:rsid w:val="609472C8"/>
    <w:rsid w:val="60EE2C3D"/>
    <w:rsid w:val="62A9767F"/>
    <w:rsid w:val="65915055"/>
    <w:rsid w:val="6AF55AB3"/>
    <w:rsid w:val="6B874DA8"/>
    <w:rsid w:val="6D2300B2"/>
    <w:rsid w:val="6DD57BDE"/>
    <w:rsid w:val="6DFFC0FE"/>
    <w:rsid w:val="6E090BD8"/>
    <w:rsid w:val="6FF63393"/>
    <w:rsid w:val="702D2468"/>
    <w:rsid w:val="73D4378B"/>
    <w:rsid w:val="755810B1"/>
    <w:rsid w:val="75722D85"/>
    <w:rsid w:val="75D24577"/>
    <w:rsid w:val="761E54F1"/>
    <w:rsid w:val="762F6FCD"/>
    <w:rsid w:val="77BFB76E"/>
    <w:rsid w:val="7990566B"/>
    <w:rsid w:val="7AE01111"/>
    <w:rsid w:val="7B514346"/>
    <w:rsid w:val="7D143A7A"/>
    <w:rsid w:val="7D596445"/>
    <w:rsid w:val="7D6E3139"/>
    <w:rsid w:val="BC5F93B1"/>
    <w:rsid w:val="DFDDCE82"/>
    <w:rsid w:val="EBBDCB6F"/>
    <w:rsid w:val="F99F24B2"/>
    <w:rsid w:val="FBBF0D8D"/>
    <w:rsid w:val="FC65AF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8">
    <w:name w:val="样式1"/>
    <w:basedOn w:val="1"/>
    <w:link w:val="9"/>
    <w:qFormat/>
    <w:uiPriority w:val="0"/>
    <w:rPr>
      <w:rFonts w:eastAsia="Arial Unicode MS" w:asciiTheme="minorAscii" w:hAnsiTheme="minorAscii"/>
      <w:sz w:val="15"/>
    </w:rPr>
  </w:style>
  <w:style w:type="character" w:customStyle="1" w:styleId="9">
    <w:name w:val="样式1 Char"/>
    <w:link w:val="8"/>
    <w:qFormat/>
    <w:uiPriority w:val="0"/>
    <w:rPr>
      <w:rFonts w:eastAsia="Arial Unicode MS" w:asciiTheme="minorAscii" w:hAnsiTheme="minorAscii"/>
      <w:sz w:val="15"/>
    </w:rPr>
  </w:style>
  <w:style w:type="paragraph" w:customStyle="1" w:styleId="10">
    <w:name w:val="样式2"/>
    <w:basedOn w:val="1"/>
    <w:link w:val="11"/>
    <w:qFormat/>
    <w:uiPriority w:val="0"/>
    <w:rPr>
      <w:rFonts w:eastAsia="Arial Unicode MS" w:asciiTheme="minorAscii" w:hAnsiTheme="minorAscii"/>
      <w:sz w:val="15"/>
    </w:rPr>
  </w:style>
  <w:style w:type="character" w:customStyle="1" w:styleId="11">
    <w:name w:val="样式2 Char"/>
    <w:link w:val="10"/>
    <w:qFormat/>
    <w:uiPriority w:val="0"/>
    <w:rPr>
      <w:rFonts w:eastAsia="Arial Unicode MS" w:asciiTheme="minorAscii" w:hAnsiTheme="minorAscii"/>
      <w:sz w:val="15"/>
    </w:rPr>
  </w:style>
  <w:style w:type="paragraph" w:customStyle="1" w:styleId="12">
    <w:name w:val="样式3"/>
    <w:basedOn w:val="1"/>
    <w:link w:val="13"/>
    <w:qFormat/>
    <w:uiPriority w:val="0"/>
    <w:rPr>
      <w:rFonts w:eastAsia="Arial Unicode MS" w:asciiTheme="minorAscii" w:hAnsiTheme="minorAscii"/>
      <w:sz w:val="15"/>
    </w:rPr>
  </w:style>
  <w:style w:type="character" w:customStyle="1" w:styleId="13">
    <w:name w:val="样式3 Char"/>
    <w:link w:val="12"/>
    <w:qFormat/>
    <w:uiPriority w:val="0"/>
    <w:rPr>
      <w:rFonts w:eastAsia="Arial Unicode MS" w:asciiTheme="minorAscii" w:hAnsiTheme="minorAscii"/>
      <w:sz w:val="15"/>
    </w:rPr>
  </w:style>
  <w:style w:type="paragraph" w:customStyle="1" w:styleId="14">
    <w:name w:val="样式4"/>
    <w:basedOn w:val="1"/>
    <w:link w:val="15"/>
    <w:qFormat/>
    <w:uiPriority w:val="0"/>
    <w:rPr>
      <w:rFonts w:eastAsia="Arial Unicode MS" w:asciiTheme="minorAscii" w:hAnsiTheme="minorAscii"/>
      <w:sz w:val="13"/>
    </w:rPr>
  </w:style>
  <w:style w:type="character" w:customStyle="1" w:styleId="15">
    <w:name w:val="样式4 Char"/>
    <w:link w:val="14"/>
    <w:qFormat/>
    <w:uiPriority w:val="0"/>
    <w:rPr>
      <w:rFonts w:eastAsia="Arial Unicode MS" w:asciiTheme="minorAscii" w:hAnsiTheme="minorAscii"/>
      <w:sz w:val="13"/>
    </w:rPr>
  </w:style>
  <w:style w:type="paragraph" w:customStyle="1" w:styleId="16">
    <w:name w:val="样式5"/>
    <w:basedOn w:val="1"/>
    <w:link w:val="17"/>
    <w:qFormat/>
    <w:uiPriority w:val="0"/>
    <w:rPr>
      <w:rFonts w:eastAsia="Arial Unicode MS" w:asciiTheme="minorAscii" w:hAnsiTheme="minorAscii"/>
      <w:sz w:val="15"/>
    </w:rPr>
  </w:style>
  <w:style w:type="character" w:customStyle="1" w:styleId="17">
    <w:name w:val="样式5 Char"/>
    <w:link w:val="16"/>
    <w:qFormat/>
    <w:uiPriority w:val="0"/>
    <w:rPr>
      <w:rFonts w:eastAsia="Arial Unicode MS" w:asciiTheme="minorAscii" w:hAnsiTheme="minorAscii"/>
      <w:sz w:val="15"/>
    </w:rPr>
  </w:style>
  <w:style w:type="paragraph" w:customStyle="1" w:styleId="18">
    <w:name w:val="样式6"/>
    <w:basedOn w:val="1"/>
    <w:link w:val="19"/>
    <w:qFormat/>
    <w:uiPriority w:val="0"/>
    <w:rPr>
      <w:rFonts w:eastAsia="Arial Unicode MS" w:asciiTheme="minorAscii" w:hAnsiTheme="minorAscii"/>
      <w:sz w:val="15"/>
    </w:rPr>
  </w:style>
  <w:style w:type="character" w:customStyle="1" w:styleId="19">
    <w:name w:val="样式6 Char"/>
    <w:link w:val="18"/>
    <w:qFormat/>
    <w:uiPriority w:val="0"/>
    <w:rPr>
      <w:rFonts w:eastAsia="Arial Unicode MS" w:asciiTheme="minorAscii" w:hAnsiTheme="minorAscii"/>
      <w:sz w:val="15"/>
    </w:rPr>
  </w:style>
</w:style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c29291ec-e9dc-4608-a903-d1366562d724}"/>
        <w:style w:val=""/>
        <w:category>
          <w:name w:val="常规"/>
          <w:gallery w:val="placeholder"/>
        </w:category>
        <w:types>
          <w:type w:val="bbPlcHdr"/>
        </w:types>
        <w:behaviors>
          <w:behavior w:val="content"/>
        </w:behaviors>
        <w:description w:val=""/>
        <w:guid w:val="{c29291ec-e9dc-4608-a903-d1366562d724}"/>
      </w:docPartPr>
      <w:docPartBody>
        <w:p w14:paraId="51E57562">
          <w:r>
            <w:rPr>
              <w:color w:val="808080"/>
            </w:rPr>
            <w:t>选择一项。</w:t>
          </w:r>
        </w:p>
      </w:docPartBody>
    </w:docPart>
    <w:docPart>
      <w:docPartPr>
        <w:name w:val="{0daf061f-d72c-4e6a-bb21-74e9fcd2540c}"/>
        <w:style w:val=""/>
        <w:category>
          <w:name w:val="常规"/>
          <w:gallery w:val="placeholder"/>
        </w:category>
        <w:types>
          <w:type w:val="bbPlcHdr"/>
        </w:types>
        <w:behaviors>
          <w:behavior w:val="content"/>
        </w:behaviors>
        <w:description w:val=""/>
        <w:guid w:val="{0daf061f-d72c-4e6a-bb21-74e9fcd2540c}"/>
      </w:docPartPr>
      <w:docPartBody>
        <w:p w14:paraId="75C9E3F5">
          <w:r>
            <w:rPr>
              <w:color w:val="808080"/>
            </w:rPr>
            <w:t>单击此处输入文字。</w:t>
          </w:r>
        </w:p>
      </w:docPartBody>
    </w:docPart>
    <w:docPart>
      <w:docPartPr>
        <w:name w:val="{df61b350-aee6-47bd-944d-08e6078126c1}"/>
        <w:style w:val=""/>
        <w:category>
          <w:name w:val="常规"/>
          <w:gallery w:val="placeholder"/>
        </w:category>
        <w:types>
          <w:type w:val="bbPlcHdr"/>
        </w:types>
        <w:behaviors>
          <w:behavior w:val="content"/>
        </w:behaviors>
        <w:description w:val=""/>
        <w:guid w:val="{df61b350-aee6-47bd-944d-08e6078126c1}"/>
      </w:docPartPr>
      <w:docPartBody>
        <w:p w14:paraId="16C0C1F4">
          <w:r>
            <w:rPr>
              <w:color w:val="808080"/>
            </w:rPr>
            <w:t>单击此处输入日期。</w:t>
          </w:r>
        </w:p>
      </w:docPartBody>
    </w:docPart>
    <w:docPart>
      <w:docPartPr>
        <w:name w:val="{02a91e4c-c88b-425f-b53c-17349660d8d2}"/>
        <w:style w:val=""/>
        <w:category>
          <w:name w:val="常规"/>
          <w:gallery w:val="placeholder"/>
        </w:category>
        <w:types>
          <w:type w:val="bbPlcHdr"/>
        </w:types>
        <w:behaviors>
          <w:behavior w:val="content"/>
        </w:behaviors>
        <w:description w:val=""/>
        <w:guid w:val="{02a91e4c-c88b-425f-b53c-17349660d8d2}"/>
      </w:docPartPr>
      <w:docPartBody>
        <w:p w14:paraId="669A7B3D">
          <w:r>
            <w:rPr>
              <w:color w:val="808080"/>
            </w:rPr>
            <w:t>选择一项。</w:t>
          </w:r>
        </w:p>
      </w:docPartBody>
    </w:docPart>
    <w:docPart>
      <w:docPartPr>
        <w:name w:val="{54f684b5-99ba-4458-9b63-c98da7f6cfa6}"/>
        <w:style w:val=""/>
        <w:category>
          <w:name w:val="常规"/>
          <w:gallery w:val="placeholder"/>
        </w:category>
        <w:types>
          <w:type w:val="bbPlcHdr"/>
        </w:types>
        <w:behaviors>
          <w:behavior w:val="content"/>
        </w:behaviors>
        <w:description w:val=""/>
        <w:guid w:val="{54f684b5-99ba-4458-9b63-c98da7f6cfa6}"/>
      </w:docPartPr>
      <w:docPartBody>
        <w:p w14:paraId="16814FDE">
          <w:r>
            <w:rPr>
              <w:color w:val="808080"/>
            </w:rPr>
            <w:t>选择一项。</w:t>
          </w:r>
        </w:p>
      </w:docPartBody>
    </w:docPart>
    <w:docPart>
      <w:docPartPr>
        <w:name w:val="{5b90eca8-60e1-46ed-8f03-92f9c27e6e40}"/>
        <w:style w:val=""/>
        <w:category>
          <w:name w:val="常规"/>
          <w:gallery w:val="placeholder"/>
        </w:category>
        <w:types>
          <w:type w:val="bbPlcHdr"/>
        </w:types>
        <w:behaviors>
          <w:behavior w:val="content"/>
        </w:behaviors>
        <w:description w:val=""/>
        <w:guid w:val="{5b90eca8-60e1-46ed-8f03-92f9c27e6e40}"/>
      </w:docPartPr>
      <w:docPartBody>
        <w:p w14:paraId="0BBB2603"/>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1254</Words>
  <Characters>2312</Characters>
  <Lines>0</Lines>
  <Paragraphs>0</Paragraphs>
  <TotalTime>24</TotalTime>
  <ScaleCrop>false</ScaleCrop>
  <LinksUpToDate>false</LinksUpToDate>
  <CharactersWithSpaces>2571</CharactersWithSpaces>
  <Application>WPS Office_12.8.2.18205_F1E327BC-269C-435d-A152-05C5408002CA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2022-03-03T10:04:00Z</dcterms:created>
  <dc:creator>wanli</dc:creator>
  <cp:lastModifiedBy>shans739</cp:lastModifiedBy>
  <dcterms:modified xsi:type="dcterms:W3CDTF">2026-06-29T01:46:25Z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2052-12.8.2.18205</vt:lpwstr>
  </property>
  <property fmtid="{D5CDD505-2E9C-101B-9397-08002B2CF9AE}" pid="3" name="ICV">
    <vt:lpwstr>169A89A17C3441CCAAF764253CCD8B00_13</vt:lpwstr>
  </property>
  <property fmtid="{D5CDD505-2E9C-101B-9397-08002B2CF9AE}" pid="4" name="username">
    <vt:lpwstr>bsjj</vt:lpwstr>
  </property>
</Properties>
</file>