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8335" w:type="dxa"/>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3"/>
        <w:gridCol w:w="943"/>
        <w:gridCol w:w="932"/>
        <w:gridCol w:w="1179"/>
        <w:gridCol w:w="900"/>
        <w:gridCol w:w="1254"/>
        <w:gridCol w:w="1232"/>
        <w:gridCol w:w="842"/>
      </w:tblGrid>
      <w:tr w14:paraId="7DCB1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6" w:hRule="atLeast"/>
        </w:trPr>
        <w:tc>
          <w:tcPr>
            <w:tcW w:w="1996" w:type="dxa"/>
            <w:gridSpan w:val="2"/>
            <w:tcBorders>
              <w:top w:val="single" w:color="000000" w:sz="4" w:space="0"/>
              <w:left w:val="single" w:color="000000" w:sz="4" w:space="0"/>
              <w:bottom w:val="single" w:color="000000" w:sz="4" w:space="0"/>
              <w:right w:val="nil"/>
            </w:tcBorders>
            <w:shd w:val="clear" w:color="auto" w:fill="FFFFFF" w:themeFill="background1"/>
            <w:noWrap/>
            <w:vAlign w:val="center"/>
          </w:tcPr>
          <w:p w14:paraId="565C9F77">
            <w:pPr>
              <w:jc w:val="left"/>
              <w:rPr>
                <w:rFonts w:hint="eastAsia" w:ascii="微软雅黑" w:hAnsi="微软雅黑" w:eastAsia="微软雅黑" w:cs="微软雅黑"/>
                <w:b/>
                <w:bCs/>
                <w:i w:val="0"/>
                <w:iCs w:val="0"/>
                <w:color w:val="000000"/>
                <w:sz w:val="18"/>
                <w:szCs w:val="18"/>
                <w:u w:val="none"/>
                <w:lang w:val="en-US" w:eastAsia="zh-CN"/>
              </w:rPr>
            </w:pPr>
            <w:bookmarkStart w:id="0" w:name="股票名称" w:colFirst="1" w:colLast="1"/>
            <w:bookmarkStart w:id="1" w:name="行业名称" w:colFirst="2" w:colLast="2"/>
            <w:bookmarkStart w:id="2" w:name="报告名称" w:colFirst="0" w:colLast="0"/>
            <w:sdt>
              <w:sdtPr>
                <w:rPr>
                  <w:rFonts w:hint="eastAsia" w:ascii="微软雅黑" w:hAnsi="微软雅黑" w:eastAsia="微软雅黑" w:cs="微软雅黑"/>
                  <w:b w:val="0"/>
                  <w:bCs w:val="0"/>
                  <w:i w:val="0"/>
                  <w:iCs w:val="0"/>
                  <w:color w:val="000000"/>
                  <w:kern w:val="2"/>
                  <w:sz w:val="18"/>
                  <w:szCs w:val="18"/>
                  <w:u w:val="none"/>
                  <w:lang w:val="en-US" w:eastAsia="zh-TW" w:bidi="ar-SA"/>
                </w:rPr>
                <w:id w:val="147482084"/>
                <w:lock w:val="sdtContentLocked"/>
                <w:placeholder>
                  <w:docPart w:val="{0daf061f-d72c-4e6a-bb21-74e9fcd2540c}"/>
                </w:placeholder>
              </w:sdtPr>
              <w:sdtEndPr>
                <w:rPr>
                  <w:rFonts w:hint="eastAsia" w:ascii="微软雅黑" w:hAnsi="微软雅黑" w:eastAsia="微软雅黑" w:cs="微软雅黑"/>
                  <w:b w:val="0"/>
                  <w:bCs w:val="0"/>
                  <w:i w:val="0"/>
                  <w:iCs w:val="0"/>
                  <w:color w:val="000000"/>
                  <w:kern w:val="2"/>
                  <w:sz w:val="18"/>
                  <w:szCs w:val="18"/>
                  <w:u w:val="none"/>
                  <w:lang w:val="en-US" w:eastAsia="zh-TW" w:bidi="ar-SA"/>
                </w:rPr>
              </w:sdtEndPr>
              <w:sdtContent>
                <w:r>
                  <w:rPr>
                    <w:rFonts w:hint="eastAsia" w:ascii="微软雅黑" w:hAnsi="微软雅黑" w:eastAsia="微软雅黑" w:cs="微软雅黑"/>
                    <w:b/>
                    <w:bCs/>
                    <w:i w:val="0"/>
                    <w:iCs w:val="0"/>
                    <w:color w:val="000000"/>
                    <w:sz w:val="18"/>
                    <w:szCs w:val="18"/>
                    <w:u w:val="none"/>
                    <w:lang w:val="en-US" w:eastAsia="zh-CN"/>
                  </w:rPr>
                  <w:t>评级报告</w:t>
                </w:r>
              </w:sdtContent>
            </w:sdt>
            <w:r>
              <w:rPr>
                <w:rFonts w:hint="eastAsia" w:ascii="微软雅黑" w:hAnsi="微软雅黑" w:eastAsia="微软雅黑" w:cs="微软雅黑"/>
                <w:b/>
                <w:bCs/>
                <w:i w:val="0"/>
                <w:iCs w:val="0"/>
                <w:color w:val="000000"/>
                <w:sz w:val="18"/>
                <w:szCs w:val="18"/>
                <w:u w:val="none"/>
                <w:lang w:val="en-US" w:eastAsia="zh-CN"/>
              </w:rPr>
              <w:t xml:space="preserve">                                                            </w:t>
            </w:r>
          </w:p>
        </w:tc>
        <w:tc>
          <w:tcPr>
            <w:tcW w:w="2111" w:type="dxa"/>
            <w:gridSpan w:val="2"/>
            <w:tcBorders>
              <w:top w:val="single" w:color="000000" w:sz="4" w:space="0"/>
              <w:left w:val="nil"/>
              <w:bottom w:val="single" w:color="000000" w:sz="4" w:space="0"/>
              <w:right w:val="nil"/>
            </w:tcBorders>
            <w:shd w:val="clear" w:color="auto" w:fill="FFFFFF" w:themeFill="background1"/>
            <w:noWrap/>
            <w:vAlign w:val="center"/>
          </w:tcPr>
          <w:p w14:paraId="642D6B5B">
            <w:pPr>
              <w:jc w:val="center"/>
              <w:rPr>
                <w:rFonts w:hint="eastAsia" w:ascii="微软雅黑" w:hAnsi="微软雅黑" w:eastAsia="微软雅黑" w:cs="微软雅黑"/>
                <w:b w:val="0"/>
                <w:bCs w:val="0"/>
                <w:i w:val="0"/>
                <w:iCs w:val="0"/>
                <w:color w:val="000000"/>
                <w:sz w:val="18"/>
                <w:szCs w:val="18"/>
                <w:u w:val="none"/>
                <w:lang w:val="en-US" w:eastAsia="zh-TW"/>
              </w:rPr>
            </w:pPr>
          </w:p>
        </w:tc>
        <w:tc>
          <w:tcPr>
            <w:tcW w:w="2154" w:type="dxa"/>
            <w:gridSpan w:val="2"/>
            <w:tcBorders>
              <w:top w:val="single" w:color="000000" w:sz="4" w:space="0"/>
              <w:left w:val="nil"/>
              <w:bottom w:val="single" w:color="000000" w:sz="4" w:space="0"/>
              <w:right w:val="nil"/>
            </w:tcBorders>
            <w:shd w:val="clear" w:color="auto" w:fill="FFFFFF" w:themeFill="background1"/>
            <w:noWrap/>
            <w:vAlign w:val="center"/>
          </w:tcPr>
          <w:p w14:paraId="66F9BA31">
            <w:pPr>
              <w:jc w:val="center"/>
              <w:rPr>
                <w:rFonts w:hint="eastAsia" w:ascii="微软雅黑" w:hAnsi="微软雅黑" w:eastAsia="微软雅黑" w:cs="微软雅黑"/>
                <w:b w:val="0"/>
                <w:bCs w:val="0"/>
                <w:i w:val="0"/>
                <w:iCs w:val="0"/>
                <w:color w:val="000000"/>
                <w:sz w:val="18"/>
                <w:szCs w:val="18"/>
                <w:u w:val="none"/>
                <w:lang w:val="en-US" w:eastAsia="zh-TW"/>
              </w:rPr>
            </w:pPr>
          </w:p>
        </w:tc>
        <w:tc>
          <w:tcPr>
            <w:tcW w:w="2074" w:type="dxa"/>
            <w:gridSpan w:val="2"/>
            <w:tcBorders>
              <w:top w:val="single" w:color="000000" w:sz="4" w:space="0"/>
              <w:left w:val="nil"/>
              <w:bottom w:val="single" w:color="000000" w:sz="4" w:space="0"/>
              <w:right w:val="single" w:color="000000" w:sz="4" w:space="0"/>
            </w:tcBorders>
            <w:shd w:val="clear" w:color="auto" w:fill="FFFFFF" w:themeFill="background1"/>
            <w:noWrap/>
            <w:vAlign w:val="center"/>
          </w:tcPr>
          <w:p w14:paraId="248EA507">
            <w:pPr>
              <w:jc w:val="center"/>
              <w:rPr>
                <w:rFonts w:hint="eastAsia" w:ascii="Arial Unicode MS" w:hAnsi="Arial Unicode MS" w:eastAsia="Arial Unicode MS" w:cs="Arial Unicode MS"/>
                <w:b/>
                <w:bCs/>
                <w:i w:val="0"/>
                <w:iCs w:val="0"/>
                <w:color w:val="000000"/>
                <w:sz w:val="15"/>
                <w:szCs w:val="15"/>
                <w:u w:val="none"/>
                <w:lang w:val="en-US" w:eastAsia="zh-CN"/>
              </w:rPr>
            </w:pPr>
            <w:r>
              <w:rPr>
                <w:rFonts w:ascii="微软雅黑" w:hAnsi="微软雅黑" w:eastAsia="微软雅黑" w:cs="微软雅黑"/>
                <w:sz w:val="15"/>
                <w:szCs w:val="15"/>
              </w:rPr>
              <w:drawing>
                <wp:inline distT="0" distB="0" distL="114300" distR="114300">
                  <wp:extent cx="880745" cy="379730"/>
                  <wp:effectExtent l="0" t="0" r="14605" b="1270"/>
                  <wp:docPr id="2" name="图片 1" descr="Bos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Bosera.png"/>
                          <pic:cNvPicPr>
                            <a:picLocks noChangeAspect="1"/>
                          </pic:cNvPicPr>
                        </pic:nvPicPr>
                        <pic:blipFill>
                          <a:blip r:embed="rId5" cstate="print"/>
                          <a:stretch>
                            <a:fillRect/>
                          </a:stretch>
                        </pic:blipFill>
                        <pic:spPr>
                          <a:xfrm>
                            <a:off x="0" y="0"/>
                            <a:ext cx="880745" cy="379730"/>
                          </a:xfrm>
                          <a:prstGeom prst="rect">
                            <a:avLst/>
                          </a:prstGeom>
                        </pic:spPr>
                      </pic:pic>
                    </a:graphicData>
                  </a:graphic>
                </wp:inline>
              </w:drawing>
            </w:r>
          </w:p>
        </w:tc>
      </w:tr>
      <w:bookmarkEnd w:id="0"/>
      <w:bookmarkEnd w:id="1"/>
      <w:bookmarkEnd w:id="2"/>
      <w:tr w14:paraId="2F8D4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BE43C70">
            <w:pPr>
              <w:jc w:val="both"/>
              <w:rPr>
                <w:rFonts w:hint="eastAsia" w:ascii="微软雅黑" w:hAnsi="微软雅黑" w:eastAsia="微软雅黑" w:cs="微软雅黑"/>
                <w:b/>
                <w:bCs/>
                <w:i w:val="0"/>
                <w:iCs w:val="0"/>
                <w:color w:val="000000"/>
                <w:sz w:val="18"/>
                <w:szCs w:val="18"/>
                <w:u w:val="none"/>
                <w:lang w:val="en-US" w:eastAsia="zh-CN"/>
              </w:rPr>
            </w:pPr>
            <w:bookmarkStart w:id="3" w:name="报告标题" w:colFirst="1" w:colLast="1"/>
            <w:bookmarkStart w:id="4" w:name="是否重大推荐" w:colFirst="3" w:colLast="3"/>
            <w:r>
              <w:rPr>
                <w:rFonts w:hint="eastAsia" w:ascii="微软雅黑" w:hAnsi="微软雅黑" w:eastAsia="微软雅黑" w:cs="微软雅黑"/>
                <w:b/>
                <w:bCs/>
                <w:i w:val="0"/>
                <w:iCs w:val="0"/>
                <w:color w:val="000000"/>
                <w:sz w:val="18"/>
                <w:szCs w:val="18"/>
                <w:u w:val="none"/>
                <w:lang w:val="en-US" w:eastAsia="zh-CN"/>
              </w:rPr>
              <w:t>报告标题</w:t>
            </w:r>
          </w:p>
        </w:tc>
        <w:tc>
          <w:tcPr>
            <w:tcW w:w="5208" w:type="dxa"/>
            <w:gridSpan w:val="5"/>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73B61E3">
            <w:pPr>
              <w:jc w:val="both"/>
              <w:rPr>
                <w:rFonts w:hint="default" w:ascii="微软雅黑" w:hAnsi="微软雅黑" w:eastAsia="微软雅黑" w:cs="微软雅黑"/>
                <w:b/>
                <w:bCs/>
                <w:i w:val="0"/>
                <w:iCs w:val="0"/>
                <w:color w:val="000000"/>
                <w:sz w:val="18"/>
                <w:szCs w:val="18"/>
                <w:u w:val="none"/>
                <w:lang w:val="en-US" w:eastAsia="zh-TW"/>
              </w:rPr>
            </w:pPr>
            <w:r>
              <w:rPr>
                <w:rFonts w:ascii="微软雅黑" w:hAnsi="微软雅黑" w:eastAsia="微软雅黑" w:cs="微软雅黑"/>
                <w:b/>
                <w:sz w:val="18"/>
              </w:rPr>
              <w:t>高频反弹但口径存疑，汇兑扰动下业绩可视性差，不建议参与</w:t>
            </w:r>
          </w:p>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204327E3">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是否重大推荐</w:t>
            </w:r>
          </w:p>
        </w:tc>
        <w:sdt>
          <w:sdtPr>
            <w:rPr>
              <w:rFonts w:hint="default" w:ascii="微软雅黑" w:hAnsi="微软雅黑" w:eastAsia="微软雅黑" w:cs="微软雅黑"/>
              <w:i w:val="0"/>
              <w:iCs w:val="0"/>
              <w:color w:val="000000"/>
              <w:sz w:val="15"/>
              <w:szCs w:val="15"/>
              <w:u w:val="none"/>
              <w:lang w:val="en-US" w:eastAsia="zh-TW"/>
            </w:rPr>
            <w:alias w:val="是否重大推荐"/>
            <w:id w:val="274842591"/>
            <w:lock w:val="sdtLocked"/>
            <w:placeholder>
              <w:docPart w:val="{5b90eca8-60e1-46ed-8f03-92f9c27e6e40}"/>
            </w:placeholder>
            <w:dropDownList>
              <w:listItem w:displayText=" " w:value=" "/>
              <w:listItem w:displayText="是" w:value="是"/>
              <w:listItem w:displayText="否" w:value="否"/>
            </w:dropDownList>
          </w:sdtPr>
          <w:sdtEndPr>
            <w:rPr>
              <w:rFonts w:hint="default" w:ascii="微软雅黑" w:hAnsi="微软雅黑" w:eastAsia="微软雅黑" w:cs="微软雅黑"/>
              <w:i w:val="0"/>
              <w:iCs w:val="0"/>
              <w:color w:val="000000"/>
              <w:sz w:val="15"/>
              <w:szCs w:val="15"/>
              <w:u w:val="none"/>
              <w:lang w:val="en-US" w:eastAsia="zh-TW"/>
            </w:rPr>
          </w:sdtEndPr>
          <w:sdtContent>
            <w:tc>
              <w:tcPr>
                <w:tcW w:w="842"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C47E485">
                <w:pPr>
                  <w:keepNext w:val="0"/>
                  <w:keepLines w:val="0"/>
                  <w:widowControl/>
                  <w:suppressLineNumbers w:val="0"/>
                  <w:jc w:val="center"/>
                  <w:textAlignment w:val="center"/>
                  <w:rPr>
                    <w:rFonts w:hint="default" w:ascii="微软雅黑" w:hAnsi="微软雅黑" w:eastAsia="微软雅黑" w:cs="微软雅黑"/>
                    <w:i w:val="0"/>
                    <w:iCs w:val="0"/>
                    <w:color w:val="000000"/>
                    <w:sz w:val="15"/>
                    <w:szCs w:val="15"/>
                    <w:u w:val="none"/>
                    <w:lang w:val="en-US" w:eastAsia="zh-TW"/>
                  </w:rPr>
                </w:pPr>
                <w:r>
                  <w:rPr>
                    <w:rFonts w:hint="default" w:ascii="微软雅黑" w:hAnsi="微软雅黑" w:eastAsia="微软雅黑" w:cs="微软雅黑"/>
                    <w:i w:val="0"/>
                    <w:iCs w:val="0"/>
                    <w:color w:val="000000"/>
                    <w:kern w:val="2"/>
                    <w:sz w:val="15"/>
                    <w:szCs w:val="15"/>
                    <w:u w:val="none"/>
                    <w:lang w:val="en-US" w:eastAsia="zh-TW" w:bidi="ar-SA"/>
                  </w:rPr>
                  <w:t xml:space="preserve"> </w:t>
                </w:r>
              </w:p>
            </w:tc>
          </w:sdtContent>
        </w:sdt>
      </w:tr>
      <w:bookmarkEnd w:id="3"/>
      <w:bookmarkEnd w:id="4"/>
      <w:tr w14:paraId="25987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563BA16A">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5" w:name="股票代码" w:colFirst="1" w:colLast="1"/>
            <w:bookmarkStart w:id="6" w:name="上次评级" w:colFirst="5" w:colLast="5"/>
            <w:bookmarkStart w:id="7" w:name="预期收益率" w:colFirst="7" w:colLast="7"/>
            <w:bookmarkStart w:id="8" w:name="股票评级" w:colFirst="3" w:colLast="3"/>
            <w:r>
              <w:rPr>
                <w:rFonts w:hint="eastAsia" w:ascii="微软雅黑" w:hAnsi="微软雅黑" w:eastAsia="微软雅黑" w:cs="微软雅黑"/>
                <w:i w:val="0"/>
                <w:iCs w:val="0"/>
                <w:color w:val="000000"/>
                <w:sz w:val="15"/>
                <w:szCs w:val="15"/>
                <w:u w:val="none"/>
                <w:lang w:eastAsia="zh-CN"/>
              </w:rPr>
              <w:t>股票代码</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2AC719">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ascii="微软雅黑" w:hAnsi="微软雅黑" w:eastAsia="微软雅黑" w:cs="微软雅黑"/>
                <w:b w:val="0"/>
                <w:sz w:val="18"/>
              </w:rPr>
              <w:t>301381</w:t>
            </w:r>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447A0FA">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股票评级</w:t>
            </w:r>
          </w:p>
        </w:tc>
        <w:sdt>
          <w:sdtPr>
            <w:rPr>
              <w:rFonts w:hint="eastAsia" w:ascii="微软雅黑" w:hAnsi="微软雅黑" w:eastAsia="微软雅黑" w:cs="微软雅黑"/>
              <w:i w:val="0"/>
              <w:iCs w:val="0"/>
              <w:color w:val="000000"/>
              <w:sz w:val="15"/>
              <w:szCs w:val="15"/>
              <w:u w:val="none"/>
              <w:lang w:val="en-US" w:eastAsia="zh-CN"/>
            </w:rPr>
            <w:alias w:val="股票评级"/>
            <w:id w:val="147454962"/>
            <w:lock w:val="sdtLocked"/>
            <w:placeholder>
              <w:docPart w:val="{c29291ec-e9dc-4608-a903-d1366562d724}"/>
            </w:placeholder>
            <w:dropDownList>
              <w:listItem w:displayText="强烈买入-1" w:value="强烈买入-1"/>
              <w:listItem w:displayText="买入-2" w:value="买入-2"/>
              <w:listItem w:displayText="持有-3" w:value="持有-3"/>
              <w:listItem w:displayText="卖出-4" w:value="卖出-4"/>
              <w:listItem w:displayText="强烈卖出-5" w:value="强烈卖出-5"/>
            </w:dropDownList>
          </w:sdtPr>
          <w:sdtEndPr>
            <w:rPr>
              <w:rFonts w:hint="eastAsia" w:ascii="微软雅黑" w:hAnsi="微软雅黑" w:eastAsia="微软雅黑" w:cs="微软雅黑"/>
              <w:i w:val="0"/>
              <w:iCs w:val="0"/>
              <w:color w:val="000000"/>
              <w:sz w:val="15"/>
              <w:szCs w:val="15"/>
              <w:u w:val="none"/>
              <w:lang w:val="en-US" w:eastAsia="zh-CN"/>
            </w:rPr>
          </w:sdtEndPr>
          <w:sdtContent>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71311E">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r>
                  <w:rPr>
                    <w:rFonts w:hint="eastAsia" w:ascii="微软雅黑" w:hAnsi="微软雅黑" w:eastAsia="微软雅黑" w:cs="微软雅黑"/>
                    <w:i w:val="0"/>
                    <w:iCs w:val="0"/>
                    <w:color w:val="000000"/>
                    <w:kern w:val="2"/>
                    <w:sz w:val="15"/>
                    <w:szCs w:val="15"/>
                    <w:u w:val="none"/>
                    <w:lang w:val="en-US" w:eastAsia="zh-CN" w:bidi="ar-SA"/>
                  </w:rPr>
                  <w:t>强烈买入-1</w:t>
                </w:r>
              </w:p>
            </w:tc>
          </w:sdtContent>
        </w:sdt>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69411E4">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r>
              <w:rPr>
                <w:rFonts w:hint="eastAsia" w:ascii="微软雅黑" w:hAnsi="微软雅黑" w:eastAsia="微软雅黑" w:cs="微软雅黑"/>
                <w:i w:val="0"/>
                <w:iCs w:val="0"/>
                <w:color w:val="000000"/>
                <w:sz w:val="15"/>
                <w:szCs w:val="15"/>
                <w:u w:val="none"/>
                <w:lang w:val="en-US" w:eastAsia="zh-TW"/>
              </w:rPr>
              <w:t>上次评级</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eastAsia" w:ascii="微软雅黑" w:hAnsi="微软雅黑" w:eastAsia="微软雅黑" w:cs="微软雅黑"/>
                <w:i w:val="0"/>
                <w:iCs w:val="0"/>
                <w:color w:val="000000"/>
                <w:sz w:val="15"/>
                <w:szCs w:val="15"/>
                <w:u w:val="none"/>
                <w:lang w:val="en-US" w:eastAsia="zh-CN"/>
              </w:rPr>
              <w:alias w:val="上次评级"/>
              <w:id w:val="144595064"/>
              <w:lock w:val="sdtLocked"/>
              <w:placeholder>
                <w:docPart w:val="{02a91e4c-c88b-425f-b53c-17349660d8d2}"/>
              </w:placeholder>
              <w:dropDownList>
                <w:listItem w:displayText="强烈买入-1" w:value="强烈买入-1"/>
                <w:listItem w:displayText="买入-2" w:value="买入-2"/>
                <w:listItem w:displayText="持有-3" w:value="持有-3"/>
                <w:listItem w:displayText="卖出-4" w:value="卖出-4"/>
                <w:listItem w:displayText="强烈卖出-5" w:value="强烈卖出-5"/>
              </w:dropDownList>
            </w:sdtPr>
            <w:sdtEndPr>
              <w:rPr>
                <w:rFonts w:hint="eastAsia" w:ascii="微软雅黑" w:hAnsi="微软雅黑" w:eastAsia="微软雅黑" w:cs="微软雅黑"/>
                <w:i w:val="0"/>
                <w:iCs w:val="0"/>
                <w:color w:val="000000"/>
                <w:sz w:val="15"/>
                <w:szCs w:val="15"/>
                <w:u w:val="none"/>
                <w:lang w:val="en-US" w:eastAsia="zh-CN"/>
              </w:rPr>
            </w:sdtEndPr>
            <w:sdtContent>
              <w:p w14:paraId="2B5AAA27">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hint="eastAsia" w:ascii="微软雅黑" w:hAnsi="微软雅黑" w:eastAsia="微软雅黑" w:cs="微软雅黑"/>
                    <w:i w:val="0"/>
                    <w:iCs w:val="0"/>
                    <w:color w:val="000000"/>
                    <w:kern w:val="2"/>
                    <w:sz w:val="15"/>
                    <w:szCs w:val="15"/>
                    <w:u w:val="none"/>
                    <w:lang w:val="en-US" w:eastAsia="zh-CN" w:bidi="ar-SA"/>
                  </w:rPr>
                  <w:t>强烈买入-1</w:t>
                </w:r>
              </w:p>
            </w:sdtContent>
          </w:sdt>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70021422">
            <w:pPr>
              <w:keepNext w:val="0"/>
              <w:keepLines w:val="0"/>
              <w:widowControl/>
              <w:suppressLineNumbers w:val="0"/>
              <w:jc w:val="left"/>
              <w:textAlignment w:val="center"/>
              <w:rPr>
                <w:rFonts w:hint="default" w:ascii="微软雅黑" w:hAnsi="微软雅黑" w:eastAsia="PMingLiU"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eastAsia="zh-CN"/>
              </w:rPr>
              <w:t>预期收益率</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39095">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p>
        </w:tc>
      </w:tr>
      <w:bookmarkEnd w:id="5"/>
      <w:bookmarkEnd w:id="6"/>
      <w:bookmarkEnd w:id="7"/>
      <w:bookmarkEnd w:id="8"/>
      <w:tr w14:paraId="6CF94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CEAA696">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9" w:name="当前市值" w:colFirst="3" w:colLast="3"/>
            <w:bookmarkStart w:id="10" w:name="年初以来涨跌幅" w:colFirst="7" w:colLast="7"/>
            <w:bookmarkStart w:id="11" w:name="目标价" w:colFirst="5" w:colLast="5"/>
            <w:bookmarkStart w:id="12" w:name="当前股价" w:colFirst="1" w:colLast="1"/>
            <w:r>
              <w:rPr>
                <w:rFonts w:hint="eastAsia" w:ascii="微软雅黑" w:hAnsi="微软雅黑" w:eastAsia="微软雅黑" w:cs="微软雅黑"/>
                <w:i w:val="0"/>
                <w:iCs w:val="0"/>
                <w:color w:val="000000"/>
                <w:sz w:val="15"/>
                <w:szCs w:val="15"/>
                <w:u w:val="none"/>
                <w:lang w:val="en-US" w:eastAsia="zh-CN"/>
              </w:rPr>
              <w:t>当前股价</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8D0C7E">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bookmarkStart w:id="22" w:name="_GoBack"/>
            <w:bookmarkEnd w:id="22"/>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0799090">
            <w:pPr>
              <w:keepNext w:val="0"/>
              <w:keepLines w:val="0"/>
              <w:widowControl/>
              <w:suppressLineNumbers w:val="0"/>
              <w:jc w:val="left"/>
              <w:textAlignment w:val="center"/>
              <w:rPr>
                <w:rFonts w:hint="default" w:ascii="微软雅黑" w:hAnsi="微软雅黑" w:eastAsia="PMingLiU"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val="en-US" w:eastAsia="zh-CN"/>
              </w:rPr>
              <w:t>当前市值</w:t>
            </w:r>
            <w:r>
              <w:rPr>
                <w:rFonts w:hint="eastAsia" w:ascii="微软雅黑" w:hAnsi="微软雅黑" w:eastAsia="微软雅黑" w:cs="微软雅黑"/>
                <w:i w:val="0"/>
                <w:iCs w:val="0"/>
                <w:color w:val="000000"/>
                <w:sz w:val="15"/>
                <w:szCs w:val="15"/>
                <w:u w:val="none"/>
                <w:lang w:val="en-US" w:eastAsia="zh-TW"/>
              </w:rPr>
              <w:t>(亿元)</w:t>
            </w:r>
          </w:p>
        </w:tc>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8589C1">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p>
        </w:tc>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598AA44E">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目标价</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D13B7">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p>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19292B3">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r>
              <w:rPr>
                <w:rFonts w:hint="eastAsia" w:ascii="微软雅黑" w:hAnsi="微软雅黑" w:eastAsia="微软雅黑" w:cs="微软雅黑"/>
                <w:i w:val="0"/>
                <w:iCs w:val="0"/>
                <w:color w:val="000000"/>
                <w:sz w:val="15"/>
                <w:szCs w:val="15"/>
                <w:u w:val="none"/>
                <w:lang w:val="en-US" w:eastAsia="zh-CN"/>
              </w:rPr>
              <w:t>年初以来涨跌幅</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83F38">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p>
        </w:tc>
      </w:tr>
      <w:bookmarkEnd w:id="9"/>
      <w:bookmarkEnd w:id="10"/>
      <w:bookmarkEnd w:id="11"/>
      <w:bookmarkEnd w:id="12"/>
      <w:tr w14:paraId="6F48F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3B124740">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13" w:name="研究员" w:colFirst="1" w:colLast="1"/>
            <w:bookmarkStart w:id="14" w:name="相对行业涨跌幅" w:colFirst="7" w:colLast="7"/>
            <w:bookmarkStart w:id="15" w:name="报告类型" w:colFirst="3" w:colLast="3"/>
            <w:bookmarkStart w:id="16" w:name="报告日期" w:colFirst="5" w:colLast="5"/>
            <w:r>
              <w:rPr>
                <w:rFonts w:hint="eastAsia" w:ascii="微软雅黑" w:hAnsi="微软雅黑" w:eastAsia="微软雅黑" w:cs="微软雅黑"/>
                <w:i w:val="0"/>
                <w:iCs w:val="0"/>
                <w:color w:val="000000"/>
                <w:sz w:val="15"/>
                <w:szCs w:val="15"/>
                <w:u w:val="none"/>
                <w:lang w:eastAsia="zh-TW"/>
              </w:rPr>
              <w:t>研究员</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D72EB">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ascii="微软雅黑" w:hAnsi="微软雅黑" w:eastAsia="微软雅黑" w:cs="微软雅黑"/>
                <w:sz w:val="15"/>
              </w:rPr>
              <w:t>单朔</w:t>
            </w:r>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5B12C44">
            <w:pPr>
              <w:keepNext w:val="0"/>
              <w:keepLines w:val="0"/>
              <w:widowControl/>
              <w:suppressLineNumbers w:val="0"/>
              <w:jc w:val="left"/>
              <w:textAlignment w:val="center"/>
              <w:rPr>
                <w:rFonts w:hint="eastAsia" w:ascii="微软雅黑" w:hAnsi="微软雅黑" w:eastAsia="微软雅黑" w:cs="微软雅黑"/>
                <w:i w:val="0"/>
                <w:iCs w:val="0"/>
                <w:color w:val="000000"/>
                <w:kern w:val="2"/>
                <w:sz w:val="15"/>
                <w:szCs w:val="15"/>
                <w:u w:val="none"/>
                <w:lang w:val="en-US" w:eastAsia="zh-CN" w:bidi="ar-SA"/>
              </w:rPr>
            </w:pPr>
            <w:r>
              <w:rPr>
                <w:rFonts w:hint="eastAsia" w:ascii="微软雅黑" w:hAnsi="微软雅黑" w:eastAsia="微软雅黑" w:cs="微软雅黑"/>
                <w:i w:val="0"/>
                <w:iCs w:val="0"/>
                <w:color w:val="000000"/>
                <w:sz w:val="15"/>
                <w:szCs w:val="15"/>
                <w:u w:val="none"/>
                <w:lang w:eastAsia="zh-CN"/>
              </w:rPr>
              <w:t>报告类型</w:t>
            </w:r>
          </w:p>
        </w:tc>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eastAsia" w:ascii="微软雅黑" w:hAnsi="微软雅黑" w:eastAsia="微软雅黑" w:cs="微软雅黑"/>
                <w:i w:val="0"/>
                <w:iCs w:val="0"/>
                <w:color w:val="000000"/>
                <w:sz w:val="15"/>
                <w:szCs w:val="15"/>
                <w:u w:val="none"/>
                <w:lang w:val="en-US" w:eastAsia="zh-CN"/>
              </w:rPr>
              <w:alias w:val="报告类型"/>
              <w:id w:val="147455465"/>
              <w:lock w:val="sdtLocked"/>
              <w:placeholder>
                <w:docPart w:val="{54f684b5-99ba-4458-9b63-c98da7f6cfa6}"/>
              </w:placeholder>
              <w:dropDownList>
                <w:listItem w:displayText="普通模板" w:value="普通模板"/>
                <w:listItem w:displayText="银行模板" w:value="银行模板"/>
                <w:listItem w:displayText="券商模板" w:value="券商模板"/>
                <w:listItem w:displayText="保险模板" w:value="保险模板"/>
              </w:dropDownList>
            </w:sdtPr>
            <w:sdtEndPr>
              <w:rPr>
                <w:rFonts w:hint="eastAsia" w:ascii="微软雅黑" w:hAnsi="微软雅黑" w:eastAsia="微软雅黑" w:cs="微软雅黑"/>
                <w:i w:val="0"/>
                <w:iCs w:val="0"/>
                <w:color w:val="000000"/>
                <w:sz w:val="15"/>
                <w:szCs w:val="15"/>
                <w:u w:val="none"/>
                <w:lang w:val="en-US" w:eastAsia="zh-CN"/>
              </w:rPr>
            </w:sdtEndPr>
            <w:sdtContent>
              <w:p w14:paraId="7CFF5C22">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val="en-US" w:eastAsia="zh-CN"/>
                  </w:rPr>
                  <w:t>普通模板</w:t>
                </w:r>
              </w:p>
            </w:sdtContent>
          </w:sdt>
        </w:tc>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6CE8EB50">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报告日期</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default" w:ascii="微软雅黑" w:hAnsi="微软雅黑" w:eastAsia="微软雅黑" w:cs="微软雅黑"/>
                <w:i w:val="0"/>
                <w:iCs w:val="0"/>
                <w:color w:val="000000"/>
                <w:kern w:val="2"/>
                <w:sz w:val="15"/>
                <w:szCs w:val="15"/>
                <w:u w:val="none"/>
                <w:lang w:val="en-US" w:eastAsia="zh-TW" w:bidi="ar-SA"/>
              </w:rPr>
              <w:alias w:val="报告日期"/>
              <w:id w:val="147457270"/>
              <w:lock w:val="sdtLocked"/>
              <w:placeholder>
                <w:docPart w:val="{df61b350-aee6-47bd-944d-08e6078126c1}"/>
              </w:placeholder>
              <w:date w:fullDate="2022-01-01T00:00:00Z">
                <w:dateFormat w:val="YYYY-MM-DD"/>
                <w:lid w:val="zh-CN"/>
                <w:storeMappedDataAs w:val="text"/>
                <w:calendar w:val="gregorian"/>
              </w:date>
            </w:sdtPr>
            <w:sdtEndPr>
              <w:rPr>
                <w:rFonts w:hint="default" w:ascii="微软雅黑" w:hAnsi="微软雅黑" w:eastAsia="微软雅黑" w:cs="微软雅黑"/>
                <w:i w:val="0"/>
                <w:iCs w:val="0"/>
                <w:color w:val="000000"/>
                <w:kern w:val="2"/>
                <w:sz w:val="15"/>
                <w:szCs w:val="15"/>
                <w:u w:val="none"/>
                <w:lang w:val="en-US" w:eastAsia="zh-TW" w:bidi="ar-SA"/>
              </w:rPr>
            </w:sdtEndPr>
            <w:sdtContent>
              <w:p w14:paraId="0065AC32">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r>
                  <w:rPr>
                    <w:rFonts w:hint="eastAsia" w:ascii="微软雅黑" w:hAnsi="微软雅黑" w:eastAsia="微软雅黑" w:cs="微软雅黑"/>
                    <w:i w:val="0"/>
                    <w:iCs w:val="0"/>
                    <w:color w:val="000000"/>
                    <w:kern w:val="2"/>
                    <w:sz w:val="15"/>
                    <w:szCs w:val="15"/>
                    <w:u w:val="none"/>
                    <w:lang w:val="en-US" w:eastAsia="zh-CN" w:bidi="ar-SA"/>
                  </w:rPr>
                  <w:t>2026-06-29</w:t>
                </w:r>
              </w:p>
            </w:sdtContent>
          </w:sdt>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66EB917">
            <w:pPr>
              <w:keepNext w:val="0"/>
              <w:keepLines w:val="0"/>
              <w:widowControl/>
              <w:suppressLineNumbers w:val="0"/>
              <w:jc w:val="left"/>
              <w:textAlignment w:val="center"/>
              <w:rPr>
                <w:rFonts w:hint="eastAsia" w:ascii="微软雅黑" w:hAnsi="微软雅黑" w:eastAsia="PMingLiU" w:cs="微软雅黑"/>
                <w:i w:val="0"/>
                <w:iCs w:val="0"/>
                <w:color w:val="000000"/>
                <w:sz w:val="15"/>
                <w:szCs w:val="15"/>
                <w:u w:val="none"/>
                <w:lang w:eastAsia="zh-TW"/>
              </w:rPr>
            </w:pPr>
            <w:r>
              <w:rPr>
                <w:rFonts w:hint="eastAsia" w:ascii="微软雅黑" w:hAnsi="微软雅黑" w:eastAsia="微软雅黑" w:cs="微软雅黑"/>
                <w:i w:val="0"/>
                <w:iCs w:val="0"/>
                <w:color w:val="000000"/>
                <w:sz w:val="15"/>
                <w:szCs w:val="15"/>
                <w:u w:val="none"/>
                <w:lang w:eastAsia="zh-TW"/>
              </w:rPr>
              <w:t>年初以来相对行业涨跌幅</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4D0C99">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TW"/>
              </w:rPr>
            </w:pPr>
          </w:p>
        </w:tc>
      </w:tr>
      <w:bookmarkEnd w:id="13"/>
      <w:bookmarkEnd w:id="14"/>
      <w:bookmarkEnd w:id="15"/>
      <w:bookmarkEnd w:id="16"/>
      <w:tr w14:paraId="1C2E4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BA084">
            <w:pPr>
              <w:keepNext w:val="0"/>
              <w:keepLines w:val="0"/>
              <w:widowControl/>
              <w:suppressLineNumbers w:val="0"/>
              <w:jc w:val="left"/>
              <w:textAlignment w:val="center"/>
              <w:rPr>
                <w:rFonts w:hint="default" w:ascii="Arial Unicode MS" w:hAnsi="Arial Unicode MS" w:eastAsia="PMingLiU" w:cs="Arial Unicode MS"/>
                <w:i w:val="0"/>
                <w:iCs w:val="0"/>
                <w:color w:val="FFFFFF"/>
                <w:sz w:val="15"/>
                <w:szCs w:val="15"/>
                <w:u w:val="none"/>
                <w:lang w:val="en-US" w:eastAsia="zh-TW"/>
              </w:rPr>
            </w:pPr>
            <w:r>
              <w:rPr>
                <w:rFonts w:hint="default" w:ascii="微软雅黑" w:hAnsi="微软雅黑" w:eastAsia="微软雅黑" w:cs="微软雅黑"/>
                <w:b/>
                <w:bCs/>
                <w:i w:val="0"/>
                <w:iCs w:val="0"/>
                <w:color w:val="000000"/>
                <w:sz w:val="15"/>
                <w:szCs w:val="15"/>
                <w:u w:val="none"/>
                <w:lang w:val="en-US" w:eastAsia="zh-CN"/>
              </w:rPr>
              <w:t>研究结论</w:t>
            </w:r>
          </w:p>
        </w:tc>
      </w:tr>
      <w:tr w14:paraId="08015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2"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2A13213A">
            <w:pPr>
              <w:keepNext w:val="0"/>
              <w:keepLines w:val="0"/>
              <w:widowControl/>
              <w:suppressLineNumbers w:val="0"/>
              <w:jc w:val="both"/>
              <w:textAlignment w:val="center"/>
              <w:rPr>
                <w:rFonts w:hint="eastAsia" w:ascii="微软雅黑" w:hAnsi="微软雅黑" w:eastAsia="微软雅黑" w:cs="微软雅黑"/>
                <w:i w:val="0"/>
                <w:iCs w:val="0"/>
                <w:color w:val="000000"/>
                <w:sz w:val="15"/>
                <w:szCs w:val="15"/>
                <w:u w:val="none"/>
                <w:lang w:val="en-US" w:eastAsia="zh-CN"/>
              </w:rPr>
            </w:pPr>
            <w:bookmarkStart w:id="17" w:name="研究结论" w:colFirst="0" w:colLast="0"/>
            <w:r>
              <w:rPr>
                <w:rFonts w:ascii="微软雅黑" w:hAnsi="微软雅黑" w:eastAsia="微软雅黑" w:cs="微软雅黑"/>
                <w:b/>
                <w:sz w:val="18"/>
              </w:rPr>
              <w:t>短期：收入降速触底弱回升，利润端受汇兑与一次性拖累，可视性差</w:t>
            </w:r>
          </w:p>
          <w:p>
            <w:r>
              <w:rPr>
                <w:rFonts w:ascii="微软雅黑" w:hAnsi="微软雅黑" w:eastAsia="微软雅黑" w:cs="微软雅黑"/>
                <w:b w:val="0"/>
                <w:sz w:val="18"/>
              </w:rPr>
              <w:t xml:space="preserve">1. </w:t>
            </w:r>
            <w:r>
              <w:rPr>
                <w:rFonts w:ascii="微软雅黑" w:hAnsi="微软雅黑" w:eastAsia="微软雅黑" w:cs="微软雅黑"/>
                <w:b/>
                <w:sz w:val="18"/>
              </w:rPr>
              <w:t>收入换挡</w:t>
            </w:r>
            <w:r>
              <w:rPr>
                <w:rFonts w:ascii="微软雅黑" w:hAnsi="微软雅黑" w:eastAsia="微软雅黑" w:cs="微软雅黑"/>
                <w:b w:val="0"/>
                <w:sz w:val="18"/>
              </w:rPr>
              <w:t>：单季营收增速自 24Q3 +64% 连续 5 季降速至 25Q4 +4.5%，26Q1 仅回升至 +10.7%；2025 全年 118 亿 +15%，较 2024 的 +56% 显著退潮，服饰主业增速也从 +57% 降到 +22%，跨境服饰爆发期已过。</w:t>
            </w:r>
          </w:p>
          <w:p>
            <w:r>
              <w:rPr>
                <w:rFonts w:ascii="微软雅黑" w:hAnsi="微软雅黑" w:eastAsia="微软雅黑" w:cs="微软雅黑"/>
                <w:b w:val="0"/>
                <w:sz w:val="18"/>
              </w:rPr>
              <w:t xml:space="preserve">2. </w:t>
            </w:r>
            <w:r>
              <w:rPr>
                <w:rFonts w:ascii="微软雅黑" w:hAnsi="微软雅黑" w:eastAsia="微软雅黑" w:cs="微软雅黑"/>
                <w:b/>
                <w:sz w:val="18"/>
              </w:rPr>
              <w:t>利润更脆</w:t>
            </w:r>
            <w:r>
              <w:rPr>
                <w:rFonts w:ascii="微软雅黑" w:hAnsi="微软雅黑" w:eastAsia="微软雅黑" w:cs="微软雅黑"/>
                <w:b w:val="0"/>
                <w:sz w:val="18"/>
              </w:rPr>
              <w:t>：26Q1 归母 0.43 亿同比 -9.5%，被汇兑损失 2600 万和人员优化赔偿 1500 万直接拖累；公司北美占比 90.9%，人民币任何升值都放大利润波动，业绩可视性差。</w:t>
            </w:r>
          </w:p>
          <w:p>
            <w:r>
              <w:rPr>
                <w:rFonts w:ascii="微软雅黑" w:hAnsi="微软雅黑" w:eastAsia="微软雅黑" w:cs="微软雅黑"/>
                <w:b w:val="0"/>
                <w:sz w:val="18"/>
              </w:rPr>
              <w:t xml:space="preserve">3. </w:t>
            </w:r>
            <w:r>
              <w:rPr>
                <w:rFonts w:ascii="微软雅黑" w:hAnsi="微软雅黑" w:eastAsia="微软雅黑" w:cs="微软雅黑"/>
                <w:b/>
                <w:sz w:val="18"/>
              </w:rPr>
              <w:t>高频信号存疑</w:t>
            </w:r>
            <w:r>
              <w:rPr>
                <w:rFonts w:ascii="微软雅黑" w:hAnsi="微软雅黑" w:eastAsia="微软雅黑" w:cs="微软雅黑"/>
                <w:b w:val="0"/>
                <w:sz w:val="18"/>
              </w:rPr>
              <w:t>：卖家精灵 Top4 品牌 4-5 月增速约 +40% 被部分卖方解读为 Q2 拐点，但该口径只覆盖亚马逊线上 Top4，未含收缩中的非服饰、独立站与线下，与公司全口径背离，不足以裁决。</w:t>
            </w:r>
          </w:p>
          <w:p>
            <w:r>
              <w:rPr>
                <w:rFonts w:ascii="微软雅黑" w:hAnsi="微软雅黑" w:eastAsia="微软雅黑" w:cs="微软雅黑"/>
                <w:b w:val="0"/>
                <w:sz w:val="18"/>
              </w:rPr>
              <w:t xml:space="preserve">4. </w:t>
            </w:r>
            <w:r>
              <w:rPr>
                <w:rFonts w:ascii="微软雅黑" w:hAnsi="微软雅黑" w:eastAsia="微软雅黑" w:cs="微软雅黑"/>
                <w:b/>
                <w:sz w:val="18"/>
              </w:rPr>
              <w:t>退税是一次性</w:t>
            </w:r>
            <w:r>
              <w:rPr>
                <w:rFonts w:ascii="微软雅黑" w:hAnsi="微软雅黑" w:eastAsia="微软雅黑" w:cs="微软雅黑"/>
                <w:b w:val="0"/>
                <w:sz w:val="18"/>
              </w:rPr>
              <w:t>：市场一致预期 2026 归母 4.86 亿（+72%）高度依赖 3-3.5 亿关税退税一次性增厚，公司至今未确认金额，剔除此项 26Q1 年化利润仅 1.7 亿，兑现路径存疑。</w:t>
            </w:r>
          </w:p>
          <w:p/>
          <w:p>
            <w:r>
              <w:rPr>
                <w:rFonts w:ascii="微软雅黑" w:hAnsi="微软雅黑" w:eastAsia="微软雅黑" w:cs="微软雅黑"/>
                <w:b/>
                <w:sz w:val="18"/>
              </w:rPr>
              <w:t>中长期：二线电商，品牌化未转化为溢价，净利率结构性受制于亚马逊</w:t>
            </w:r>
          </w:p>
          <w:p>
            <w:r>
              <w:rPr>
                <w:rFonts w:ascii="微软雅黑" w:hAnsi="微软雅黑" w:eastAsia="微软雅黑" w:cs="微软雅黑"/>
                <w:b w:val="0"/>
                <w:sz w:val="18"/>
              </w:rPr>
              <w:t xml:space="preserve">1. </w:t>
            </w:r>
            <w:r>
              <w:rPr>
                <w:rFonts w:ascii="微软雅黑" w:hAnsi="微软雅黑" w:eastAsia="微软雅黑" w:cs="微软雅黑"/>
                <w:b/>
                <w:sz w:val="18"/>
              </w:rPr>
              <w:t>品牌化未兑现毛利</w:t>
            </w:r>
            <w:r>
              <w:rPr>
                <w:rFonts w:ascii="微软雅黑" w:hAnsi="微软雅黑" w:eastAsia="微软雅黑" w:cs="微软雅黑"/>
                <w:b w:val="0"/>
                <w:sz w:val="18"/>
              </w:rPr>
              <w:t>：年销过亿品牌从 10 个增至 12 个、人均创收从 165 万升至 313 万是正面信号，但毛利率反而从 2023 年 45.8% 降至 2025 年 42.7%，头部品牌 Coofandy、Zeagoo 增速降到个位数，品牌孵化尚未转化为定价权。</w:t>
            </w:r>
          </w:p>
          <w:p>
            <w:r>
              <w:rPr>
                <w:rFonts w:ascii="微软雅黑" w:hAnsi="微软雅黑" w:eastAsia="微软雅黑" w:cs="微软雅黑"/>
                <w:b w:val="0"/>
                <w:sz w:val="18"/>
              </w:rPr>
              <w:t xml:space="preserve">2. </w:t>
            </w:r>
            <w:r>
              <w:rPr>
                <w:rFonts w:ascii="微软雅黑" w:hAnsi="微软雅黑" w:eastAsia="微软雅黑" w:cs="微软雅黑"/>
                <w:b/>
                <w:sz w:val="18"/>
              </w:rPr>
              <w:t>净利率天花板低</w:t>
            </w:r>
            <w:r>
              <w:rPr>
                <w:rFonts w:ascii="微软雅黑" w:hAnsi="微软雅黑" w:eastAsia="微软雅黑" w:cs="微软雅黑"/>
                <w:b w:val="0"/>
                <w:sz w:val="18"/>
              </w:rPr>
              <w:t>：销售费用率 35%+ 是亚马逊渠道的刚性结构，2025 年净利率仅 2.4%，远低于安克 ~8%；毛利下行叠加费用刚性，净利率向 5% 靠拢缺乏毛利扩张支撑，可持续性存疑。</w:t>
            </w:r>
          </w:p>
          <w:p>
            <w:r>
              <w:rPr>
                <w:rFonts w:ascii="微软雅黑" w:hAnsi="微软雅黑" w:eastAsia="微软雅黑" w:cs="微软雅黑"/>
                <w:b w:val="0"/>
                <w:sz w:val="18"/>
              </w:rPr>
              <w:t xml:space="preserve">3. </w:t>
            </w:r>
            <w:r>
              <w:rPr>
                <w:rFonts w:ascii="微软雅黑" w:hAnsi="微软雅黑" w:eastAsia="微软雅黑" w:cs="微软雅黑"/>
                <w:b/>
                <w:sz w:val="18"/>
              </w:rPr>
              <w:t>赛道与格局偏弱</w:t>
            </w:r>
            <w:r>
              <w:rPr>
                <w:rFonts w:ascii="微软雅黑" w:hAnsi="微软雅黑" w:eastAsia="微软雅黑" w:cs="微软雅黑"/>
                <w:b w:val="0"/>
                <w:sz w:val="18"/>
              </w:rPr>
              <w:t>：服装跨境电商门槛低于 3C，白牌涌入加剧价格竞争；赛维 2025 营收增速 +15% 显著落后安克 +30%、绿联 +50%，属二线电商，市场认可度低，估值中枢难上移。</w:t>
            </w:r>
          </w:p>
          <w:p/>
          <w:p>
            <w:r>
              <w:rPr>
                <w:rFonts w:ascii="微软雅黑" w:hAnsi="微软雅黑" w:eastAsia="微软雅黑" w:cs="微软雅黑"/>
                <w:b/>
                <w:sz w:val="18"/>
              </w:rPr>
              <w:t>投资建议：</w:t>
            </w:r>
          </w:p>
          <w:p>
            <w:r>
              <w:rPr>
                <w:rFonts w:ascii="微软雅黑" w:hAnsi="微软雅黑" w:eastAsia="微软雅黑" w:cs="微软雅黑"/>
                <w:b w:val="0"/>
                <w:sz w:val="18"/>
              </w:rPr>
              <w:t>预计 2026 年销售收入 130.5 亿，yoy 10%，归母净利润 3.0 亿，yoy 6%，对应 PE 25 倍；2027 年销售收入 143.8 亿，yoy 10%，归母净利润 4.0 亿，yoy 32%，对应 PE 19 倍。汇兑波动大、业绩可视性差、市场认可度低，ModelKing 预测显著低于卖方一致预期，不满足赔率能弥补质地的标准，不建议参与。</w:t>
            </w:r>
          </w:p>
        </w:tc>
      </w:tr>
      <w:bookmarkEnd w:id="17"/>
      <w:tr w14:paraId="3AEDC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E227C">
            <w:pPr>
              <w:keepNext w:val="0"/>
              <w:keepLines w:val="0"/>
              <w:widowControl/>
              <w:suppressLineNumbers w:val="0"/>
              <w:jc w:val="left"/>
              <w:textAlignment w:val="center"/>
              <w:rPr>
                <w:rFonts w:hint="eastAsia" w:ascii="Arial Unicode MS" w:hAnsi="Arial Unicode MS" w:eastAsia="PMingLiU" w:cs="Arial Unicode MS"/>
                <w:i w:val="0"/>
                <w:iCs w:val="0"/>
                <w:color w:val="FFFFFF"/>
                <w:kern w:val="2"/>
                <w:sz w:val="15"/>
                <w:szCs w:val="15"/>
                <w:u w:val="none"/>
                <w:lang w:val="en-US" w:eastAsia="zh-CN" w:bidi="ar-SA"/>
              </w:rPr>
            </w:pPr>
            <w:r>
              <w:rPr>
                <w:rFonts w:hint="eastAsia" w:ascii="微软雅黑" w:hAnsi="微软雅黑" w:eastAsia="微软雅黑" w:cs="微软雅黑"/>
                <w:b/>
                <w:bCs/>
                <w:i w:val="0"/>
                <w:iCs w:val="0"/>
                <w:color w:val="000000"/>
                <w:sz w:val="15"/>
                <w:szCs w:val="15"/>
                <w:u w:val="none"/>
                <w:lang w:val="en-US" w:eastAsia="zh-CN"/>
              </w:rPr>
              <w:t>盈利预测</w:t>
            </w:r>
            <w:r>
              <w:rPr>
                <w:rFonts w:hint="eastAsia" w:ascii="微软雅黑" w:hAnsi="微软雅黑" w:eastAsia="微软雅黑" w:cs="微软雅黑"/>
                <w:b/>
                <w:bCs/>
                <w:i w:val="0"/>
                <w:iCs w:val="0"/>
                <w:color w:val="000000"/>
                <w:sz w:val="15"/>
                <w:szCs w:val="15"/>
                <w:u w:val="none"/>
                <w:lang w:val="en-US" w:eastAsia="zh-TW"/>
              </w:rPr>
              <w:t>(</w:t>
            </w:r>
            <w:r>
              <w:rPr>
                <w:rFonts w:hint="eastAsia" w:ascii="微软雅黑" w:hAnsi="微软雅黑" w:eastAsia="微软雅黑" w:cs="微软雅黑"/>
                <w:b/>
                <w:bCs/>
                <w:i w:val="0"/>
                <w:iCs w:val="0"/>
                <w:color w:val="000000"/>
                <w:sz w:val="15"/>
                <w:szCs w:val="15"/>
                <w:u w:val="none"/>
                <w:lang w:val="en-US" w:eastAsia="zh-CN"/>
              </w:rPr>
              <w:t>年度</w:t>
            </w:r>
            <w:r>
              <w:rPr>
                <w:rFonts w:hint="eastAsia" w:ascii="微软雅黑" w:hAnsi="微软雅黑" w:eastAsia="微软雅黑" w:cs="微软雅黑"/>
                <w:b/>
                <w:bCs/>
                <w:i w:val="0"/>
                <w:iCs w:val="0"/>
                <w:color w:val="000000"/>
                <w:sz w:val="15"/>
                <w:szCs w:val="15"/>
                <w:u w:val="none"/>
                <w:lang w:val="en-US" w:eastAsia="zh-TW"/>
              </w:rPr>
              <w:t>)</w:t>
            </w:r>
          </w:p>
        </w:tc>
      </w:tr>
      <w:tr w14:paraId="2708A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0"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tbl>
            <w:tblPr>
              <w:tblStyle w:val="6"/>
              <w:tblW w:w="8094" w:type="dxa"/>
              <w:tblInd w:w="5" w:type="dxa"/>
              <w:tblBorders>
                <w:top w:val="none" w:color="auto" w:sz="4" w:space="0"/>
                <w:left w:val="none" w:color="auto" w:sz="4" w:space="0"/>
                <w:bottom w:val="none" w:color="auto" w:sz="4" w:space="0"/>
                <w:right w:val="none" w:color="auto" w:sz="4" w:space="0"/>
                <w:insideH w:val="single" w:color="auto" w:sz="4" w:space="0"/>
                <w:insideV w:val="dotted" w:color="C0C0C0" w:sz="4" w:space="0"/>
              </w:tblBorders>
              <w:tblLayout w:type="fixed"/>
              <w:tblCellMar>
                <w:left w:w="108" w:type="dxa"/>
                <w:right w:w="108" w:type="dxa"/>
              </w:tblCellMar>
            </w:tblPr>
            <w:tblGrid>
              <w:gridCol w:w="1644"/>
              <w:gridCol w:w="1075"/>
              <w:gridCol w:w="1075"/>
              <w:gridCol w:w="1075"/>
              <w:gridCol w:w="1075"/>
              <w:gridCol w:w="1075"/>
              <w:gridCol w:w="1075"/>
            </w:tblGrid>
            <w:tr w14:paraId="759E18FE">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280CA40A">
                  <w:pPr>
                    <w:jc w:val="both"/>
                    <w:rPr>
                      <w:rFonts w:hint="eastAsia" w:ascii="微软雅黑" w:hAnsi="微软雅黑" w:eastAsia="微软雅黑" w:cs="微软雅黑"/>
                      <w:b/>
                      <w:i w:val="0"/>
                      <w:iCs w:val="0"/>
                      <w:color w:val="000000"/>
                      <w:sz w:val="15"/>
                      <w:szCs w:val="15"/>
                      <w:u w:val="none"/>
                      <w:vertAlign w:val="baseline"/>
                      <w:lang w:eastAsia="zh-CN"/>
                    </w:rPr>
                  </w:pPr>
                  <w:bookmarkStart w:id="18" w:name="财务"/>
                  <w:bookmarkStart w:id="19" w:name="盈利预测" w:colFirst="0" w:colLast="0"/>
                  <w:r>
                    <w:rPr>
                      <w:rFonts w:hint="eastAsia" w:ascii="微软雅黑" w:hAnsi="微软雅黑" w:eastAsia="微软雅黑" w:cs="微软雅黑"/>
                      <w:b/>
                      <w:i w:val="0"/>
                      <w:iCs w:val="0"/>
                      <w:color w:val="000000"/>
                      <w:sz w:val="15"/>
                      <w:szCs w:val="15"/>
                      <w:u w:val="none"/>
                      <w:vertAlign w:val="baseline"/>
                      <w:lang w:eastAsia="zh-CN"/>
                    </w:rPr>
                    <w:t>财务指标</w:t>
                  </w:r>
                </w:p>
              </w:tc>
              <w:tc>
                <w:tcPr>
                  <w:tcW w:w="1075" w:type="dxa"/>
                </w:tcPr>
                <w:p w14:paraId="79DCD154">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2023</w:t>
                  </w:r>
                </w:p>
              </w:tc>
              <w:tc>
                <w:tcPr>
                  <w:tcW w:w="1075" w:type="dxa"/>
                </w:tcPr>
                <w:p w14:paraId="478981C9">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2024</w:t>
                  </w:r>
                </w:p>
              </w:tc>
              <w:tc>
                <w:tcPr>
                  <w:tcW w:w="1075" w:type="dxa"/>
                </w:tcPr>
                <w:p w14:paraId="0AD24977">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2025</w:t>
                  </w:r>
                </w:p>
              </w:tc>
              <w:tc>
                <w:tcPr>
                  <w:tcW w:w="1075" w:type="dxa"/>
                </w:tcPr>
                <w:p w14:paraId="199B0BB6">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2026E</w:t>
                  </w:r>
                </w:p>
              </w:tc>
              <w:tc>
                <w:tcPr>
                  <w:tcW w:w="1075" w:type="dxa"/>
                </w:tcPr>
                <w:p w14:paraId="60147B94">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2027E</w:t>
                  </w:r>
                </w:p>
              </w:tc>
              <w:tc>
                <w:tcPr>
                  <w:tcW w:w="1075" w:type="dxa"/>
                </w:tcPr>
                <w:p w14:paraId="6211DCBA">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2028E</w:t>
                  </w:r>
                </w:p>
              </w:tc>
            </w:tr>
            <w:tr w14:paraId="706C7977">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1FA8E9F1">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营业收入(百万)</w:t>
                  </w:r>
                </w:p>
              </w:tc>
              <w:tc>
                <w:tcPr>
                  <w:tcW w:w="1075" w:type="dxa"/>
                </w:tcPr>
                <w:p w14:paraId="6C4F184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6,564</w:t>
                  </w:r>
                </w:p>
              </w:tc>
              <w:tc>
                <w:tcPr>
                  <w:tcW w:w="1075" w:type="dxa"/>
                </w:tcPr>
                <w:p w14:paraId="2118B22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10,275</w:t>
                  </w:r>
                </w:p>
              </w:tc>
              <w:tc>
                <w:tcPr>
                  <w:tcW w:w="1075" w:type="dxa"/>
                </w:tcPr>
                <w:p w14:paraId="43FE060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11,817</w:t>
                  </w:r>
                </w:p>
              </w:tc>
              <w:tc>
                <w:tcPr>
                  <w:tcW w:w="1075" w:type="dxa"/>
                </w:tcPr>
                <w:p w14:paraId="53887A4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13,054</w:t>
                  </w:r>
                </w:p>
              </w:tc>
              <w:tc>
                <w:tcPr>
                  <w:tcW w:w="1075" w:type="dxa"/>
                </w:tcPr>
                <w:p w14:paraId="23808BB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14,379</w:t>
                  </w:r>
                </w:p>
              </w:tc>
              <w:tc>
                <w:tcPr>
                  <w:tcW w:w="1075" w:type="dxa"/>
                </w:tcPr>
                <w:p w14:paraId="53F8549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15,788</w:t>
                  </w:r>
                </w:p>
              </w:tc>
            </w:tr>
            <w:tr w14:paraId="4CAA850B">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6F500D25">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营收YOY %</w:t>
                  </w:r>
                </w:p>
              </w:tc>
              <w:tc>
                <w:tcPr>
                  <w:tcW w:w="1075" w:type="dxa"/>
                </w:tcPr>
                <w:p w14:paraId="619EF75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33.7%</w:t>
                  </w:r>
                </w:p>
              </w:tc>
              <w:tc>
                <w:tcPr>
                  <w:tcW w:w="1075" w:type="dxa"/>
                </w:tcPr>
                <w:p w14:paraId="368A519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56.5%</w:t>
                  </w:r>
                </w:p>
              </w:tc>
              <w:tc>
                <w:tcPr>
                  <w:tcW w:w="1075" w:type="dxa"/>
                </w:tcPr>
                <w:p w14:paraId="0CEAF0FC">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15.0%</w:t>
                  </w:r>
                </w:p>
              </w:tc>
              <w:tc>
                <w:tcPr>
                  <w:tcW w:w="1075" w:type="dxa"/>
                </w:tcPr>
                <w:p w14:paraId="2CEA0B0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10.5%</w:t>
                  </w:r>
                </w:p>
              </w:tc>
              <w:tc>
                <w:tcPr>
                  <w:tcW w:w="1075" w:type="dxa"/>
                </w:tcPr>
                <w:p w14:paraId="6A346A5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10.1%</w:t>
                  </w:r>
                </w:p>
              </w:tc>
              <w:tc>
                <w:tcPr>
                  <w:tcW w:w="1075" w:type="dxa"/>
                </w:tcPr>
                <w:p w14:paraId="5F8F383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9.8%</w:t>
                  </w:r>
                </w:p>
              </w:tc>
            </w:tr>
            <w:tr w14:paraId="4F90956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2E681DA2">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毛利率</w:t>
                  </w:r>
                </w:p>
              </w:tc>
              <w:tc>
                <w:tcPr>
                  <w:tcW w:w="1075" w:type="dxa"/>
                </w:tcPr>
                <w:p w14:paraId="002DBFFD">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45.8%</w:t>
                  </w:r>
                </w:p>
              </w:tc>
              <w:tc>
                <w:tcPr>
                  <w:tcW w:w="1075" w:type="dxa"/>
                </w:tcPr>
                <w:p w14:paraId="0651207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43.8%</w:t>
                  </w:r>
                </w:p>
              </w:tc>
              <w:tc>
                <w:tcPr>
                  <w:tcW w:w="1075" w:type="dxa"/>
                </w:tcPr>
                <w:p w14:paraId="26A2715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42.7%</w:t>
                  </w:r>
                </w:p>
              </w:tc>
              <w:tc>
                <w:tcPr>
                  <w:tcW w:w="1075" w:type="dxa"/>
                </w:tcPr>
                <w:p w14:paraId="1091F4B5">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42.9%</w:t>
                  </w:r>
                </w:p>
              </w:tc>
              <w:tc>
                <w:tcPr>
                  <w:tcW w:w="1075" w:type="dxa"/>
                </w:tcPr>
                <w:p w14:paraId="536B17B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43.2%</w:t>
                  </w:r>
                </w:p>
              </w:tc>
              <w:tc>
                <w:tcPr>
                  <w:tcW w:w="1075" w:type="dxa"/>
                </w:tcPr>
                <w:p w14:paraId="23F52C2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43.5%</w:t>
                  </w:r>
                </w:p>
              </w:tc>
            </w:tr>
            <w:tr w14:paraId="6A9FD9D1">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407FD1DE">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归母净利润(百万)</w:t>
                  </w:r>
                </w:p>
              </w:tc>
              <w:tc>
                <w:tcPr>
                  <w:tcW w:w="1075" w:type="dxa"/>
                </w:tcPr>
                <w:p w14:paraId="7E829C6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336</w:t>
                  </w:r>
                </w:p>
              </w:tc>
              <w:tc>
                <w:tcPr>
                  <w:tcW w:w="1075" w:type="dxa"/>
                </w:tcPr>
                <w:p w14:paraId="23276A7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214</w:t>
                  </w:r>
                </w:p>
              </w:tc>
              <w:tc>
                <w:tcPr>
                  <w:tcW w:w="1075" w:type="dxa"/>
                </w:tcPr>
                <w:p w14:paraId="7B3754F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283</w:t>
                  </w:r>
                </w:p>
              </w:tc>
              <w:tc>
                <w:tcPr>
                  <w:tcW w:w="1075" w:type="dxa"/>
                </w:tcPr>
                <w:p w14:paraId="6528763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300</w:t>
                  </w:r>
                </w:p>
              </w:tc>
              <w:tc>
                <w:tcPr>
                  <w:tcW w:w="1075" w:type="dxa"/>
                </w:tcPr>
                <w:p w14:paraId="2367A39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396</w:t>
                  </w:r>
                </w:p>
              </w:tc>
              <w:tc>
                <w:tcPr>
                  <w:tcW w:w="1075" w:type="dxa"/>
                </w:tcPr>
                <w:p w14:paraId="77A835CE">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559</w:t>
                  </w:r>
                </w:p>
              </w:tc>
            </w:tr>
            <w:tr w14:paraId="519FA45F">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4EE31D2D">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归母净利润YOY %</w:t>
                  </w:r>
                </w:p>
              </w:tc>
              <w:tc>
                <w:tcPr>
                  <w:tcW w:w="1075" w:type="dxa"/>
                </w:tcPr>
                <w:p w14:paraId="2CA73F4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81.2%</w:t>
                  </w:r>
                </w:p>
              </w:tc>
              <w:tc>
                <w:tcPr>
                  <w:tcW w:w="1075" w:type="dxa"/>
                </w:tcPr>
                <w:p w14:paraId="45FD6DF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-36.2%</w:t>
                  </w:r>
                </w:p>
              </w:tc>
              <w:tc>
                <w:tcPr>
                  <w:tcW w:w="1075" w:type="dxa"/>
                </w:tcPr>
                <w:p w14:paraId="0AE09D4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32.2%</w:t>
                  </w:r>
                </w:p>
              </w:tc>
              <w:tc>
                <w:tcPr>
                  <w:tcW w:w="1075" w:type="dxa"/>
                </w:tcPr>
                <w:p w14:paraId="34DEB96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6.0%</w:t>
                  </w:r>
                </w:p>
              </w:tc>
              <w:tc>
                <w:tcPr>
                  <w:tcW w:w="1075" w:type="dxa"/>
                </w:tcPr>
                <w:p w14:paraId="5298556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32.0%</w:t>
                  </w:r>
                </w:p>
              </w:tc>
              <w:tc>
                <w:tcPr>
                  <w:tcW w:w="1075" w:type="dxa"/>
                </w:tcPr>
                <w:p w14:paraId="6849370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41.2%</w:t>
                  </w:r>
                </w:p>
              </w:tc>
            </w:tr>
            <w:tr w14:paraId="5373C6BF">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1D0BE0E7">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ROE %</w:t>
                  </w:r>
                </w:p>
              </w:tc>
              <w:tc>
                <w:tcPr>
                  <w:tcW w:w="1075" w:type="dxa"/>
                </w:tcPr>
                <w:p w14:paraId="1F004B1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17.3%</w:t>
                  </w:r>
                </w:p>
              </w:tc>
              <w:tc>
                <w:tcPr>
                  <w:tcW w:w="1075" w:type="dxa"/>
                </w:tcPr>
                <w:p w14:paraId="16D1BEF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8.8%</w:t>
                  </w:r>
                </w:p>
              </w:tc>
              <w:tc>
                <w:tcPr>
                  <w:tcW w:w="1075" w:type="dxa"/>
                </w:tcPr>
                <w:p w14:paraId="21AD633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10.9%</w:t>
                  </w:r>
                </w:p>
              </w:tc>
              <w:tc>
                <w:tcPr>
                  <w:tcW w:w="1075" w:type="dxa"/>
                </w:tcPr>
                <w:p w14:paraId="35B4ED6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10.4%</w:t>
                  </w:r>
                </w:p>
              </w:tc>
              <w:tc>
                <w:tcPr>
                  <w:tcW w:w="1075" w:type="dxa"/>
                </w:tcPr>
                <w:p w14:paraId="1F4337E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12.2%</w:t>
                  </w:r>
                </w:p>
              </w:tc>
              <w:tc>
                <w:tcPr>
                  <w:tcW w:w="1075" w:type="dxa"/>
                </w:tcPr>
                <w:p w14:paraId="690C1F2D">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15.0%</w:t>
                  </w:r>
                </w:p>
              </w:tc>
            </w:tr>
            <w:tr w14:paraId="21BCBD21">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37B86503">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EPS</w:t>
                  </w:r>
                </w:p>
              </w:tc>
              <w:tc>
                <w:tcPr>
                  <w:tcW w:w="1075" w:type="dxa"/>
                </w:tcPr>
                <w:p w14:paraId="1D2A543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0.84</w:t>
                  </w:r>
                </w:p>
              </w:tc>
              <w:tc>
                <w:tcPr>
                  <w:tcW w:w="1075" w:type="dxa"/>
                </w:tcPr>
                <w:p w14:paraId="1C19DDB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0.54</w:t>
                  </w:r>
                </w:p>
              </w:tc>
              <w:tc>
                <w:tcPr>
                  <w:tcW w:w="1075" w:type="dxa"/>
                </w:tcPr>
                <w:p w14:paraId="074FDCB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0.70</w:t>
                  </w:r>
                </w:p>
              </w:tc>
              <w:tc>
                <w:tcPr>
                  <w:tcW w:w="1075" w:type="dxa"/>
                </w:tcPr>
                <w:p w14:paraId="384914B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0.74</w:t>
                  </w:r>
                </w:p>
              </w:tc>
              <w:tc>
                <w:tcPr>
                  <w:tcW w:w="1075" w:type="dxa"/>
                </w:tcPr>
                <w:p w14:paraId="5A77393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0.98</w:t>
                  </w:r>
                </w:p>
              </w:tc>
              <w:tc>
                <w:tcPr>
                  <w:tcW w:w="1075" w:type="dxa"/>
                </w:tcPr>
                <w:p w14:paraId="05903B9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1.39</w:t>
                  </w:r>
                </w:p>
              </w:tc>
            </w:tr>
            <w:tr w14:paraId="4E3379A6">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376B2F0F">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PE</w:t>
                  </w:r>
                </w:p>
              </w:tc>
              <w:tc>
                <w:tcPr>
                  <w:tcW w:w="1075" w:type="dxa"/>
                </w:tcPr>
                <w:p w14:paraId="518F0A7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22.1</w:t>
                  </w:r>
                </w:p>
              </w:tc>
              <w:tc>
                <w:tcPr>
                  <w:tcW w:w="1075" w:type="dxa"/>
                </w:tcPr>
                <w:p w14:paraId="343E222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34.6</w:t>
                  </w:r>
                </w:p>
              </w:tc>
              <w:tc>
                <w:tcPr>
                  <w:tcW w:w="1075" w:type="dxa"/>
                </w:tcPr>
                <w:p w14:paraId="22091E9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26.2</w:t>
                  </w:r>
                </w:p>
              </w:tc>
              <w:tc>
                <w:tcPr>
                  <w:tcW w:w="1075" w:type="dxa"/>
                </w:tcPr>
                <w:p w14:paraId="1E29A9F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24.7</w:t>
                  </w:r>
                </w:p>
              </w:tc>
              <w:tc>
                <w:tcPr>
                  <w:tcW w:w="1075" w:type="dxa"/>
                </w:tcPr>
                <w:p w14:paraId="74E56FD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18.7</w:t>
                  </w:r>
                </w:p>
              </w:tc>
              <w:tc>
                <w:tcPr>
                  <w:tcW w:w="1075" w:type="dxa"/>
                </w:tcPr>
                <w:p w14:paraId="743050DC">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13.2</w:t>
                  </w:r>
                </w:p>
              </w:tc>
            </w:tr>
            <w:tr w14:paraId="5767CEE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626A1C2A">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PB</w:t>
                  </w:r>
                </w:p>
              </w:tc>
              <w:tc>
                <w:tcPr>
                  <w:tcW w:w="1075" w:type="dxa"/>
                </w:tcPr>
                <w:p w14:paraId="0395B9A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3.1</w:t>
                  </w:r>
                </w:p>
              </w:tc>
              <w:tc>
                <w:tcPr>
                  <w:tcW w:w="1075" w:type="dxa"/>
                </w:tcPr>
                <w:p w14:paraId="74FDE061">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3.0</w:t>
                  </w:r>
                </w:p>
              </w:tc>
              <w:tc>
                <w:tcPr>
                  <w:tcW w:w="1075" w:type="dxa"/>
                </w:tcPr>
                <w:p w14:paraId="6C31586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2.7</w:t>
                  </w:r>
                </w:p>
              </w:tc>
              <w:tc>
                <w:tcPr>
                  <w:tcW w:w="1075" w:type="dxa"/>
                </w:tcPr>
                <w:p w14:paraId="7883F56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2.4</w:t>
                  </w:r>
                </w:p>
              </w:tc>
              <w:tc>
                <w:tcPr>
                  <w:tcW w:w="1075" w:type="dxa"/>
                </w:tcPr>
                <w:p w14:paraId="202A9FA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2.2</w:t>
                  </w:r>
                </w:p>
              </w:tc>
              <w:tc>
                <w:tcPr>
                  <w:tcW w:w="1075" w:type="dxa"/>
                </w:tcPr>
                <w:p w14:paraId="2299A311">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1.9</w:t>
                  </w:r>
                </w:p>
              </w:tc>
            </w:tr>
            <w:tr w14:paraId="7F46868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035DAB08">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EV/EBITDA</w:t>
                  </w:r>
                </w:p>
              </w:tc>
              <w:tc>
                <w:tcPr>
                  <w:tcW w:w="1075" w:type="dxa"/>
                </w:tcPr>
                <w:p w14:paraId="7BDA50C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14.0</w:t>
                  </w:r>
                </w:p>
              </w:tc>
              <w:tc>
                <w:tcPr>
                  <w:tcW w:w="1075" w:type="dxa"/>
                </w:tcPr>
                <w:p w14:paraId="51144E40">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20.7</w:t>
                  </w:r>
                </w:p>
              </w:tc>
              <w:tc>
                <w:tcPr>
                  <w:tcW w:w="1075" w:type="dxa"/>
                </w:tcPr>
                <w:p w14:paraId="35A829A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12.0</w:t>
                  </w:r>
                </w:p>
              </w:tc>
              <w:tc>
                <w:tcPr>
                  <w:tcW w:w="1075" w:type="dxa"/>
                </w:tcPr>
                <w:p w14:paraId="7A957BD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11.1</w:t>
                  </w:r>
                </w:p>
              </w:tc>
              <w:tc>
                <w:tcPr>
                  <w:tcW w:w="1075" w:type="dxa"/>
                </w:tcPr>
                <w:p w14:paraId="2CC9BD9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8.8</w:t>
                  </w:r>
                </w:p>
              </w:tc>
              <w:tc>
                <w:tcPr>
                  <w:tcW w:w="1075" w:type="dxa"/>
                </w:tcPr>
                <w:p w14:paraId="1BC4AD20">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6.4</w:t>
                  </w:r>
                </w:p>
              </w:tc>
            </w:tr>
            <w:bookmarkEnd w:id="18"/>
          </w:tbl>
          <w:p w14:paraId="5B8D3CD5">
            <w:pPr>
              <w:jc w:val="both"/>
              <w:rPr>
                <w:rFonts w:hint="eastAsia" w:ascii="微软雅黑" w:hAnsi="微软雅黑" w:eastAsia="微软雅黑" w:cs="微软雅黑"/>
                <w:i w:val="0"/>
                <w:iCs w:val="0"/>
                <w:color w:val="000000"/>
                <w:sz w:val="15"/>
                <w:szCs w:val="15"/>
                <w:u w:val="none"/>
                <w:lang w:eastAsia="zh-TW"/>
              </w:rPr>
            </w:pPr>
          </w:p>
        </w:tc>
      </w:tr>
      <w:bookmarkEnd w:id="19"/>
      <w:tr w14:paraId="5D59B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A67C46">
            <w:pPr>
              <w:keepNext w:val="0"/>
              <w:keepLines w:val="0"/>
              <w:widowControl/>
              <w:suppressLineNumbers w:val="0"/>
              <w:jc w:val="left"/>
              <w:textAlignment w:val="center"/>
              <w:rPr>
                <w:rFonts w:hint="eastAsia" w:ascii="Arial Unicode MS" w:hAnsi="Arial Unicode MS" w:eastAsia="PMingLiU" w:cs="Arial Unicode MS"/>
                <w:b/>
                <w:bCs/>
                <w:i w:val="0"/>
                <w:iCs w:val="0"/>
                <w:color w:val="000000"/>
                <w:sz w:val="15"/>
                <w:szCs w:val="15"/>
                <w:u w:val="none"/>
                <w:lang w:eastAsia="zh-TW"/>
              </w:rPr>
            </w:pPr>
            <w:r>
              <w:rPr>
                <w:rFonts w:hint="eastAsia" w:ascii="微软雅黑" w:hAnsi="微软雅黑" w:eastAsia="微软雅黑" w:cs="微软雅黑"/>
                <w:b/>
                <w:bCs/>
                <w:i w:val="0"/>
                <w:iCs w:val="0"/>
                <w:color w:val="000000"/>
                <w:sz w:val="15"/>
                <w:szCs w:val="15"/>
                <w:u w:val="none"/>
                <w:lang w:val="en-US" w:eastAsia="zh-CN"/>
              </w:rPr>
              <w:t>投资</w:t>
            </w:r>
            <w:r>
              <w:rPr>
                <w:rFonts w:hint="eastAsia" w:ascii="微软雅黑" w:hAnsi="微软雅黑" w:eastAsia="微软雅黑" w:cs="微软雅黑"/>
                <w:b/>
                <w:bCs/>
                <w:i w:val="0"/>
                <w:iCs w:val="0"/>
                <w:color w:val="000000"/>
                <w:sz w:val="15"/>
                <w:szCs w:val="15"/>
                <w:u w:val="none"/>
                <w:lang w:val="en-US" w:eastAsia="zh-TW"/>
              </w:rPr>
              <w:t>要点</w:t>
            </w:r>
          </w:p>
        </w:tc>
      </w:tr>
      <w:tr w14:paraId="09B1B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50"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7C7C5F89">
            <w:pPr>
              <w:jc w:val="both"/>
              <w:rPr>
                <w:rFonts w:hint="eastAsia" w:ascii="微软雅黑" w:hAnsi="微软雅黑" w:eastAsia="微软雅黑" w:cs="微软雅黑"/>
                <w:i w:val="0"/>
                <w:iCs w:val="0"/>
                <w:color w:val="000000"/>
                <w:sz w:val="15"/>
                <w:szCs w:val="15"/>
                <w:u w:val="none"/>
              </w:rPr>
            </w:pPr>
            <w:bookmarkStart w:id="20" w:name="投资逻辑" w:colFirst="0" w:colLast="0"/>
            <w:r>
              <w:rPr>
                <w:rFonts w:ascii="微软雅黑" w:hAnsi="微软雅黑" w:eastAsia="微软雅黑" w:cs="微软雅黑"/>
              </w:rPr>
              <w:t>见附件</w:t>
            </w:r>
          </w:p>
        </w:tc>
      </w:tr>
      <w:bookmarkEnd w:id="20"/>
      <w:tr w14:paraId="68703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14979A">
            <w:pPr>
              <w:keepNext w:val="0"/>
              <w:keepLines w:val="0"/>
              <w:widowControl/>
              <w:suppressLineNumbers w:val="0"/>
              <w:jc w:val="left"/>
              <w:textAlignment w:val="center"/>
              <w:rPr>
                <w:rFonts w:hint="eastAsia" w:ascii="Arial Unicode MS" w:hAnsi="Arial Unicode MS" w:eastAsia="Arial Unicode MS" w:cs="Arial Unicode MS"/>
                <w:b/>
                <w:bCs/>
                <w:i w:val="0"/>
                <w:iCs w:val="0"/>
                <w:color w:val="000000"/>
                <w:sz w:val="15"/>
                <w:szCs w:val="15"/>
                <w:u w:val="none"/>
              </w:rPr>
            </w:pPr>
            <w:r>
              <w:rPr>
                <w:rFonts w:hint="eastAsia" w:ascii="微软雅黑" w:hAnsi="微软雅黑" w:eastAsia="微软雅黑" w:cs="微软雅黑"/>
                <w:b/>
                <w:bCs/>
                <w:i w:val="0"/>
                <w:iCs w:val="0"/>
                <w:color w:val="000000"/>
                <w:sz w:val="15"/>
                <w:szCs w:val="15"/>
                <w:u w:val="none"/>
                <w:lang w:val="en-US" w:eastAsia="zh-CN"/>
              </w:rPr>
              <w:t>正文部分</w:t>
            </w:r>
          </w:p>
        </w:tc>
      </w:tr>
      <w:tr w14:paraId="47179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7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363EE3ED">
            <w:pPr>
              <w:jc w:val="both"/>
              <w:rPr>
                <w:rFonts w:hint="eastAsia" w:ascii="微软雅黑" w:hAnsi="微软雅黑" w:eastAsia="微软雅黑" w:cs="微软雅黑"/>
                <w:i w:val="0"/>
                <w:iCs w:val="0"/>
                <w:color w:val="000000"/>
                <w:sz w:val="15"/>
                <w:szCs w:val="15"/>
                <w:u w:val="none"/>
              </w:rPr>
            </w:pPr>
            <w:bookmarkStart w:id="21" w:name="正文" w:colFirst="0" w:colLast="0"/>
            <w:r>
              <w:rPr>
                <w:rFonts w:ascii="微软雅黑" w:hAnsi="微软雅黑" w:eastAsia="微软雅黑" w:cs="微软雅黑"/>
              </w:rPr>
              <w:t>见附件</w:t>
            </w:r>
          </w:p>
        </w:tc>
      </w:tr>
      <w:bookmarkEnd w:id="21"/>
    </w:tbl>
    <w:p w14:paraId="39F5FEF2">
      <w:pPr>
        <w:rPr>
          <w:rFonts w:hint="eastAsia" w:ascii="微软雅黑" w:hAnsi="微软雅黑" w:eastAsia="微软雅黑" w:cs="微软雅黑"/>
          <w:color w:val="808080" w:themeColor="background1" w:themeShade="80"/>
          <w:sz w:val="20"/>
          <w:szCs w:val="20"/>
        </w:rPr>
        <w:sectPr>
          <w:headerReference r:id="rId3" w:type="default"/>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pPr>
    </w:p>
    <w:p w14:paraId="3ABDC0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4B4A48"/>
          <w:spacing w:val="0"/>
          <w:sz w:val="24"/>
          <w:szCs w:val="24"/>
          <w:shd w:val="clear" w:fill="FFFFFF"/>
          <w:lang w:eastAsia="zh-CN"/>
        </w:rPr>
      </w:pPr>
      <w:r>
        <w:rPr>
          <w:rFonts w:hint="eastAsia" w:ascii="微软雅黑" w:hAnsi="微软雅黑" w:eastAsia="微软雅黑" w:cs="微软雅黑"/>
          <w:i w:val="0"/>
          <w:iCs w:val="0"/>
          <w:caps w:val="0"/>
          <w:color w:val="4B4A48"/>
          <w:spacing w:val="0"/>
          <w:sz w:val="24"/>
          <w:szCs w:val="24"/>
          <w:shd w:val="clear" w:fill="FFFFFF"/>
        </w:rPr>
        <w:t>报告评级对应的预期收益率</w:t>
      </w:r>
      <w:r>
        <w:rPr>
          <w:rFonts w:hint="eastAsia" w:ascii="微软雅黑" w:hAnsi="微软雅黑" w:eastAsia="微软雅黑" w:cs="微软雅黑"/>
          <w:i w:val="0"/>
          <w:iCs w:val="0"/>
          <w:caps w:val="0"/>
          <w:color w:val="4B4A48"/>
          <w:spacing w:val="0"/>
          <w:sz w:val="24"/>
          <w:szCs w:val="24"/>
          <w:shd w:val="clear" w:fill="FFFFFF"/>
          <w:lang w:eastAsia="zh-CN"/>
        </w:rPr>
        <w:t>（</w:t>
      </w:r>
      <w:r>
        <w:rPr>
          <w:rFonts w:hint="eastAsia" w:ascii="微软雅黑" w:hAnsi="微软雅黑" w:eastAsia="微软雅黑" w:cs="微软雅黑"/>
          <w:i w:val="0"/>
          <w:iCs w:val="0"/>
          <w:caps w:val="0"/>
          <w:color w:val="4B4A48"/>
          <w:spacing w:val="0"/>
          <w:sz w:val="24"/>
          <w:szCs w:val="24"/>
          <w:shd w:val="clear" w:fill="FFFFFF"/>
          <w:lang w:val="en-US" w:eastAsia="zh-CN"/>
        </w:rPr>
        <w:t>9个月</w:t>
      </w:r>
      <w:r>
        <w:rPr>
          <w:rFonts w:hint="eastAsia" w:ascii="微软雅黑" w:hAnsi="微软雅黑" w:eastAsia="微软雅黑" w:cs="微软雅黑"/>
          <w:i w:val="0"/>
          <w:iCs w:val="0"/>
          <w:caps w:val="0"/>
          <w:color w:val="4B4A48"/>
          <w:spacing w:val="0"/>
          <w:sz w:val="24"/>
          <w:szCs w:val="24"/>
          <w:shd w:val="clear" w:fill="FFFFFF"/>
          <w:lang w:eastAsia="zh-CN"/>
        </w:rPr>
        <w:t>）：</w:t>
      </w:r>
    </w:p>
    <w:p w14:paraId="2CD1354D">
      <w:pPr>
        <w:rPr>
          <w:rFonts w:hint="eastAsia" w:ascii="微软雅黑" w:hAnsi="微软雅黑" w:eastAsia="微软雅黑" w:cs="微软雅黑"/>
          <w:color w:val="44546A" w:themeColor="text2"/>
          <w:sz w:val="18"/>
          <w:szCs w:val="18"/>
          <w:lang w:val="en-US" w:eastAsia="zh-CN"/>
          <w14:textFill>
            <w14:solidFill>
              <w14:schemeClr w14:val="tx2"/>
            </w14:solidFill>
          </w14:textFill>
        </w:rPr>
      </w:pPr>
      <w:r>
        <w:rPr>
          <w:rFonts w:hint="eastAsia" w:ascii="微软雅黑" w:hAnsi="微软雅黑" w:eastAsia="微软雅黑" w:cs="微软雅黑"/>
          <w:color w:val="808080" w:themeColor="background1" w:themeShade="80"/>
          <w:sz w:val="18"/>
          <w:szCs w:val="18"/>
          <w:lang w:val="en-US" w:eastAsia="zh-CN"/>
        </w:rPr>
        <w:t>请根据股票评级给出</w:t>
      </w:r>
      <w:r>
        <w:rPr>
          <w:rFonts w:hint="eastAsia" w:ascii="微软雅黑" w:hAnsi="微软雅黑" w:eastAsia="微软雅黑" w:cs="微软雅黑"/>
          <w:color w:val="808080" w:themeColor="background1" w:themeShade="80"/>
          <w:sz w:val="18"/>
          <w:szCs w:val="18"/>
          <w:lang w:eastAsia="zh-CN"/>
        </w:rPr>
        <w:t>预期收益率，</w:t>
      </w:r>
      <w:r>
        <w:rPr>
          <w:rFonts w:hint="eastAsia" w:ascii="微软雅黑" w:hAnsi="微软雅黑" w:eastAsia="微软雅黑" w:cs="微软雅黑"/>
          <w:color w:val="808080" w:themeColor="background1" w:themeShade="80"/>
          <w:sz w:val="18"/>
          <w:szCs w:val="18"/>
          <w:lang w:val="en-US" w:eastAsia="zh-CN"/>
        </w:rPr>
        <w:t>给出的预期收益率不可低于评级范围的下限</w:t>
      </w:r>
    </w:p>
    <w:p w14:paraId="62A4B030">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强烈买入（50%以上）</w:t>
      </w:r>
    </w:p>
    <w:p w14:paraId="780EEA6A">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买入（10%</w:t>
      </w:r>
      <w:r>
        <w:rPr>
          <w:rFonts w:hint="eastAsia" w:ascii="微软雅黑" w:hAnsi="微软雅黑" w:eastAsia="微软雅黑" w:cs="微软雅黑"/>
          <w:color w:val="808080" w:themeColor="background1" w:themeShade="80"/>
          <w:sz w:val="18"/>
          <w:szCs w:val="18"/>
          <w:lang w:val="en-US" w:eastAsia="zh-CN"/>
        </w:rPr>
        <w:t>~50%</w:t>
      </w:r>
      <w:r>
        <w:rPr>
          <w:rFonts w:hint="eastAsia" w:ascii="微软雅黑" w:hAnsi="微软雅黑" w:eastAsia="微软雅黑" w:cs="微软雅黑"/>
          <w:color w:val="808080" w:themeColor="background1" w:themeShade="80"/>
          <w:sz w:val="18"/>
          <w:szCs w:val="18"/>
        </w:rPr>
        <w:t>）</w:t>
      </w:r>
    </w:p>
    <w:p w14:paraId="32F00FDF">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持有（</w:t>
      </w:r>
      <w:r>
        <w:rPr>
          <w:rFonts w:hint="eastAsia" w:ascii="微软雅黑" w:hAnsi="微软雅黑" w:eastAsia="微软雅黑" w:cs="微软雅黑"/>
          <w:color w:val="808080" w:themeColor="background1" w:themeShade="80"/>
          <w:sz w:val="18"/>
          <w:szCs w:val="18"/>
          <w:lang w:val="en-US" w:eastAsia="zh-CN"/>
        </w:rPr>
        <w:t>-</w:t>
      </w:r>
      <w:r>
        <w:rPr>
          <w:rFonts w:hint="eastAsia" w:ascii="微软雅黑" w:hAnsi="微软雅黑" w:eastAsia="微软雅黑" w:cs="微软雅黑"/>
          <w:color w:val="808080" w:themeColor="background1" w:themeShade="80"/>
          <w:sz w:val="18"/>
          <w:szCs w:val="18"/>
        </w:rPr>
        <w:t>10%</w:t>
      </w:r>
      <w:r>
        <w:rPr>
          <w:rFonts w:hint="eastAsia" w:ascii="微软雅黑" w:hAnsi="微软雅黑" w:eastAsia="微软雅黑" w:cs="微软雅黑"/>
          <w:color w:val="808080" w:themeColor="background1" w:themeShade="80"/>
          <w:sz w:val="18"/>
          <w:szCs w:val="18"/>
          <w:lang w:val="en-US" w:eastAsia="zh-CN"/>
        </w:rPr>
        <w:t>~</w:t>
      </w:r>
      <w:r>
        <w:rPr>
          <w:rFonts w:hint="eastAsia" w:ascii="微软雅黑" w:hAnsi="微软雅黑" w:eastAsia="微软雅黑" w:cs="微软雅黑"/>
          <w:color w:val="808080" w:themeColor="background1" w:themeShade="80"/>
          <w:sz w:val="18"/>
          <w:szCs w:val="18"/>
        </w:rPr>
        <w:t>10%）</w:t>
      </w:r>
    </w:p>
    <w:p w14:paraId="4B4BDB7B">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卖出（-</w:t>
      </w:r>
      <w:r>
        <w:rPr>
          <w:rFonts w:hint="eastAsia" w:ascii="微软雅黑" w:hAnsi="微软雅黑" w:eastAsia="微软雅黑" w:cs="微软雅黑"/>
          <w:color w:val="808080" w:themeColor="background1" w:themeShade="80"/>
          <w:sz w:val="18"/>
          <w:szCs w:val="18"/>
          <w:lang w:val="en-US" w:eastAsia="zh-CN"/>
        </w:rPr>
        <w:t>5</w:t>
      </w:r>
      <w:r>
        <w:rPr>
          <w:rFonts w:hint="eastAsia" w:ascii="微软雅黑" w:hAnsi="微软雅黑" w:eastAsia="微软雅黑" w:cs="微软雅黑"/>
          <w:color w:val="808080" w:themeColor="background1" w:themeShade="80"/>
          <w:sz w:val="18"/>
          <w:szCs w:val="18"/>
        </w:rPr>
        <w:t>0%</w:t>
      </w:r>
      <w:r>
        <w:rPr>
          <w:rFonts w:hint="eastAsia" w:ascii="微软雅黑" w:hAnsi="微软雅黑" w:eastAsia="微软雅黑" w:cs="微软雅黑"/>
          <w:color w:val="808080" w:themeColor="background1" w:themeShade="80"/>
          <w:sz w:val="18"/>
          <w:szCs w:val="18"/>
          <w:lang w:val="en-US" w:eastAsia="zh-CN"/>
        </w:rPr>
        <w:t>~-10%</w:t>
      </w:r>
      <w:r>
        <w:rPr>
          <w:rFonts w:hint="eastAsia" w:ascii="微软雅黑" w:hAnsi="微软雅黑" w:eastAsia="微软雅黑" w:cs="微软雅黑"/>
          <w:color w:val="808080" w:themeColor="background1" w:themeShade="80"/>
          <w:sz w:val="18"/>
          <w:szCs w:val="18"/>
        </w:rPr>
        <w:t>）</w:t>
      </w:r>
    </w:p>
    <w:p w14:paraId="49366263">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lang w:eastAsia="zh-CN"/>
        </w:rPr>
      </w:pPr>
      <w:r>
        <w:rPr>
          <w:rFonts w:hint="eastAsia" w:ascii="微软雅黑" w:hAnsi="微软雅黑" w:eastAsia="微软雅黑" w:cs="微软雅黑"/>
          <w:color w:val="808080" w:themeColor="background1" w:themeShade="80"/>
          <w:sz w:val="18"/>
          <w:szCs w:val="18"/>
        </w:rPr>
        <w:t>强烈卖出</w:t>
      </w:r>
      <w:r>
        <w:rPr>
          <w:rFonts w:hint="eastAsia" w:ascii="微软雅黑" w:hAnsi="微软雅黑" w:eastAsia="微软雅黑" w:cs="微软雅黑"/>
          <w:color w:val="808080" w:themeColor="background1" w:themeShade="80"/>
          <w:sz w:val="18"/>
          <w:szCs w:val="18"/>
          <w:lang w:eastAsia="zh-CN"/>
        </w:rPr>
        <w:t>（</w:t>
      </w:r>
      <w:r>
        <w:rPr>
          <w:rFonts w:hint="eastAsia" w:ascii="微软雅黑" w:hAnsi="微软雅黑" w:eastAsia="微软雅黑" w:cs="微软雅黑"/>
          <w:color w:val="808080" w:themeColor="background1" w:themeShade="80"/>
          <w:sz w:val="18"/>
          <w:szCs w:val="18"/>
          <w:lang w:val="en-US" w:eastAsia="zh-CN"/>
        </w:rPr>
        <w:t>-50%以下</w:t>
      </w:r>
      <w:r>
        <w:rPr>
          <w:rFonts w:hint="eastAsia" w:ascii="微软雅黑" w:hAnsi="微软雅黑" w:eastAsia="微软雅黑" w:cs="微软雅黑"/>
          <w:color w:val="808080" w:themeColor="background1" w:themeShade="80"/>
          <w:sz w:val="18"/>
          <w:szCs w:val="18"/>
          <w:lang w:eastAsia="zh-CN"/>
        </w:rPr>
        <w:t>）</w:t>
      </w:r>
    </w:p>
    <w:p w14:paraId="7F42D26F">
      <w:pPr>
        <w:rPr>
          <w:rFonts w:hint="eastAsia" w:ascii="微软雅黑" w:hAnsi="微软雅黑" w:eastAsia="微软雅黑" w:cs="微软雅黑"/>
          <w:color w:val="808080" w:themeColor="background1" w:themeShade="80"/>
          <w:sz w:val="20"/>
          <w:szCs w:val="20"/>
        </w:rPr>
      </w:pPr>
    </w:p>
    <w:p w14:paraId="23B552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4B4A48"/>
          <w:spacing w:val="0"/>
          <w:sz w:val="24"/>
          <w:szCs w:val="24"/>
          <w:shd w:val="clear" w:fill="FFFFFF"/>
        </w:rPr>
      </w:pPr>
      <w:r>
        <w:rPr>
          <w:rFonts w:hint="eastAsia" w:ascii="微软雅黑" w:hAnsi="微软雅黑" w:eastAsia="微软雅黑" w:cs="微软雅黑"/>
          <w:i w:val="0"/>
          <w:iCs w:val="0"/>
          <w:caps w:val="0"/>
          <w:color w:val="4B4A48"/>
          <w:spacing w:val="0"/>
          <w:sz w:val="24"/>
          <w:szCs w:val="24"/>
          <w:shd w:val="clear" w:fill="FFFFFF"/>
        </w:rPr>
        <w:t>重要声明</w:t>
      </w:r>
    </w:p>
    <w:p w14:paraId="206E1BFF">
      <w:pPr>
        <w:ind w:firstLine="360" w:firstLineChars="20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本报告由博时基金管理有限公司（博时基金）编制。本报告中的信息来源于公开资料，公司对该等信息的准确性和完整性不作任何保证。报告中的信息、观点等仅供参考，在任何情况下不构成对任何人的投资建议，亦不构成我司的实际投资结果。取得本报告的机构或人员应对本报告中的信息和观点进行独立评估，自主审慎做出决策并自行承担风险。博时基金及/或其关联人员均不承担任何责任。本报告版权均归博时基金管理有限公司所有，且该报告为公司商业秘密，未经授权，任何机构或个人不得以任何形式复制、转发或公开传播本报告的全部或部分内容。</w:t>
      </w:r>
    </w:p>
    <w:p w14:paraId="367E1ACC">
      <w:pPr>
        <w:rPr>
          <w:rFonts w:ascii="微软雅黑" w:hAnsi="微软雅黑" w:eastAsia="微软雅黑" w:cs="微软雅黑"/>
          <w:b/>
          <w:bCs/>
          <w:i w:val="0"/>
          <w:iCs w:val="0"/>
          <w:caps w:val="0"/>
          <w:color w:val="606266"/>
          <w:spacing w:val="0"/>
          <w:sz w:val="21"/>
          <w:szCs w:val="21"/>
          <w:shd w:val="clear" w:fill="FFFFFF"/>
        </w:rPr>
      </w:pPr>
      <w:r>
        <w:rPr>
          <w:rFonts w:ascii="微软雅黑" w:hAnsi="微软雅黑" w:eastAsia="微软雅黑" w:cs="微软雅黑"/>
          <w:b/>
          <w:bCs/>
          <w:i w:val="0"/>
          <w:iCs w:val="0"/>
          <w:caps w:val="0"/>
          <w:color w:val="606266"/>
          <w:spacing w:val="0"/>
          <w:sz w:val="21"/>
          <w:szCs w:val="21"/>
          <w:shd w:val="clear" w:fill="FFFFFF"/>
        </w:rPr>
        <w:t>Disclaimer</w:t>
      </w:r>
    </w:p>
    <w:p w14:paraId="1E5BA716">
      <w:pPr>
        <w:ind w:firstLine="360" w:firstLineChars="200"/>
        <w:rPr>
          <w:rFonts w:hint="eastAsia" w:ascii="微软雅黑" w:hAnsi="微软雅黑" w:eastAsia="微软雅黑" w:cs="微软雅黑"/>
          <w:color w:val="808080" w:themeColor="background1" w:themeShade="80"/>
          <w:sz w:val="20"/>
          <w:szCs w:val="20"/>
        </w:rPr>
      </w:pPr>
      <w:r>
        <w:rPr>
          <w:rFonts w:hint="eastAsia" w:ascii="微软雅黑" w:hAnsi="微软雅黑" w:eastAsia="微软雅黑" w:cs="微软雅黑"/>
          <w:b w:val="0"/>
          <w:bCs w:val="0"/>
          <w:i w:val="0"/>
          <w:iCs w:val="0"/>
          <w:caps w:val="0"/>
          <w:color w:val="606266"/>
          <w:spacing w:val="0"/>
          <w:sz w:val="18"/>
          <w:szCs w:val="18"/>
          <w:shd w:val="clear" w:fill="FFFFFF"/>
        </w:rPr>
        <w:t>This report has been produced by Bosera Asset Management Co., Limited (“Bosera”). This report is based on information available to the public that we consider reliable, but Bosera do not represent that it is accurate or complete. The information and opinions contained herein are for reference only and are not an offer to buy or sell any securities/financial products or to participate in any particular trading strategy. Under no circumstances shall the information contained herein or the opinions expressed herein constitute a personal recommendation to anyone. Institution or person who obtained this report should make their own independent evaluation of the information contained in this report. Neither Bosera nor its related persons shall be liable in any manner whatsoever for any consequences of any reliance thereon or usage thereof. This report is distributed by Bosera Asset Management Co., Limited (“Bosera”). Any organization or individual may not copy, forward or publicly distribute all or part of this report in any form without authorisation.</w:t>
      </w:r>
    </w:p>
    <w:p w14:paraId="2C5BA1FB">
      <w:pPr>
        <w:ind w:firstLine="400" w:firstLineChars="200"/>
        <w:rPr>
          <w:rFonts w:hint="eastAsia" w:ascii="微软雅黑" w:hAnsi="微软雅黑" w:eastAsia="微软雅黑" w:cs="微软雅黑"/>
          <w:color w:val="808080" w:themeColor="background1" w:themeShade="80"/>
          <w:sz w:val="20"/>
          <w:szCs w:val="20"/>
        </w:rPr>
      </w:pPr>
    </w:p>
    <w:p w14:paraId="22AC6C72">
      <w:pPr>
        <w:ind w:firstLine="400" w:firstLineChars="200"/>
        <w:rPr>
          <w:rFonts w:hint="eastAsia" w:ascii="微软雅黑" w:hAnsi="微软雅黑" w:eastAsia="微软雅黑" w:cs="微软雅黑"/>
          <w:color w:val="808080" w:themeColor="background1" w:themeShade="80"/>
          <w:sz w:val="20"/>
          <w:szCs w:val="20"/>
        </w:rPr>
      </w:pPr>
    </w:p>
    <w:p w14:paraId="375EBBD0">
      <w:pPr>
        <w:ind w:firstLine="400" w:firstLineChars="200"/>
        <w:rPr>
          <w:rFonts w:hint="eastAsia" w:ascii="微软雅黑" w:hAnsi="微软雅黑" w:eastAsia="微软雅黑" w:cs="微软雅黑"/>
          <w:color w:val="808080" w:themeColor="background1" w:themeShade="80"/>
          <w:sz w:val="20"/>
          <w:szCs w:val="20"/>
        </w:rPr>
      </w:pPr>
    </w:p>
    <w:p w14:paraId="1EBC4ABF">
      <w:pPr>
        <w:ind w:firstLine="400" w:firstLineChars="200"/>
        <w:rPr>
          <w:rFonts w:hint="eastAsia" w:ascii="微软雅黑" w:hAnsi="微软雅黑" w:eastAsia="微软雅黑" w:cs="微软雅黑"/>
          <w:color w:val="808080" w:themeColor="background1" w:themeShade="80"/>
          <w:sz w:val="20"/>
          <w:szCs w:val="20"/>
        </w:rPr>
      </w:pPr>
    </w:p>
    <w:p w14:paraId="50E5BFF2">
      <w:pPr>
        <w:ind w:firstLine="400" w:firstLineChars="200"/>
        <w:rPr>
          <w:rFonts w:hint="eastAsia" w:ascii="微软雅黑" w:hAnsi="微软雅黑" w:eastAsia="微软雅黑" w:cs="微软雅黑"/>
          <w:color w:val="808080" w:themeColor="background1" w:themeShade="80"/>
          <w:sz w:val="20"/>
          <w:szCs w:val="20"/>
        </w:rPr>
      </w:pPr>
    </w:p>
    <w:p w14:paraId="40951D94">
      <w:pPr>
        <w:ind w:firstLine="400" w:firstLineChars="200"/>
        <w:rPr>
          <w:rFonts w:hint="eastAsia" w:ascii="微软雅黑" w:hAnsi="微软雅黑" w:eastAsia="微软雅黑" w:cs="微软雅黑"/>
          <w:color w:val="808080" w:themeColor="background1" w:themeShade="80"/>
          <w:sz w:val="20"/>
          <w:szCs w:val="20"/>
        </w:rPr>
      </w:pPr>
    </w:p>
    <w:p w14:paraId="0B406201">
      <w:pPr>
        <w:ind w:firstLine="400" w:firstLineChars="200"/>
        <w:rPr>
          <w:rFonts w:hint="eastAsia" w:ascii="微软雅黑" w:hAnsi="微软雅黑" w:eastAsia="微软雅黑" w:cs="微软雅黑"/>
          <w:color w:val="808080" w:themeColor="background1" w:themeShade="80"/>
          <w:sz w:val="20"/>
          <w:szCs w:val="20"/>
        </w:rPr>
      </w:pPr>
    </w:p>
    <w:p w14:paraId="199A5A08">
      <w:pPr>
        <w:ind w:firstLine="400" w:firstLineChars="200"/>
        <w:rPr>
          <w:rFonts w:hint="eastAsia" w:ascii="微软雅黑" w:hAnsi="微软雅黑" w:eastAsia="微软雅黑" w:cs="微软雅黑"/>
          <w:color w:val="808080" w:themeColor="background1" w:themeShade="80"/>
          <w:sz w:val="20"/>
          <w:szCs w:val="20"/>
        </w:rPr>
      </w:pPr>
    </w:p>
    <w:p w14:paraId="3EAE6CFA">
      <w:pPr>
        <w:ind w:firstLine="400" w:firstLineChars="200"/>
        <w:rPr>
          <w:rFonts w:hint="eastAsia" w:ascii="微软雅黑" w:hAnsi="微软雅黑" w:eastAsia="微软雅黑" w:cs="微软雅黑"/>
          <w:color w:val="808080" w:themeColor="background1" w:themeShade="80"/>
          <w:sz w:val="20"/>
          <w:szCs w:val="20"/>
        </w:rPr>
      </w:pPr>
    </w:p>
    <w:p w14:paraId="76C97CA3"/>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auto"/>
    <w:pitch w:val="default"/>
    <w:sig w:usb0="00000000" w:usb1="00000000" w:usb2="0000003F" w:usb3="00000000" w:csb0="603F01FF" w:csb1="FFFF0000"/>
  </w:font>
  <w:font w:name="微软雅黑">
    <w:panose1 w:val="020B0503020204020204"/>
    <w:charset w:val="86"/>
    <w:family w:val="auto"/>
    <w:pitch w:val="default"/>
    <w:sig w:usb0="80000287" w:usb1="2ACF3C50" w:usb2="00000016" w:usb3="00000000" w:csb0="0004001F" w:csb1="00000000"/>
  </w:font>
  <w:font w:name="PMingLiU">
    <w:altName w:val="PMingLiU-ExtB"/>
    <w:panose1 w:val="02020500000000000000"/>
    <w:charset w:val="88"/>
    <w:family w:val="auto"/>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BBA48">
    <w:pPr>
      <w:pStyle w:val="4"/>
      <w:rPr>
        <w:rFonts w:hint="eastAsia" w:ascii="黑体" w:hAnsi="黑体" w:eastAsia="黑体"/>
        <w:color w:val="FF0000"/>
        <w:sz w:val="15"/>
        <w:szCs w:val="15"/>
      </w:rPr>
    </w:pPr>
  </w:p>
  <w:p w14:paraId="43F25F8B">
    <w:pPr>
      <w:pStyle w:val="4"/>
    </w:pPr>
    <w:r>
      <w:rPr>
        <w:rFonts w:hint="default" w:ascii="黑体" w:hAnsi="黑体" w:eastAsia="黑体"/>
        <w:color w:val="FF0000"/>
        <w:sz w:val="13"/>
        <w:szCs w:val="13"/>
        <w:lang w:val="en-US" w:eastAsia="zh-CN"/>
      </w:rPr>
      <w:t>博时基金内部</w:t>
    </w:r>
  </w:p>
  <w:p w14:paraId="667149A4">
    <w:pPr>
      <w:pStyle w:val="4"/>
    </w:pPr>
    <w:r>
      <w:rPr>
        <w:rFonts w:hint="eastAsia" w:ascii="黑体" w:hAnsi="黑体" w:eastAsia="黑体"/>
        <w:color w:val="FF0000"/>
        <w:sz w:val="13"/>
        <w:szCs w:val="13"/>
        <w:lang w:eastAsia="zh-CN"/>
      </w:rPr>
      <w:t>内部资料，严禁以任何形式外发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D3BAC5"/>
    <w:multiLevelType w:val="singleLevel"/>
    <w:tmpl w:val="4AD3BAC5"/>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9E6DCC"/>
    <w:rsid w:val="042B546D"/>
    <w:rsid w:val="0C630610"/>
    <w:rsid w:val="10054457"/>
    <w:rsid w:val="11D91E11"/>
    <w:rsid w:val="15CB025E"/>
    <w:rsid w:val="16E4330B"/>
    <w:rsid w:val="17AB7891"/>
    <w:rsid w:val="1849118F"/>
    <w:rsid w:val="185A3823"/>
    <w:rsid w:val="19F608D3"/>
    <w:rsid w:val="1A2E74A7"/>
    <w:rsid w:val="1A980DEB"/>
    <w:rsid w:val="1AA06D71"/>
    <w:rsid w:val="1B9A7D02"/>
    <w:rsid w:val="1DAC29C4"/>
    <w:rsid w:val="1E1D08CD"/>
    <w:rsid w:val="1F2917BE"/>
    <w:rsid w:val="1F900288"/>
    <w:rsid w:val="20E4496A"/>
    <w:rsid w:val="22644917"/>
    <w:rsid w:val="229E3895"/>
    <w:rsid w:val="240D37EF"/>
    <w:rsid w:val="25257879"/>
    <w:rsid w:val="267D2CF3"/>
    <w:rsid w:val="2B841891"/>
    <w:rsid w:val="2EAF61D1"/>
    <w:rsid w:val="2EB246E5"/>
    <w:rsid w:val="312B436A"/>
    <w:rsid w:val="3256265D"/>
    <w:rsid w:val="33146A1F"/>
    <w:rsid w:val="35933BA3"/>
    <w:rsid w:val="3BE12CF0"/>
    <w:rsid w:val="3EBB6D81"/>
    <w:rsid w:val="3FFE708C"/>
    <w:rsid w:val="4403255B"/>
    <w:rsid w:val="440A0DFD"/>
    <w:rsid w:val="481028EF"/>
    <w:rsid w:val="48444E3E"/>
    <w:rsid w:val="4C07329C"/>
    <w:rsid w:val="4DCE0537"/>
    <w:rsid w:val="4F0A49F1"/>
    <w:rsid w:val="517107F5"/>
    <w:rsid w:val="542E5ED7"/>
    <w:rsid w:val="544B1D99"/>
    <w:rsid w:val="561828FD"/>
    <w:rsid w:val="5ACF37ED"/>
    <w:rsid w:val="5CB0049F"/>
    <w:rsid w:val="5DE26666"/>
    <w:rsid w:val="5F28ADE4"/>
    <w:rsid w:val="600A0FE7"/>
    <w:rsid w:val="609472C8"/>
    <w:rsid w:val="60EE2C3D"/>
    <w:rsid w:val="62A9767F"/>
    <w:rsid w:val="65915055"/>
    <w:rsid w:val="6AF55AB3"/>
    <w:rsid w:val="6B874DA8"/>
    <w:rsid w:val="6D2300B2"/>
    <w:rsid w:val="6DD57BDE"/>
    <w:rsid w:val="6DFFC0FE"/>
    <w:rsid w:val="6E090BD8"/>
    <w:rsid w:val="6FF63393"/>
    <w:rsid w:val="702D2468"/>
    <w:rsid w:val="73D4378B"/>
    <w:rsid w:val="755810B1"/>
    <w:rsid w:val="75722D85"/>
    <w:rsid w:val="75D24577"/>
    <w:rsid w:val="761E54F1"/>
    <w:rsid w:val="762F6FCD"/>
    <w:rsid w:val="77BFB76E"/>
    <w:rsid w:val="7990566B"/>
    <w:rsid w:val="7AE01111"/>
    <w:rsid w:val="7B514346"/>
    <w:rsid w:val="7D143A7A"/>
    <w:rsid w:val="7D596445"/>
    <w:rsid w:val="7D6E3139"/>
    <w:rsid w:val="BC5F93B1"/>
    <w:rsid w:val="DFDDCE82"/>
    <w:rsid w:val="EBBDCB6F"/>
    <w:rsid w:val="F99F24B2"/>
    <w:rsid w:val="FBBF0D8D"/>
    <w:rsid w:val="FC65AF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样式1"/>
    <w:basedOn w:val="1"/>
    <w:link w:val="9"/>
    <w:qFormat/>
    <w:uiPriority w:val="0"/>
    <w:rPr>
      <w:rFonts w:eastAsia="Arial Unicode MS" w:asciiTheme="minorAscii" w:hAnsiTheme="minorAscii"/>
      <w:sz w:val="15"/>
    </w:rPr>
  </w:style>
  <w:style w:type="character" w:customStyle="1" w:styleId="9">
    <w:name w:val="样式1 Char"/>
    <w:link w:val="8"/>
    <w:qFormat/>
    <w:uiPriority w:val="0"/>
    <w:rPr>
      <w:rFonts w:eastAsia="Arial Unicode MS" w:asciiTheme="minorAscii" w:hAnsiTheme="minorAscii"/>
      <w:sz w:val="15"/>
    </w:rPr>
  </w:style>
  <w:style w:type="paragraph" w:customStyle="1" w:styleId="10">
    <w:name w:val="样式2"/>
    <w:basedOn w:val="1"/>
    <w:link w:val="11"/>
    <w:qFormat/>
    <w:uiPriority w:val="0"/>
    <w:rPr>
      <w:rFonts w:eastAsia="Arial Unicode MS" w:asciiTheme="minorAscii" w:hAnsiTheme="minorAscii"/>
      <w:sz w:val="15"/>
    </w:rPr>
  </w:style>
  <w:style w:type="character" w:customStyle="1" w:styleId="11">
    <w:name w:val="样式2 Char"/>
    <w:link w:val="10"/>
    <w:qFormat/>
    <w:uiPriority w:val="0"/>
    <w:rPr>
      <w:rFonts w:eastAsia="Arial Unicode MS" w:asciiTheme="minorAscii" w:hAnsiTheme="minorAscii"/>
      <w:sz w:val="15"/>
    </w:rPr>
  </w:style>
  <w:style w:type="paragraph" w:customStyle="1" w:styleId="12">
    <w:name w:val="样式3"/>
    <w:basedOn w:val="1"/>
    <w:link w:val="13"/>
    <w:qFormat/>
    <w:uiPriority w:val="0"/>
    <w:rPr>
      <w:rFonts w:eastAsia="Arial Unicode MS" w:asciiTheme="minorAscii" w:hAnsiTheme="minorAscii"/>
      <w:sz w:val="15"/>
    </w:rPr>
  </w:style>
  <w:style w:type="character" w:customStyle="1" w:styleId="13">
    <w:name w:val="样式3 Char"/>
    <w:link w:val="12"/>
    <w:qFormat/>
    <w:uiPriority w:val="0"/>
    <w:rPr>
      <w:rFonts w:eastAsia="Arial Unicode MS" w:asciiTheme="minorAscii" w:hAnsiTheme="minorAscii"/>
      <w:sz w:val="15"/>
    </w:rPr>
  </w:style>
  <w:style w:type="paragraph" w:customStyle="1" w:styleId="14">
    <w:name w:val="样式4"/>
    <w:basedOn w:val="1"/>
    <w:link w:val="15"/>
    <w:qFormat/>
    <w:uiPriority w:val="0"/>
    <w:rPr>
      <w:rFonts w:eastAsia="Arial Unicode MS" w:asciiTheme="minorAscii" w:hAnsiTheme="minorAscii"/>
      <w:sz w:val="13"/>
    </w:rPr>
  </w:style>
  <w:style w:type="character" w:customStyle="1" w:styleId="15">
    <w:name w:val="样式4 Char"/>
    <w:link w:val="14"/>
    <w:qFormat/>
    <w:uiPriority w:val="0"/>
    <w:rPr>
      <w:rFonts w:eastAsia="Arial Unicode MS" w:asciiTheme="minorAscii" w:hAnsiTheme="minorAscii"/>
      <w:sz w:val="13"/>
    </w:rPr>
  </w:style>
  <w:style w:type="paragraph" w:customStyle="1" w:styleId="16">
    <w:name w:val="样式5"/>
    <w:basedOn w:val="1"/>
    <w:link w:val="17"/>
    <w:qFormat/>
    <w:uiPriority w:val="0"/>
    <w:rPr>
      <w:rFonts w:eastAsia="Arial Unicode MS" w:asciiTheme="minorAscii" w:hAnsiTheme="minorAscii"/>
      <w:sz w:val="15"/>
    </w:rPr>
  </w:style>
  <w:style w:type="character" w:customStyle="1" w:styleId="17">
    <w:name w:val="样式5 Char"/>
    <w:link w:val="16"/>
    <w:qFormat/>
    <w:uiPriority w:val="0"/>
    <w:rPr>
      <w:rFonts w:eastAsia="Arial Unicode MS" w:asciiTheme="minorAscii" w:hAnsiTheme="minorAscii"/>
      <w:sz w:val="15"/>
    </w:rPr>
  </w:style>
  <w:style w:type="paragraph" w:customStyle="1" w:styleId="18">
    <w:name w:val="样式6"/>
    <w:basedOn w:val="1"/>
    <w:link w:val="19"/>
    <w:qFormat/>
    <w:uiPriority w:val="0"/>
    <w:rPr>
      <w:rFonts w:eastAsia="Arial Unicode MS" w:asciiTheme="minorAscii" w:hAnsiTheme="minorAscii"/>
      <w:sz w:val="15"/>
    </w:rPr>
  </w:style>
  <w:style w:type="character" w:customStyle="1" w:styleId="19">
    <w:name w:val="样式6 Char"/>
    <w:link w:val="18"/>
    <w:qFormat/>
    <w:uiPriority w:val="0"/>
    <w:rPr>
      <w:rFonts w:eastAsia="Arial Unicode MS" w:asciiTheme="minorAscii" w:hAnsiTheme="minorAscii"/>
      <w:sz w:val="15"/>
    </w:rPr>
  </w:style>
</w:style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29291ec-e9dc-4608-a903-d1366562d724}"/>
        <w:style w:val=""/>
        <w:category>
          <w:name w:val="常规"/>
          <w:gallery w:val="placeholder"/>
        </w:category>
        <w:types>
          <w:type w:val="bbPlcHdr"/>
        </w:types>
        <w:behaviors>
          <w:behavior w:val="content"/>
        </w:behaviors>
        <w:description w:val=""/>
        <w:guid w:val="{c29291ec-e9dc-4608-a903-d1366562d724}"/>
      </w:docPartPr>
      <w:docPartBody>
        <w:p w14:paraId="51E57562">
          <w:r>
            <w:rPr>
              <w:color w:val="808080"/>
            </w:rPr>
            <w:t>选择一项。</w:t>
          </w:r>
        </w:p>
      </w:docPartBody>
    </w:docPart>
    <w:docPart>
      <w:docPartPr>
        <w:name w:val="{0daf061f-d72c-4e6a-bb21-74e9fcd2540c}"/>
        <w:style w:val=""/>
        <w:category>
          <w:name w:val="常规"/>
          <w:gallery w:val="placeholder"/>
        </w:category>
        <w:types>
          <w:type w:val="bbPlcHdr"/>
        </w:types>
        <w:behaviors>
          <w:behavior w:val="content"/>
        </w:behaviors>
        <w:description w:val=""/>
        <w:guid w:val="{0daf061f-d72c-4e6a-bb21-74e9fcd2540c}"/>
      </w:docPartPr>
      <w:docPartBody>
        <w:p w14:paraId="75C9E3F5">
          <w:r>
            <w:rPr>
              <w:color w:val="808080"/>
            </w:rPr>
            <w:t>单击此处输入文字。</w:t>
          </w:r>
        </w:p>
      </w:docPartBody>
    </w:docPart>
    <w:docPart>
      <w:docPartPr>
        <w:name w:val="{df61b350-aee6-47bd-944d-08e6078126c1}"/>
        <w:style w:val=""/>
        <w:category>
          <w:name w:val="常规"/>
          <w:gallery w:val="placeholder"/>
        </w:category>
        <w:types>
          <w:type w:val="bbPlcHdr"/>
        </w:types>
        <w:behaviors>
          <w:behavior w:val="content"/>
        </w:behaviors>
        <w:description w:val=""/>
        <w:guid w:val="{df61b350-aee6-47bd-944d-08e6078126c1}"/>
      </w:docPartPr>
      <w:docPartBody>
        <w:p w14:paraId="16C0C1F4">
          <w:r>
            <w:rPr>
              <w:color w:val="808080"/>
            </w:rPr>
            <w:t>单击此处输入日期。</w:t>
          </w:r>
        </w:p>
      </w:docPartBody>
    </w:docPart>
    <w:docPart>
      <w:docPartPr>
        <w:name w:val="{02a91e4c-c88b-425f-b53c-17349660d8d2}"/>
        <w:style w:val=""/>
        <w:category>
          <w:name w:val="常规"/>
          <w:gallery w:val="placeholder"/>
        </w:category>
        <w:types>
          <w:type w:val="bbPlcHdr"/>
        </w:types>
        <w:behaviors>
          <w:behavior w:val="content"/>
        </w:behaviors>
        <w:description w:val=""/>
        <w:guid w:val="{02a91e4c-c88b-425f-b53c-17349660d8d2}"/>
      </w:docPartPr>
      <w:docPartBody>
        <w:p w14:paraId="669A7B3D">
          <w:r>
            <w:rPr>
              <w:color w:val="808080"/>
            </w:rPr>
            <w:t>选择一项。</w:t>
          </w:r>
        </w:p>
      </w:docPartBody>
    </w:docPart>
    <w:docPart>
      <w:docPartPr>
        <w:name w:val="{54f684b5-99ba-4458-9b63-c98da7f6cfa6}"/>
        <w:style w:val=""/>
        <w:category>
          <w:name w:val="常规"/>
          <w:gallery w:val="placeholder"/>
        </w:category>
        <w:types>
          <w:type w:val="bbPlcHdr"/>
        </w:types>
        <w:behaviors>
          <w:behavior w:val="content"/>
        </w:behaviors>
        <w:description w:val=""/>
        <w:guid w:val="{54f684b5-99ba-4458-9b63-c98da7f6cfa6}"/>
      </w:docPartPr>
      <w:docPartBody>
        <w:p w14:paraId="16814FDE">
          <w:r>
            <w:rPr>
              <w:color w:val="808080"/>
            </w:rPr>
            <w:t>选择一项。</w:t>
          </w:r>
        </w:p>
      </w:docPartBody>
    </w:docPart>
    <w:docPart>
      <w:docPartPr>
        <w:name w:val="{5b90eca8-60e1-46ed-8f03-92f9c27e6e40}"/>
        <w:style w:val=""/>
        <w:category>
          <w:name w:val="常规"/>
          <w:gallery w:val="placeholder"/>
        </w:category>
        <w:types>
          <w:type w:val="bbPlcHdr"/>
        </w:types>
        <w:behaviors>
          <w:behavior w:val="content"/>
        </w:behaviors>
        <w:description w:val=""/>
        <w:guid w:val="{5b90eca8-60e1-46ed-8f03-92f9c27e6e40}"/>
      </w:docPartPr>
      <w:docPartBody>
        <w:p w14:paraId="0BBB2603"/>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1254</Words>
  <Characters>2312</Characters>
  <Lines>0</Lines>
  <Paragraphs>0</Paragraphs>
  <TotalTime>24</TotalTime>
  <ScaleCrop>false</ScaleCrop>
  <LinksUpToDate>false</LinksUpToDate>
  <CharactersWithSpaces>2571</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2022-03-03T10:04:00Z</dcterms:created>
  <dc:creator>wanli</dc:creator>
  <cp:lastModifiedBy>shans739</cp:lastModifiedBy>
  <dcterms:modified xsi:type="dcterms:W3CDTF">2026-06-29T01:46:25Z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169A89A17C3441CCAAF764253CCD8B00_13</vt:lpwstr>
  </property>
  <property fmtid="{D5CDD505-2E9C-101B-9397-08002B2CF9AE}" pid="4" name="username">
    <vt:lpwstr>bsjj</vt:lpwstr>
  </property>
</Properties>
</file>