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成本红利兑现但需求端承压，青啤增长弹性收窄</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600600</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短期：需求端边际承压，增长弹性收窄</w:t>
            </w:r>
          </w:p>
          <w:p>
            <w:r>
              <w:rPr>
                <w:rFonts w:ascii="微软雅黑" w:hAnsi="微软雅黑" w:eastAsia="微软雅黑" w:cs="微软雅黑"/>
                <w:b w:val="0"/>
                <w:sz w:val="18"/>
              </w:rPr>
              <w:t xml:space="preserve">1. </w:t>
            </w:r>
            <w:r>
              <w:rPr>
                <w:rFonts w:ascii="微软雅黑" w:hAnsi="微软雅黑" w:eastAsia="微软雅黑" w:cs="微软雅黑"/>
                <w:b/>
                <w:sz w:val="18"/>
              </w:rPr>
              <w:t>基地市场销量波动需关注</w:t>
            </w:r>
            <w:r>
              <w:rPr>
                <w:rFonts w:ascii="微软雅黑" w:hAnsi="微软雅黑" w:eastAsia="微软雅黑" w:cs="微软雅黑"/>
                <w:b w:val="0"/>
                <w:sz w:val="18"/>
              </w:rPr>
              <w:t>：2026 年 5 月全国销量 -9%、山东 -15%。山东是基地市场，2025 年收入 223 亿占啤酒收入 70%+，且为各区域毛利率最高（38%）的优质市场。单月数据是否反映趋势性变化尚待观察，但高毛利区域份额波动对整体毛利率的拖累值得关注。</w:t>
            </w:r>
          </w:p>
          <w:p>
            <w:r>
              <w:rPr>
                <w:rFonts w:ascii="微软雅黑" w:hAnsi="微软雅黑" w:eastAsia="微软雅黑" w:cs="微软雅黑"/>
                <w:b w:val="0"/>
                <w:sz w:val="18"/>
              </w:rPr>
              <w:t xml:space="preserve">2. </w:t>
            </w:r>
            <w:r>
              <w:rPr>
                <w:rFonts w:ascii="微软雅黑" w:hAnsi="微软雅黑" w:eastAsia="微软雅黑" w:cs="微软雅黑"/>
                <w:b/>
                <w:sz w:val="18"/>
              </w:rPr>
              <w:t>结构升级延续，增速中枢下移</w:t>
            </w:r>
            <w:r>
              <w:rPr>
                <w:rFonts w:ascii="微软雅黑" w:hAnsi="微软雅黑" w:eastAsia="微软雅黑" w:cs="微软雅黑"/>
                <w:b w:val="0"/>
                <w:sz w:val="18"/>
              </w:rPr>
              <w:t>：高端销量增速由过往 +5% 区间回落至 +2%，吨价 yoy +0.5%（餐饮渠道偏弱、提价空间有限）；中端、低端销量同比小幅负增。高端化仍是正贡献，但弹性较前期收窄。</w:t>
            </w:r>
          </w:p>
          <w:p>
            <w:r>
              <w:rPr>
                <w:rFonts w:ascii="微软雅黑" w:hAnsi="微软雅黑" w:eastAsia="微软雅黑" w:cs="微软雅黑"/>
                <w:b w:val="0"/>
                <w:sz w:val="18"/>
              </w:rPr>
              <w:t xml:space="preserve">3. </w:t>
            </w:r>
            <w:r>
              <w:rPr>
                <w:rFonts w:ascii="微软雅黑" w:hAnsi="微软雅黑" w:eastAsia="微软雅黑" w:cs="微软雅黑"/>
                <w:b/>
                <w:sz w:val="18"/>
              </w:rPr>
              <w:t>毛利率斜率放缓</w:t>
            </w:r>
            <w:r>
              <w:rPr>
                <w:rFonts w:ascii="微软雅黑" w:hAnsi="微软雅黑" w:eastAsia="微软雅黑" w:cs="微软雅黑"/>
                <w:b w:val="0"/>
                <w:sz w:val="18"/>
              </w:rPr>
              <w:t>：2026Q1 毛利率 42.7% 印证成本红利兑现，但销量承压影响固定成本摊薄，叠加份额结构变化，显式期毛利率 4 年预计 +0.9pct（41.8%→42.7%），斜率较乐观假设放缓。</w:t>
            </w:r>
          </w:p>
          <w:p>
            <w:r>
              <w:rPr>
                <w:rFonts w:ascii="微软雅黑" w:hAnsi="微软雅黑" w:eastAsia="微软雅黑" w:cs="微软雅黑"/>
                <w:b w:val="0"/>
                <w:sz w:val="18"/>
              </w:rPr>
              <w:t xml:space="preserve">4. </w:t>
            </w:r>
            <w:r>
              <w:rPr>
                <w:rFonts w:ascii="微软雅黑" w:hAnsi="微软雅黑" w:eastAsia="微软雅黑" w:cs="微软雅黑"/>
                <w:b/>
                <w:sz w:val="18"/>
              </w:rPr>
              <w:t>收入端低个位数增长</w:t>
            </w:r>
            <w:r>
              <w:rPr>
                <w:rFonts w:ascii="微软雅黑" w:hAnsi="微软雅黑" w:eastAsia="微软雅黑" w:cs="微软雅黑"/>
                <w:b w:val="0"/>
                <w:sz w:val="18"/>
              </w:rPr>
              <w:t>：三档量价综合下，显式期营业收入 CAGR≈0.5%，2026 年收入同比基本持平，弹性有限。</w:t>
            </w:r>
          </w:p>
          <w:p/>
          <w:p>
            <w:r>
              <w:rPr>
                <w:rFonts w:ascii="微软雅黑" w:hAnsi="微软雅黑" w:eastAsia="微软雅黑" w:cs="微软雅黑"/>
                <w:b/>
                <w:sz w:val="18"/>
              </w:rPr>
              <w:t>中长期：存量博弈中结构升级仍是主线，但弹性与持续性待验证</w:t>
            </w:r>
          </w:p>
          <w:p>
            <w:r>
              <w:rPr>
                <w:rFonts w:ascii="微软雅黑" w:hAnsi="微软雅黑" w:eastAsia="微软雅黑" w:cs="微软雅黑"/>
                <w:b w:val="0"/>
                <w:sz w:val="18"/>
              </w:rPr>
              <w:t xml:space="preserve">1. </w:t>
            </w:r>
            <w:r>
              <w:rPr>
                <w:rFonts w:ascii="微软雅黑" w:hAnsi="微软雅黑" w:eastAsia="微软雅黑" w:cs="微软雅黑"/>
                <w:b/>
                <w:sz w:val="18"/>
              </w:rPr>
              <w:t>行业存量博弈</w:t>
            </w:r>
            <w:r>
              <w:rPr>
                <w:rFonts w:ascii="微软雅黑" w:hAnsi="微软雅黑" w:eastAsia="微软雅黑" w:cs="微软雅黑"/>
                <w:b w:val="0"/>
                <w:sz w:val="18"/>
              </w:rPr>
              <w:t>：2025 年规上啤酒产量 -1.1%，CR5&gt;90%，总量平稳，增量主要来自结构升级与份额优化，行业 beta 平淡。</w:t>
            </w:r>
          </w:p>
          <w:p>
            <w:r>
              <w:rPr>
                <w:rFonts w:ascii="微软雅黑" w:hAnsi="微软雅黑" w:eastAsia="微软雅黑" w:cs="微软雅黑"/>
                <w:b w:val="0"/>
                <w:sz w:val="18"/>
              </w:rPr>
              <w:t xml:space="preserve">2. </w:t>
            </w:r>
            <w:r>
              <w:rPr>
                <w:rFonts w:ascii="微软雅黑" w:hAnsi="微软雅黑" w:eastAsia="微软雅黑" w:cs="微软雅黑"/>
                <w:b/>
                <w:sz w:val="18"/>
              </w:rPr>
              <w:t>高端化进入中后段</w:t>
            </w:r>
            <w:r>
              <w:rPr>
                <w:rFonts w:ascii="微软雅黑" w:hAnsi="微软雅黑" w:eastAsia="微软雅黑" w:cs="微软雅黑"/>
                <w:b w:val="0"/>
                <w:sz w:val="18"/>
              </w:rPr>
              <w:t>：高端占比已 43%，升级仍在但吨价提升趋缓，销量增速由 +5% 回落至 +2% 并趋向平稳，核心增量的边际贡献递减，持续性需跟踪。</w:t>
            </w:r>
          </w:p>
          <w:p>
            <w:r>
              <w:rPr>
                <w:rFonts w:ascii="微软雅黑" w:hAnsi="微软雅黑" w:eastAsia="微软雅黑" w:cs="微软雅黑"/>
                <w:b w:val="0"/>
                <w:sz w:val="18"/>
              </w:rPr>
              <w:t xml:space="preserve">3. </w:t>
            </w:r>
            <w:r>
              <w:rPr>
                <w:rFonts w:ascii="微软雅黑" w:hAnsi="微软雅黑" w:eastAsia="微软雅黑" w:cs="微软雅黑"/>
                <w:b/>
                <w:sz w:val="18"/>
              </w:rPr>
              <w:t>基地市场结构是长期观察点</w:t>
            </w:r>
            <w:r>
              <w:rPr>
                <w:rFonts w:ascii="微软雅黑" w:hAnsi="微软雅黑" w:eastAsia="微软雅黑" w:cs="微软雅黑"/>
                <w:b w:val="0"/>
                <w:sz w:val="18"/>
              </w:rPr>
              <w:t>：山东占啤酒收入 70%+ 且毛利率最高，其份额与销量的边际变化对整体盈利质量有放大效应，是长期跟踪的关键变量。</w:t>
            </w:r>
          </w:p>
          <w:p>
            <w:r>
              <w:rPr>
                <w:rFonts w:ascii="微软雅黑" w:hAnsi="微软雅黑" w:eastAsia="微软雅黑" w:cs="微软雅黑"/>
                <w:b w:val="0"/>
                <w:sz w:val="18"/>
              </w:rPr>
              <w:t xml:space="preserve">4. </w:t>
            </w:r>
            <w:r>
              <w:rPr>
                <w:rFonts w:ascii="微软雅黑" w:hAnsi="微软雅黑" w:eastAsia="微软雅黑" w:cs="微软雅黑"/>
                <w:b/>
                <w:sz w:val="18"/>
              </w:rPr>
              <w:t>低增长搭配中等估值</w:t>
            </w:r>
            <w:r>
              <w:rPr>
                <w:rFonts w:ascii="微软雅黑" w:hAnsi="微软雅黑" w:eastAsia="微软雅黑" w:cs="微软雅黑"/>
                <w:b w:val="0"/>
                <w:sz w:val="18"/>
              </w:rPr>
              <w:t>：显式期归母 CAGR 约 0.7%、永续 1.5%，PE 15 倍处于合理区间，但增长弹性有限，估值扩张空间不大。</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324.5 亿，yoy 0%，归母净利润 46.6 亿，yoy +2%，对应 PE 15 倍；2027 年销售收入 326.0 亿，yoy 0%，归母净利润 47.6 亿，yoy +2%，对应 PE 15 倍。估值尚可但增长缺弹性，赔率偏薄，当前价位空间有限，等待更具吸引力的价格区间。</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33,937</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32,138</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32,473</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32,447</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32,601</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32,838</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-0.1%</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38.7%</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40.2%</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41.8%</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42.3%</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42.5%</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42.6%</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4,268</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4,345</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4,588</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4,660</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4,757</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4,884</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5.6%</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16.1%</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15.4%</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15.4%</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14.8%</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14.5%</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14.2%</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3.13</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3.19</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3.36</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3.42</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3.49</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3.58</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16.7</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16.4</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15.5</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15.3</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14.6</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8.1</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8.2</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8.2</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8.0</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7.3</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