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7B0BC" w14:textId="774867B1" w:rsidR="0050378B" w:rsidRPr="00A627AE" w:rsidRDefault="00A627AE" w:rsidP="00A627AE">
      <w:pPr>
        <w:jc w:val="center"/>
        <w:rPr>
          <w:rFonts w:ascii="Adobe Garamond Pro" w:hAnsi="Adobe Garamond Pro"/>
          <w:smallCaps/>
          <w:spacing w:val="20"/>
          <w:sz w:val="32"/>
          <w:szCs w:val="32"/>
          <w:lang w:val="cs-CZ"/>
        </w:rPr>
      </w:pPr>
      <w:r w:rsidRPr="00A627AE">
        <w:rPr>
          <w:rFonts w:ascii="Adobe Garamond Pro" w:hAnsi="Adobe Garamond Pro"/>
          <w:smallCaps/>
          <w:spacing w:val="20"/>
          <w:sz w:val="32"/>
          <w:szCs w:val="32"/>
          <w:lang w:val="cs-CZ"/>
        </w:rPr>
        <w:t>Gregoriánský chorál a jeho vývoj</w:t>
      </w:r>
    </w:p>
    <w:p w14:paraId="2FBEDDB9" w14:textId="222F3FB2" w:rsidR="00A627AE" w:rsidRDefault="00A627AE" w:rsidP="00DB0D79">
      <w:pPr>
        <w:ind w:firstLine="360"/>
        <w:jc w:val="both"/>
        <w:rPr>
          <w:rFonts w:ascii="Adobe Garamond Pro" w:hAnsi="Adobe Garamond Pro"/>
          <w:sz w:val="24"/>
          <w:szCs w:val="24"/>
          <w:lang w:val="cs-CZ"/>
        </w:rPr>
      </w:pPr>
      <w:r w:rsidRPr="00A627AE">
        <w:rPr>
          <w:rFonts w:ascii="Adobe Garamond Pro" w:hAnsi="Adobe Garamond Pro"/>
          <w:sz w:val="24"/>
          <w:szCs w:val="24"/>
          <w:lang w:val="cs-CZ"/>
        </w:rPr>
        <w:t>Gregoriánský chorál je vlastním zpěvem katolické církve</w:t>
      </w:r>
      <w:r>
        <w:rPr>
          <w:rFonts w:ascii="Adobe Garamond Pro" w:hAnsi="Adobe Garamond Pro"/>
          <w:sz w:val="24"/>
          <w:szCs w:val="24"/>
          <w:lang w:val="cs-CZ"/>
        </w:rPr>
        <w:t xml:space="preserve">, </w:t>
      </w:r>
      <w:r w:rsidRPr="00A627AE">
        <w:rPr>
          <w:rFonts w:ascii="Adobe Garamond Pro" w:hAnsi="Adobe Garamond Pro"/>
          <w:sz w:val="24"/>
          <w:szCs w:val="24"/>
          <w:lang w:val="cs-CZ"/>
        </w:rPr>
        <w:t>jak potvrzují ekumenické koncily a závazné dokumenty katolické církve</w:t>
      </w:r>
      <w:sdt>
        <w:sdtPr>
          <w:rPr>
            <w:rFonts w:ascii="Adobe Garamond Pro" w:hAnsi="Adobe Garamond Pro"/>
            <w:sz w:val="24"/>
            <w:szCs w:val="24"/>
            <w:lang w:val="cs-CZ"/>
          </w:rPr>
          <w:id w:val="-283655409"/>
          <w:citation/>
        </w:sdtPr>
        <w:sdtContent>
          <w:r w:rsidRPr="00A627AE">
            <w:rPr>
              <w:rFonts w:ascii="Adobe Garamond Pro" w:hAnsi="Adobe Garamond Pro"/>
              <w:sz w:val="24"/>
              <w:szCs w:val="24"/>
              <w:lang w:val="cs-CZ"/>
            </w:rPr>
            <w:fldChar w:fldCharType="begin"/>
          </w:r>
          <w:r w:rsidRPr="00A627AE">
            <w:rPr>
              <w:rFonts w:ascii="Adobe Garamond Pro" w:hAnsi="Adobe Garamond Pro"/>
              <w:sz w:val="24"/>
              <w:szCs w:val="24"/>
              <w:lang w:val="cs-CZ"/>
            </w:rPr>
            <w:instrText xml:space="preserve"> CITATION Sac63 \l 1029 </w:instrText>
          </w:r>
          <w:r w:rsidRPr="00A627AE">
            <w:rPr>
              <w:rFonts w:ascii="Adobe Garamond Pro" w:hAnsi="Adobe Garamond Pro"/>
              <w:sz w:val="24"/>
              <w:szCs w:val="24"/>
              <w:lang w:val="cs-CZ"/>
            </w:rPr>
            <w:fldChar w:fldCharType="separate"/>
          </w:r>
          <w:r w:rsidR="00DB0D79">
            <w:rPr>
              <w:rFonts w:ascii="Adobe Garamond Pro" w:hAnsi="Adobe Garamond Pro"/>
              <w:noProof/>
              <w:sz w:val="24"/>
              <w:szCs w:val="24"/>
              <w:lang w:val="cs-CZ"/>
            </w:rPr>
            <w:t xml:space="preserve"> </w:t>
          </w:r>
          <w:r w:rsidR="00DB0D79" w:rsidRPr="00DB0D79">
            <w:rPr>
              <w:rFonts w:ascii="Adobe Garamond Pro" w:hAnsi="Adobe Garamond Pro"/>
              <w:noProof/>
              <w:sz w:val="24"/>
              <w:szCs w:val="24"/>
              <w:lang w:val="cs-CZ"/>
            </w:rPr>
            <w:t>[1]</w:t>
          </w:r>
          <w:r w:rsidRPr="00A627AE">
            <w:rPr>
              <w:rFonts w:ascii="Adobe Garamond Pro" w:hAnsi="Adobe Garamond Pro"/>
              <w:sz w:val="24"/>
              <w:szCs w:val="24"/>
              <w:lang w:val="cs-CZ"/>
            </w:rPr>
            <w:fldChar w:fldCharType="end"/>
          </w:r>
        </w:sdtContent>
      </w:sdt>
      <w:r w:rsidR="00DB0D79">
        <w:rPr>
          <w:rFonts w:ascii="Adobe Garamond Pro" w:hAnsi="Adobe Garamond Pro"/>
          <w:sz w:val="24"/>
          <w:szCs w:val="24"/>
          <w:lang w:val="cs-CZ"/>
        </w:rPr>
        <w:t>,</w:t>
      </w:r>
      <w:sdt>
        <w:sdtPr>
          <w:rPr>
            <w:rFonts w:ascii="Adobe Garamond Pro" w:hAnsi="Adobe Garamond Pro"/>
            <w:sz w:val="24"/>
            <w:szCs w:val="24"/>
            <w:lang w:val="cs-CZ"/>
          </w:rPr>
          <w:id w:val="-924032380"/>
          <w:citation/>
        </w:sdtPr>
        <w:sdtContent>
          <w:r w:rsidRPr="00A627AE">
            <w:rPr>
              <w:rFonts w:ascii="Adobe Garamond Pro" w:hAnsi="Adobe Garamond Pro"/>
              <w:sz w:val="24"/>
              <w:szCs w:val="24"/>
              <w:lang w:val="cs-CZ"/>
            </w:rPr>
            <w:fldChar w:fldCharType="begin"/>
          </w:r>
          <w:r w:rsidRPr="00A627AE">
            <w:rPr>
              <w:rFonts w:ascii="Adobe Garamond Pro" w:hAnsi="Adobe Garamond Pro"/>
              <w:sz w:val="24"/>
              <w:szCs w:val="24"/>
              <w:lang w:val="cs-CZ"/>
            </w:rPr>
            <w:instrText xml:space="preserve"> CITATION Tra03 \l 1029 </w:instrText>
          </w:r>
          <w:r w:rsidRPr="00A627AE">
            <w:rPr>
              <w:rFonts w:ascii="Adobe Garamond Pro" w:hAnsi="Adobe Garamond Pro"/>
              <w:sz w:val="24"/>
              <w:szCs w:val="24"/>
              <w:lang w:val="cs-CZ"/>
            </w:rPr>
            <w:fldChar w:fldCharType="separate"/>
          </w:r>
          <w:r w:rsidR="00DB0D79">
            <w:rPr>
              <w:rFonts w:ascii="Adobe Garamond Pro" w:hAnsi="Adobe Garamond Pro"/>
              <w:noProof/>
              <w:sz w:val="24"/>
              <w:szCs w:val="24"/>
              <w:lang w:val="cs-CZ"/>
            </w:rPr>
            <w:t xml:space="preserve"> </w:t>
          </w:r>
          <w:r w:rsidR="00DB0D79" w:rsidRPr="00DB0D79">
            <w:rPr>
              <w:rFonts w:ascii="Adobe Garamond Pro" w:hAnsi="Adobe Garamond Pro"/>
              <w:noProof/>
              <w:sz w:val="24"/>
              <w:szCs w:val="24"/>
              <w:lang w:val="cs-CZ"/>
            </w:rPr>
            <w:t>[2]</w:t>
          </w:r>
          <w:r w:rsidRPr="00A627AE">
            <w:rPr>
              <w:rFonts w:ascii="Adobe Garamond Pro" w:hAnsi="Adobe Garamond Pro"/>
              <w:sz w:val="24"/>
              <w:szCs w:val="24"/>
              <w:lang w:val="cs-CZ"/>
            </w:rPr>
            <w:fldChar w:fldCharType="end"/>
          </w:r>
        </w:sdtContent>
      </w:sdt>
      <w:r w:rsidRPr="00A627AE">
        <w:rPr>
          <w:rFonts w:ascii="Adobe Garamond Pro" w:hAnsi="Adobe Garamond Pro"/>
          <w:sz w:val="24"/>
          <w:szCs w:val="24"/>
          <w:lang w:val="cs-CZ"/>
        </w:rPr>
        <w:t>.</w:t>
      </w:r>
      <w:r>
        <w:rPr>
          <w:rFonts w:ascii="Adobe Garamond Pro" w:hAnsi="Adobe Garamond Pro"/>
          <w:sz w:val="24"/>
          <w:szCs w:val="24"/>
          <w:lang w:val="cs-CZ"/>
        </w:rPr>
        <w:t xml:space="preserve"> Jak ale vznikl a v jaké podobě jej nyní zpíváme? V následující části budu vycházet především z poznámek pořízených během sbormistrovského kursu gregoriánského chorálu, který probíhal v letech 2005 až 2008 na Církevní konzervatoři v Opavě, půjde tedy o nepublikované informace bez odpovídajících citací, neboť jejich vyhledání v příslušné odborné literatuře by neúměrně rozšířilo nároky na napsání této práce.</w:t>
      </w:r>
    </w:p>
    <w:p w14:paraId="22295620" w14:textId="120E2006" w:rsidR="00A627AE" w:rsidRDefault="00A627AE" w:rsidP="00DB0D79">
      <w:pPr>
        <w:ind w:firstLine="360"/>
        <w:jc w:val="both"/>
        <w:rPr>
          <w:rFonts w:ascii="Adobe Garamond Pro" w:hAnsi="Adobe Garamond Pro"/>
          <w:sz w:val="24"/>
          <w:szCs w:val="24"/>
          <w:lang w:val="cs-CZ"/>
        </w:rPr>
      </w:pPr>
      <w:r>
        <w:rPr>
          <w:rFonts w:ascii="Adobe Garamond Pro" w:hAnsi="Adobe Garamond Pro"/>
          <w:sz w:val="24"/>
          <w:szCs w:val="24"/>
          <w:lang w:val="cs-CZ"/>
        </w:rPr>
        <w:t xml:space="preserve">I když skutečné počátky gregoriánského chorálu jsou zahaleny v mlze času, má se za to, že vznikl určitou </w:t>
      </w:r>
      <w:proofErr w:type="spellStart"/>
      <w:r>
        <w:rPr>
          <w:rFonts w:ascii="Adobe Garamond Pro" w:hAnsi="Adobe Garamond Pro"/>
          <w:sz w:val="24"/>
          <w:szCs w:val="24"/>
          <w:lang w:val="cs-CZ"/>
        </w:rPr>
        <w:t>synthés</w:t>
      </w:r>
      <w:r w:rsidR="00DB0D79">
        <w:rPr>
          <w:rFonts w:ascii="Adobe Garamond Pro" w:hAnsi="Adobe Garamond Pro"/>
          <w:sz w:val="24"/>
          <w:szCs w:val="24"/>
          <w:lang w:val="cs-CZ"/>
        </w:rPr>
        <w:t>ou</w:t>
      </w:r>
      <w:proofErr w:type="spellEnd"/>
      <w:r>
        <w:rPr>
          <w:rFonts w:ascii="Adobe Garamond Pro" w:hAnsi="Adobe Garamond Pro"/>
          <w:sz w:val="24"/>
          <w:szCs w:val="24"/>
          <w:lang w:val="cs-CZ"/>
        </w:rPr>
        <w:t xml:space="preserve"> židovských synagogálních zpěvů, které byly </w:t>
      </w:r>
      <w:r w:rsidR="00DB0D79">
        <w:rPr>
          <w:rFonts w:ascii="Adobe Garamond Pro" w:hAnsi="Adobe Garamond Pro"/>
          <w:sz w:val="24"/>
          <w:szCs w:val="24"/>
          <w:lang w:val="cs-CZ"/>
        </w:rPr>
        <w:t xml:space="preserve">známé a </w:t>
      </w:r>
      <w:r>
        <w:rPr>
          <w:rFonts w:ascii="Adobe Garamond Pro" w:hAnsi="Adobe Garamond Pro"/>
          <w:sz w:val="24"/>
          <w:szCs w:val="24"/>
          <w:lang w:val="cs-CZ"/>
        </w:rPr>
        <w:t xml:space="preserve">posvátné pro velkou část prvních křesťanů, konvertitů z židovství, a řeckých zpěvů, liturgických a snad i divadelních, které byly </w:t>
      </w:r>
      <w:r w:rsidR="00DB0D79">
        <w:rPr>
          <w:rFonts w:ascii="Adobe Garamond Pro" w:hAnsi="Adobe Garamond Pro"/>
          <w:sz w:val="24"/>
          <w:szCs w:val="24"/>
          <w:lang w:val="cs-CZ"/>
        </w:rPr>
        <w:t xml:space="preserve">známé a </w:t>
      </w:r>
      <w:r>
        <w:rPr>
          <w:rFonts w:ascii="Adobe Garamond Pro" w:hAnsi="Adobe Garamond Pro"/>
          <w:sz w:val="24"/>
          <w:szCs w:val="24"/>
          <w:lang w:val="cs-CZ"/>
        </w:rPr>
        <w:t xml:space="preserve">posvátné pro další velkou část prvních křesťanů, Řeků a řecky mluvících obyvatel Blízkého Východu a </w:t>
      </w:r>
      <w:r w:rsidR="00DB0D79">
        <w:rPr>
          <w:rFonts w:ascii="Adobe Garamond Pro" w:hAnsi="Adobe Garamond Pro"/>
          <w:sz w:val="24"/>
          <w:szCs w:val="24"/>
          <w:lang w:val="cs-CZ"/>
        </w:rPr>
        <w:t>S</w:t>
      </w:r>
      <w:r>
        <w:rPr>
          <w:rFonts w:ascii="Adobe Garamond Pro" w:hAnsi="Adobe Garamond Pro"/>
          <w:sz w:val="24"/>
          <w:szCs w:val="24"/>
          <w:lang w:val="cs-CZ"/>
        </w:rPr>
        <w:t xml:space="preserve">tředomoří. </w:t>
      </w:r>
      <w:r w:rsidR="00DB0D79">
        <w:rPr>
          <w:rFonts w:ascii="Adobe Garamond Pro" w:hAnsi="Adobe Garamond Pro"/>
          <w:sz w:val="24"/>
          <w:szCs w:val="24"/>
          <w:lang w:val="cs-CZ"/>
        </w:rPr>
        <w:t>Dalším milníkem je pak Edikt milánský z roku 313, kterým císař Konstantin Veliký zrušil veškeré represe křesťanů a křesťanského náboženství, liturgie se tedy mohla konečně slavit veřejně, a i s liturgickou hudbou na úrovni. Jak vypadal takový starořímský zpěv, o tom také nic nevíme, nicméně známe už první autory křesťanské liturgické hudby. Nejznámější z nich je asi svatý Ambrož (†397), který skládal hymny založené na rýmovaných latinských básních s vlastní melodií. Dokonce i svatý Benedikt z </w:t>
      </w:r>
      <w:proofErr w:type="spellStart"/>
      <w:r w:rsidR="00DB0D79">
        <w:rPr>
          <w:rFonts w:ascii="Adobe Garamond Pro" w:hAnsi="Adobe Garamond Pro"/>
          <w:sz w:val="24"/>
          <w:szCs w:val="24"/>
          <w:lang w:val="cs-CZ"/>
        </w:rPr>
        <w:t>Nursie</w:t>
      </w:r>
      <w:proofErr w:type="spellEnd"/>
      <w:r w:rsidR="00DB0D79">
        <w:rPr>
          <w:rFonts w:ascii="Adobe Garamond Pro" w:hAnsi="Adobe Garamond Pro"/>
          <w:sz w:val="24"/>
          <w:szCs w:val="24"/>
          <w:lang w:val="cs-CZ"/>
        </w:rPr>
        <w:t xml:space="preserve"> (480-547) používal pojem </w:t>
      </w:r>
      <w:proofErr w:type="spellStart"/>
      <w:r w:rsidR="00DB0D79">
        <w:rPr>
          <w:rFonts w:ascii="Adobe Garamond Pro" w:hAnsi="Adobe Garamond Pro"/>
          <w:i/>
          <w:iCs/>
          <w:sz w:val="24"/>
          <w:szCs w:val="24"/>
          <w:lang w:val="cs-CZ"/>
        </w:rPr>
        <w:t>ambrosianum</w:t>
      </w:r>
      <w:proofErr w:type="spellEnd"/>
      <w:sdt>
        <w:sdtPr>
          <w:rPr>
            <w:rFonts w:ascii="Adobe Garamond Pro" w:hAnsi="Adobe Garamond Pro"/>
            <w:i/>
            <w:iCs/>
            <w:sz w:val="24"/>
            <w:szCs w:val="24"/>
            <w:lang w:val="cs-CZ"/>
          </w:rPr>
          <w:id w:val="1937255942"/>
          <w:citation/>
        </w:sdtPr>
        <w:sdtContent>
          <w:r w:rsidR="00DB0D79">
            <w:rPr>
              <w:rFonts w:ascii="Adobe Garamond Pro" w:hAnsi="Adobe Garamond Pro"/>
              <w:i/>
              <w:iCs/>
              <w:sz w:val="24"/>
              <w:szCs w:val="24"/>
              <w:lang w:val="cs-CZ"/>
            </w:rPr>
            <w:fldChar w:fldCharType="begin"/>
          </w:r>
          <w:r w:rsidR="00DB0D79">
            <w:rPr>
              <w:rFonts w:ascii="Adobe Garamond Pro" w:hAnsi="Adobe Garamond Pro"/>
              <w:i/>
              <w:iCs/>
              <w:sz w:val="24"/>
              <w:szCs w:val="24"/>
              <w:lang w:val="cs-CZ"/>
            </w:rPr>
            <w:instrText xml:space="preserve">CITATION RegAD \l 1029 </w:instrText>
          </w:r>
          <w:r w:rsidR="00DB0D79">
            <w:rPr>
              <w:rFonts w:ascii="Adobe Garamond Pro" w:hAnsi="Adobe Garamond Pro"/>
              <w:i/>
              <w:iCs/>
              <w:sz w:val="24"/>
              <w:szCs w:val="24"/>
              <w:lang w:val="cs-CZ"/>
            </w:rPr>
            <w:fldChar w:fldCharType="separate"/>
          </w:r>
          <w:r w:rsidR="00DB0D79">
            <w:rPr>
              <w:rFonts w:ascii="Adobe Garamond Pro" w:hAnsi="Adobe Garamond Pro"/>
              <w:i/>
              <w:iCs/>
              <w:noProof/>
              <w:sz w:val="24"/>
              <w:szCs w:val="24"/>
              <w:lang w:val="cs-CZ"/>
            </w:rPr>
            <w:t xml:space="preserve"> </w:t>
          </w:r>
          <w:r w:rsidR="00DB0D79" w:rsidRPr="00DB0D79">
            <w:rPr>
              <w:rFonts w:ascii="Adobe Garamond Pro" w:hAnsi="Adobe Garamond Pro"/>
              <w:noProof/>
              <w:sz w:val="24"/>
              <w:szCs w:val="24"/>
              <w:lang w:val="cs-CZ"/>
            </w:rPr>
            <w:t>[3]</w:t>
          </w:r>
          <w:r w:rsidR="00DB0D79">
            <w:rPr>
              <w:rFonts w:ascii="Adobe Garamond Pro" w:hAnsi="Adobe Garamond Pro"/>
              <w:i/>
              <w:iCs/>
              <w:sz w:val="24"/>
              <w:szCs w:val="24"/>
              <w:lang w:val="cs-CZ"/>
            </w:rPr>
            <w:fldChar w:fldCharType="end"/>
          </w:r>
        </w:sdtContent>
      </w:sdt>
      <w:r w:rsidR="00DB0D79">
        <w:rPr>
          <w:rFonts w:ascii="Adobe Garamond Pro" w:hAnsi="Adobe Garamond Pro"/>
          <w:i/>
          <w:iCs/>
          <w:sz w:val="24"/>
          <w:szCs w:val="24"/>
          <w:lang w:val="cs-CZ"/>
        </w:rPr>
        <w:t xml:space="preserve"> </w:t>
      </w:r>
      <w:r w:rsidR="00DB0D79">
        <w:rPr>
          <w:rFonts w:ascii="Adobe Garamond Pro" w:hAnsi="Adobe Garamond Pro"/>
          <w:sz w:val="24"/>
          <w:szCs w:val="24"/>
          <w:lang w:val="cs-CZ"/>
        </w:rPr>
        <w:t xml:space="preserve">pro označení hymnu ve svém Božském </w:t>
      </w:r>
      <w:proofErr w:type="spellStart"/>
      <w:r w:rsidR="00DB0D79">
        <w:rPr>
          <w:rFonts w:ascii="Adobe Garamond Pro" w:hAnsi="Adobe Garamond Pro"/>
          <w:sz w:val="24"/>
          <w:szCs w:val="24"/>
          <w:lang w:val="cs-CZ"/>
        </w:rPr>
        <w:t>Officiu</w:t>
      </w:r>
      <w:proofErr w:type="spellEnd"/>
      <w:r w:rsidR="00DB0D79">
        <w:rPr>
          <w:rFonts w:ascii="Adobe Garamond Pro" w:hAnsi="Adobe Garamond Pro"/>
          <w:sz w:val="24"/>
          <w:szCs w:val="24"/>
          <w:lang w:val="cs-CZ"/>
        </w:rPr>
        <w:t xml:space="preserve">. </w:t>
      </w:r>
    </w:p>
    <w:p w14:paraId="48E03922" w14:textId="05E48F78" w:rsidR="00DB0D79" w:rsidRDefault="00DB0D79" w:rsidP="00DB0D79">
      <w:pPr>
        <w:ind w:firstLine="360"/>
        <w:jc w:val="both"/>
        <w:rPr>
          <w:rFonts w:ascii="Adobe Garamond Pro" w:hAnsi="Adobe Garamond Pro"/>
          <w:sz w:val="24"/>
          <w:szCs w:val="24"/>
          <w:lang w:val="cs-CZ"/>
        </w:rPr>
      </w:pPr>
      <w:r>
        <w:rPr>
          <w:rFonts w:ascii="Adobe Garamond Pro" w:hAnsi="Adobe Garamond Pro"/>
          <w:sz w:val="24"/>
          <w:szCs w:val="24"/>
          <w:lang w:val="cs-CZ"/>
        </w:rPr>
        <w:t xml:space="preserve">Dalším velkým milníkem ve vývoji gregoriánského chorálu je osoba a pontifikát svatého Řehoře Velikého (540-604), podle jehož latinského jména </w:t>
      </w:r>
      <w:proofErr w:type="spellStart"/>
      <w:r w:rsidRPr="00DB0D79">
        <w:rPr>
          <w:rFonts w:ascii="Adobe Garamond Pro" w:hAnsi="Adobe Garamond Pro"/>
          <w:i/>
          <w:iCs/>
          <w:sz w:val="24"/>
          <w:szCs w:val="24"/>
          <w:lang w:val="cs-CZ"/>
        </w:rPr>
        <w:t>Gregorius</w:t>
      </w:r>
      <w:proofErr w:type="spellEnd"/>
      <w:r>
        <w:rPr>
          <w:rFonts w:ascii="Adobe Garamond Pro" w:hAnsi="Adobe Garamond Pro"/>
          <w:sz w:val="24"/>
          <w:szCs w:val="24"/>
          <w:lang w:val="cs-CZ"/>
        </w:rPr>
        <w:t xml:space="preserve"> dostal gregoriánský chorál svůj přívlastek. Oproti populárnímu názoru svatý Řehoř chorál nejspíš neskládal, nicméně se zdá, že dal podnět k jeho reformě, která spočívala ve sbírání dostupných zpěvů, jejich úpravě, a sjednocení zpěvu katolické církve použitím těch nejlepších verzí. Tato reforma trvala asi 150 let, takže svatý Řehoř se jejích plodů nedožil. </w:t>
      </w:r>
    </w:p>
    <w:p w14:paraId="5EC22110" w14:textId="3392D005" w:rsidR="00DB0D79" w:rsidRDefault="00DB0D79" w:rsidP="00DB0D79">
      <w:pPr>
        <w:ind w:firstLine="360"/>
        <w:jc w:val="both"/>
        <w:rPr>
          <w:rFonts w:ascii="Adobe Garamond Pro" w:hAnsi="Adobe Garamond Pro"/>
          <w:sz w:val="24"/>
          <w:szCs w:val="24"/>
          <w:lang w:val="cs-CZ"/>
        </w:rPr>
      </w:pPr>
      <w:r>
        <w:rPr>
          <w:rFonts w:ascii="Adobe Garamond Pro" w:hAnsi="Adobe Garamond Pro"/>
          <w:sz w:val="24"/>
          <w:szCs w:val="24"/>
          <w:lang w:val="cs-CZ"/>
        </w:rPr>
        <w:t xml:space="preserve">Nejstarší písemné prameny gregoriánského chorálu pocházejí z monastického prostředí, a sice </w:t>
      </w:r>
      <w:proofErr w:type="spellStart"/>
      <w:r w:rsidRPr="00DB0D79">
        <w:rPr>
          <w:rFonts w:ascii="Adobe Garamond Pro" w:hAnsi="Adobe Garamond Pro"/>
          <w:i/>
          <w:iCs/>
          <w:sz w:val="24"/>
          <w:szCs w:val="24"/>
          <w:lang w:val="cs-CZ"/>
        </w:rPr>
        <w:t>Cantatorium</w:t>
      </w:r>
      <w:proofErr w:type="spellEnd"/>
      <w:r w:rsidRPr="00DB0D79">
        <w:rPr>
          <w:rFonts w:ascii="Adobe Garamond Pro" w:hAnsi="Adobe Garamond Pro"/>
          <w:i/>
          <w:iCs/>
          <w:sz w:val="24"/>
          <w:szCs w:val="24"/>
          <w:lang w:val="cs-CZ"/>
        </w:rPr>
        <w:t xml:space="preserve"> </w:t>
      </w:r>
      <w:proofErr w:type="spellStart"/>
      <w:r w:rsidRPr="00DB0D79">
        <w:rPr>
          <w:rFonts w:ascii="Adobe Garamond Pro" w:hAnsi="Adobe Garamond Pro"/>
          <w:i/>
          <w:iCs/>
          <w:sz w:val="24"/>
          <w:szCs w:val="24"/>
          <w:lang w:val="cs-CZ"/>
        </w:rPr>
        <w:t>Sangallense</w:t>
      </w:r>
      <w:proofErr w:type="spellEnd"/>
      <w:r>
        <w:rPr>
          <w:rFonts w:ascii="Adobe Garamond Pro" w:hAnsi="Adobe Garamond Pro"/>
          <w:i/>
          <w:iCs/>
          <w:sz w:val="24"/>
          <w:szCs w:val="24"/>
          <w:lang w:val="cs-CZ"/>
        </w:rPr>
        <w:t xml:space="preserve"> </w:t>
      </w:r>
      <w:r w:rsidRPr="00DB0D79">
        <w:rPr>
          <w:rFonts w:ascii="Adobe Garamond Pro" w:hAnsi="Adobe Garamond Pro"/>
          <w:sz w:val="24"/>
          <w:szCs w:val="24"/>
          <w:lang w:val="cs-CZ"/>
        </w:rPr>
        <w:t>(</w:t>
      </w:r>
      <w:proofErr w:type="spellStart"/>
      <w:r w:rsidRPr="00DB0D79">
        <w:rPr>
          <w:rFonts w:ascii="Adobe Garamond Pro" w:hAnsi="Adobe Garamond Pro"/>
          <w:sz w:val="24"/>
          <w:szCs w:val="24"/>
          <w:lang w:val="cs-CZ"/>
        </w:rPr>
        <w:t>Codex</w:t>
      </w:r>
      <w:proofErr w:type="spellEnd"/>
      <w:r w:rsidRPr="00DB0D79">
        <w:rPr>
          <w:rFonts w:ascii="Adobe Garamond Pro" w:hAnsi="Adobe Garamond Pro"/>
          <w:sz w:val="24"/>
          <w:szCs w:val="24"/>
          <w:lang w:val="cs-CZ"/>
        </w:rPr>
        <w:t xml:space="preserve"> 359)</w:t>
      </w:r>
      <w:r>
        <w:rPr>
          <w:rFonts w:ascii="Adobe Garamond Pro" w:hAnsi="Adobe Garamond Pro"/>
          <w:i/>
          <w:iCs/>
          <w:sz w:val="24"/>
          <w:szCs w:val="24"/>
          <w:lang w:val="cs-CZ"/>
        </w:rPr>
        <w:t>,</w:t>
      </w:r>
      <w:r>
        <w:rPr>
          <w:rFonts w:ascii="Adobe Garamond Pro" w:hAnsi="Adobe Garamond Pro"/>
          <w:sz w:val="24"/>
          <w:szCs w:val="24"/>
          <w:lang w:val="cs-CZ"/>
        </w:rPr>
        <w:t xml:space="preserve"> sepsané v letech 922-926 kláštera </w:t>
      </w:r>
      <w:proofErr w:type="spellStart"/>
      <w:r>
        <w:rPr>
          <w:rFonts w:ascii="Adobe Garamond Pro" w:hAnsi="Adobe Garamond Pro"/>
          <w:sz w:val="24"/>
          <w:szCs w:val="24"/>
          <w:lang w:val="cs-CZ"/>
        </w:rPr>
        <w:t>Sankt</w:t>
      </w:r>
      <w:proofErr w:type="spellEnd"/>
      <w:r>
        <w:rPr>
          <w:rFonts w:ascii="Adobe Garamond Pro" w:hAnsi="Adobe Garamond Pro"/>
          <w:sz w:val="24"/>
          <w:szCs w:val="24"/>
          <w:lang w:val="cs-CZ"/>
        </w:rPr>
        <w:t xml:space="preserve"> </w:t>
      </w:r>
      <w:proofErr w:type="spellStart"/>
      <w:r>
        <w:rPr>
          <w:rFonts w:ascii="Adobe Garamond Pro" w:hAnsi="Adobe Garamond Pro"/>
          <w:sz w:val="24"/>
          <w:szCs w:val="24"/>
          <w:lang w:val="cs-CZ"/>
        </w:rPr>
        <w:t>Gallen</w:t>
      </w:r>
      <w:proofErr w:type="spellEnd"/>
      <w:r>
        <w:rPr>
          <w:rFonts w:ascii="Adobe Garamond Pro" w:hAnsi="Adobe Garamond Pro"/>
          <w:sz w:val="24"/>
          <w:szCs w:val="24"/>
          <w:lang w:val="cs-CZ"/>
        </w:rPr>
        <w:t xml:space="preserve"> na březích Bodamského jezera.</w:t>
      </w:r>
    </w:p>
    <w:p w14:paraId="0C2FB740" w14:textId="7DE871A2" w:rsidR="00DB0D79" w:rsidRDefault="00DB0D79" w:rsidP="00A627AE">
      <w:pPr>
        <w:jc w:val="both"/>
        <w:rPr>
          <w:rFonts w:ascii="Adobe Garamond Pro" w:hAnsi="Adobe Garamond Pro"/>
          <w:sz w:val="24"/>
          <w:szCs w:val="24"/>
          <w:lang w:val="cs-CZ"/>
        </w:rPr>
      </w:pPr>
    </w:p>
    <w:p w14:paraId="595C53FA" w14:textId="460E8F09" w:rsidR="00DB0D79" w:rsidRDefault="00DB0D79" w:rsidP="00A627AE">
      <w:pPr>
        <w:jc w:val="both"/>
        <w:rPr>
          <w:rFonts w:ascii="Adobe Garamond Pro" w:hAnsi="Adobe Garamond Pro"/>
          <w:sz w:val="24"/>
          <w:szCs w:val="24"/>
          <w:lang w:val="cs-CZ"/>
        </w:rPr>
      </w:pPr>
    </w:p>
    <w:p w14:paraId="379237B8" w14:textId="7F705373" w:rsidR="00DB0D79" w:rsidRDefault="00DB0D79" w:rsidP="00A627AE">
      <w:pPr>
        <w:jc w:val="both"/>
        <w:rPr>
          <w:rFonts w:ascii="Adobe Garamond Pro" w:hAnsi="Adobe Garamond Pro"/>
          <w:sz w:val="24"/>
          <w:szCs w:val="24"/>
          <w:lang w:val="cs-CZ"/>
        </w:rPr>
      </w:pPr>
    </w:p>
    <w:p w14:paraId="133E592B" w14:textId="3B4C554F" w:rsidR="00DB0D79" w:rsidRDefault="00DB0D79" w:rsidP="00A627AE">
      <w:pPr>
        <w:jc w:val="both"/>
        <w:rPr>
          <w:rFonts w:ascii="Adobe Garamond Pro" w:hAnsi="Adobe Garamond Pro"/>
          <w:sz w:val="24"/>
          <w:szCs w:val="24"/>
          <w:lang w:val="cs-CZ"/>
        </w:rPr>
      </w:pPr>
    </w:p>
    <w:p w14:paraId="7A719B0D" w14:textId="735647D7" w:rsidR="00DB0D79" w:rsidRDefault="00DB0D79" w:rsidP="00A627AE">
      <w:pPr>
        <w:jc w:val="both"/>
        <w:rPr>
          <w:rFonts w:ascii="Adobe Garamond Pro" w:hAnsi="Adobe Garamond Pro"/>
          <w:sz w:val="24"/>
          <w:szCs w:val="24"/>
          <w:lang w:val="cs-CZ"/>
        </w:rPr>
      </w:pPr>
    </w:p>
    <w:p w14:paraId="500F08B4" w14:textId="6BCDB622" w:rsidR="00DB0D79" w:rsidRDefault="00DB0D79" w:rsidP="00A627AE">
      <w:pPr>
        <w:jc w:val="both"/>
        <w:rPr>
          <w:rFonts w:ascii="Adobe Garamond Pro" w:hAnsi="Adobe Garamond Pro"/>
          <w:sz w:val="24"/>
          <w:szCs w:val="24"/>
          <w:lang w:val="cs-CZ"/>
        </w:rPr>
      </w:pPr>
    </w:p>
    <w:p w14:paraId="4DD120E6" w14:textId="6AE7FCC8" w:rsidR="00DB0D79" w:rsidRDefault="00DB0D79" w:rsidP="00A627AE">
      <w:pPr>
        <w:jc w:val="both"/>
        <w:rPr>
          <w:rFonts w:ascii="Adobe Garamond Pro" w:hAnsi="Adobe Garamond Pro"/>
          <w:sz w:val="24"/>
          <w:szCs w:val="24"/>
          <w:lang w:val="cs-CZ"/>
        </w:rPr>
      </w:pPr>
    </w:p>
    <w:p w14:paraId="60D96DB4" w14:textId="77777777" w:rsidR="00DB0D79" w:rsidRDefault="00DB0D79" w:rsidP="00A627AE">
      <w:pPr>
        <w:jc w:val="both"/>
        <w:rPr>
          <w:rFonts w:ascii="Adobe Garamond Pro" w:hAnsi="Adobe Garamond Pro"/>
          <w:sz w:val="24"/>
          <w:szCs w:val="24"/>
          <w:lang w:val="cs-CZ"/>
        </w:rPr>
      </w:pPr>
    </w:p>
    <w:sdt>
      <w:sdtPr>
        <w:id w:val="-114450211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5FA22F32" w14:textId="66D6ED10" w:rsidR="00DB0D79" w:rsidRPr="00DB0D79" w:rsidRDefault="00DB0D79">
          <w:pPr>
            <w:pStyle w:val="Heading1"/>
            <w:rPr>
              <w:lang w:val="cs-CZ"/>
            </w:rPr>
          </w:pPr>
          <w:r w:rsidRPr="00DB0D79">
            <w:rPr>
              <w:lang w:val="cs-CZ"/>
            </w:rPr>
            <w:t>Bibliografie</w:t>
          </w:r>
        </w:p>
        <w:sdt>
          <w:sdtPr>
            <w:id w:val="111145805"/>
            <w:bibliography/>
          </w:sdtPr>
          <w:sdtContent>
            <w:p w14:paraId="5FF3672E" w14:textId="77777777" w:rsidR="00DB0D79" w:rsidRDefault="00DB0D79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DB0D79" w14:paraId="2DFA8E02" w14:textId="77777777">
                <w:trPr>
                  <w:divId w:val="24387717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359E2DE" w14:textId="68354DB7" w:rsidR="00DB0D79" w:rsidRDefault="00DB0D79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A613351" w14:textId="77777777" w:rsidR="00DB0D79" w:rsidRDefault="00DB0D7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i/>
                        <w:iCs/>
                        <w:noProof/>
                      </w:rPr>
                      <w:t xml:space="preserve">Sacrosanctum Concilium, §116, </w:t>
                    </w:r>
                    <w:r>
                      <w:rPr>
                        <w:noProof/>
                      </w:rPr>
                      <w:t xml:space="preserve">Roma, 1963. </w:t>
                    </w:r>
                  </w:p>
                </w:tc>
              </w:tr>
              <w:tr w:rsidR="00DB0D79" w14:paraId="5433AB4A" w14:textId="77777777">
                <w:trPr>
                  <w:divId w:val="24387717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026A591" w14:textId="77777777" w:rsidR="00DB0D79" w:rsidRDefault="00DB0D7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5AA600C" w14:textId="77777777" w:rsidR="00DB0D79" w:rsidRDefault="00DB0D7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i/>
                        <w:iCs/>
                        <w:noProof/>
                      </w:rPr>
                      <w:t xml:space="preserve">Tra le sollecitudini, §3, </w:t>
                    </w:r>
                    <w:r>
                      <w:rPr>
                        <w:noProof/>
                      </w:rPr>
                      <w:t xml:space="preserve">1903. </w:t>
                    </w:r>
                  </w:p>
                </w:tc>
              </w:tr>
              <w:tr w:rsidR="00DB0D79" w:rsidRPr="00DB0D79" w14:paraId="516E31F9" w14:textId="77777777">
                <w:trPr>
                  <w:divId w:val="24387717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D3F1291" w14:textId="77777777" w:rsidR="00DB0D79" w:rsidRDefault="00DB0D7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7B838F7" w14:textId="77777777" w:rsidR="00DB0D79" w:rsidRPr="00DB0D79" w:rsidRDefault="00DB0D79">
                    <w:pPr>
                      <w:pStyle w:val="Bibliography"/>
                      <w:rPr>
                        <w:noProof/>
                        <w:lang w:val="it-IT"/>
                      </w:rPr>
                    </w:pPr>
                    <w:r w:rsidRPr="00DB0D79">
                      <w:rPr>
                        <w:noProof/>
                        <w:lang w:val="it-IT"/>
                      </w:rPr>
                      <w:t xml:space="preserve">S. B. d. Nursia, </w:t>
                    </w:r>
                    <w:r w:rsidRPr="00DB0D79">
                      <w:rPr>
                        <w:i/>
                        <w:iCs/>
                        <w:noProof/>
                        <w:lang w:val="it-IT"/>
                      </w:rPr>
                      <w:t xml:space="preserve">Regula monachorum, Capitulum 9., </w:t>
                    </w:r>
                    <w:r w:rsidRPr="00DB0D79">
                      <w:rPr>
                        <w:noProof/>
                        <w:lang w:val="it-IT"/>
                      </w:rPr>
                      <w:t xml:space="preserve">ca. 500 AD. </w:t>
                    </w:r>
                  </w:p>
                </w:tc>
              </w:tr>
            </w:tbl>
            <w:p w14:paraId="0B7FF9EC" w14:textId="77777777" w:rsidR="00DB0D79" w:rsidRPr="00DB0D79" w:rsidRDefault="00DB0D79">
              <w:pPr>
                <w:divId w:val="243877177"/>
                <w:rPr>
                  <w:rFonts w:eastAsia="Times New Roman"/>
                  <w:noProof/>
                  <w:lang w:val="it-IT"/>
                </w:rPr>
              </w:pPr>
            </w:p>
            <w:p w14:paraId="6BF96B13" w14:textId="4412DC17" w:rsidR="00DB0D79" w:rsidRDefault="00DB0D7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3206345" w14:textId="77777777" w:rsidR="00DB0D79" w:rsidRPr="00DB0D79" w:rsidRDefault="00DB0D79" w:rsidP="00A627AE">
      <w:pPr>
        <w:jc w:val="both"/>
        <w:rPr>
          <w:rFonts w:ascii="Adobe Garamond Pro" w:hAnsi="Adobe Garamond Pro"/>
          <w:sz w:val="24"/>
          <w:szCs w:val="24"/>
          <w:lang w:val="cs-CZ"/>
        </w:rPr>
      </w:pPr>
    </w:p>
    <w:sectPr w:rsidR="00DB0D79" w:rsidRPr="00DB0D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7A948" w14:textId="77777777" w:rsidR="00B760C4" w:rsidRDefault="00B760C4" w:rsidP="00A627AE">
      <w:pPr>
        <w:spacing w:after="0" w:line="240" w:lineRule="auto"/>
      </w:pPr>
      <w:r>
        <w:separator/>
      </w:r>
    </w:p>
  </w:endnote>
  <w:endnote w:type="continuationSeparator" w:id="0">
    <w:p w14:paraId="5A7C6ED0" w14:textId="77777777" w:rsidR="00B760C4" w:rsidRDefault="00B760C4" w:rsidP="00A62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C4A5D" w14:textId="77777777" w:rsidR="00B760C4" w:rsidRDefault="00B760C4" w:rsidP="00A627AE">
      <w:pPr>
        <w:spacing w:after="0" w:line="240" w:lineRule="auto"/>
      </w:pPr>
      <w:r>
        <w:separator/>
      </w:r>
    </w:p>
  </w:footnote>
  <w:footnote w:type="continuationSeparator" w:id="0">
    <w:p w14:paraId="0CE8D91A" w14:textId="77777777" w:rsidR="00B760C4" w:rsidRDefault="00B760C4" w:rsidP="00A627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7AE"/>
    <w:rsid w:val="0050378B"/>
    <w:rsid w:val="00A627AE"/>
    <w:rsid w:val="00B760C4"/>
    <w:rsid w:val="00DB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86A74"/>
  <w15:chartTrackingRefBased/>
  <w15:docId w15:val="{95439FB0-7EC7-402E-B49E-4D5F44D7B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D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627A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27A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627AE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DB0D79"/>
  </w:style>
  <w:style w:type="character" w:customStyle="1" w:styleId="Heading1Char">
    <w:name w:val="Heading 1 Char"/>
    <w:basedOn w:val="DefaultParagraphFont"/>
    <w:link w:val="Heading1"/>
    <w:uiPriority w:val="9"/>
    <w:rsid w:val="00DB0D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Sac63</b:Tag>
    <b:SourceType>Misc</b:SourceType>
    <b:Guid>{B52F33EF-EB66-472B-B219-825381D7B100}</b:Guid>
    <b:Title>Sacrosanctum Concilium, §116</b:Title>
    <b:Year>1963</b:Year>
    <b:City>Roma</b:City>
    <b:RefOrder>1</b:RefOrder>
  </b:Source>
  <b:Source>
    <b:Tag>Tra03</b:Tag>
    <b:SourceType>Misc</b:SourceType>
    <b:Guid>{818A2324-7F36-4F90-A79C-29708C4B29F6}</b:Guid>
    <b:Title>Tra le sollecitudini, §3</b:Title>
    <b:Year>1903</b:Year>
    <b:RefOrder>2</b:RefOrder>
  </b:Source>
  <b:Source>
    <b:Tag>RegAD</b:Tag>
    <b:SourceType>Misc</b:SourceType>
    <b:Guid>{E5D27473-A7EB-4968-833A-8D92D70CA595}</b:Guid>
    <b:Title>Regula monachorum, Capitulum 9.</b:Title>
    <b:Year>ca. 500 AD</b:Year>
    <b:Author>
      <b:Author>
        <b:NameList>
          <b:Person>
            <b:Last>Nursia</b:Last>
            <b:First>S.</b:First>
            <b:Middle>Benedictus de</b:Middle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A6DB769F-CD45-4D09-BA81-50BAAFEC5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Emmer Jiri (PS-ET/EDX2.1)</dc:creator>
  <cp:keywords/>
  <dc:description/>
  <cp:lastModifiedBy>Emmer Jiri (PS-ET/EDX2.1)</cp:lastModifiedBy>
  <cp:revision>3</cp:revision>
  <dcterms:created xsi:type="dcterms:W3CDTF">2022-04-22T11:47:00Z</dcterms:created>
  <dcterms:modified xsi:type="dcterms:W3CDTF">2022-04-22T13:50:00Z</dcterms:modified>
</cp:coreProperties>
</file>