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</w:rPr>
        <w:drawing>
          <wp:inline distB="114300" distT="114300" distL="114300" distR="114300">
            <wp:extent cx="3352800" cy="1362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 - TSW-014/2022- 1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- 6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Calado Bueno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Thaís Assunção Silva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Rule="auto"/>
        <w:ind w:left="0" w:firstLine="0"/>
        <w:rPr/>
      </w:pPr>
      <w:bookmarkStart w:colFirst="0" w:colLast="0" w:name="_x32baylkmg0a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exercício visa entregar todo o contexto de interface e fluxo do usuário na aplicação, a fim de gerar um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firstLine="0"/>
        <w:rPr/>
      </w:pPr>
      <w:bookmarkStart w:colFirst="0" w:colLast="0" w:name="_3s7wd95xdj7w" w:id="1"/>
      <w:bookmarkEnd w:id="1"/>
      <w:r w:rsidDel="00000000" w:rsidR="00000000" w:rsidRPr="00000000">
        <w:rPr>
          <w:rtl w:val="0"/>
        </w:rPr>
        <w:t xml:space="preserve">Perfil do Usuário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Secretaria da saúde do estado: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Analista do centro de controle do COVID-19 (contribue com insights para produção de relatório)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before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Formação superior, acesso ao sistema para realizar análises sobre a progressão e controle da pandemia através das informações do sistema e análises dos recursos hospitalares como sua disponíveis, quais estão em utilização, quais estão em falta, etc;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Secretário de saúde (quem solicitou o sistema)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Cargo político, acesso aos relatórios produzidos e hospedados no sistema. O Secretário de saúde visualiza os relatórios de progressão da pandemia, da monitoração e da disponibilidade de recursos hospitalares para tomar decisões quanto a aplicação de medidas restritivas, compra e alocação de recursos (equipamentos médicos, disponibilização de mais leitos, etc).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200" w:lineRule="auto"/>
        <w:ind w:left="720" w:right="54.13696289062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Funcionários da rede de saúde (contribuem com insights):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Médicos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Formação superior, pode trabalhar em mais de um local, tem acesso à internet, realiza os atendimentos nos hospitais, podendo ser em pronto socorro ou UTI. Faz prescrição médica, avaliam exames, solicitam internações e transferências;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Técnicos de enfermagem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before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Formação técnica, pode trabalhar em mais de um local, realizam a triagem de pacientes, realizam a medicação de pacientes mediante solicitação médica, realizam exames solicitados, medem sinais vitais e preenchem o prontuário de acordo com a evolução do paciente;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Enfermeiros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Formação superior, pode trabalhar em mais de um local, realizam o acompanhamento de técnicos de enfermagem, guiam a triagem de pacientes, liberam medicamentos conforme prescrição, realizam exames solicitados, checam anotações do prontuário do paciente;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Equipe da ambulância (motorista, médico, socorrista, etc).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Formação técnica, pode trabalhar em mais de um local, realizam o deslocamento de pacientes, realizam a medicação de pacientes mediante emergência, medem sinais vitais, resgatam pacientes e transferem pacientes entre unidades de acordo com a evolução e gravidade do paciente;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0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Envolvidos no design e produção do sistema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Equipe técnica (desenvolvedores, arquitetos de software, engenheiros de qualidade)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Formação técnica e/ou superior, podem trabalhar em mais de um local, realizam o desenvolvimento do sistema, criam a infraestrutura a ser utilizada, discutem a melhor arquitetura para a solução, testam as funções solicitadas, fornecem o sistema de acordo com os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Equipe gerencial (g</w:t>
      </w:r>
      <w:r w:rsidDel="00000000" w:rsidR="00000000" w:rsidRPr="00000000">
        <w:rPr>
          <w:rtl w:val="0"/>
        </w:rPr>
        <w:t xml:space="preserve">erente de projetos e coordenadores)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after="200" w:before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Formação técnica e/ou superior, podem trabalhar em mais de um local, realizam o gerenciamento da equipe técnica, definem os requisitos do sistema, discutem o melhor prazo para a entrega da solução, testam as conformidades solicitadas, checam se o sistema está de acordo com os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Instituições de saúde que receberão a implantação do projeto (e.g. hospitais, clínicas e postos de saúde).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Unidades de saúde que utilizarão o sistema, podem ou não receber pacientes com COVID-19, possuem o próprio nivelamento de gravidade, possuem a própria capacidade de lotação, possui os próprios funcionário de rede de saúde;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0" w:firstLine="0"/>
        <w:rPr/>
      </w:pPr>
      <w:bookmarkStart w:colFirst="0" w:colLast="0" w:name="_8ugc77pig7zm" w:id="2"/>
      <w:bookmarkEnd w:id="2"/>
      <w:r w:rsidDel="00000000" w:rsidR="00000000" w:rsidRPr="00000000">
        <w:rPr>
          <w:rtl w:val="0"/>
        </w:rPr>
        <w:t xml:space="preserve">Diagramas de Navegação - Fluxo Básico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Presentes nas páginas abaixo.</w:t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jc w:val="both"/>
        <w:rPr/>
      </w:pPr>
      <w:bookmarkStart w:colFirst="0" w:colLast="0" w:name="_7q44urmbgn7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240" w:before="240" w:lineRule="auto"/>
        <w:jc w:val="both"/>
        <w:rPr/>
      </w:pPr>
      <w:bookmarkStart w:colFirst="0" w:colLast="0" w:name="_ikt3xgvvp88p" w:id="4"/>
      <w:bookmarkEnd w:id="4"/>
      <w:r w:rsidDel="00000000" w:rsidR="00000000" w:rsidRPr="00000000">
        <w:rPr>
          <w:rtl w:val="0"/>
        </w:rPr>
        <w:t xml:space="preserve">Diagrama Base e Login</w:t>
      </w:r>
    </w:p>
    <w:p w:rsidR="00000000" w:rsidDel="00000000" w:rsidP="00000000" w:rsidRDefault="00000000" w:rsidRPr="00000000" w14:paraId="0000002D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10912" cy="1669759"/>
            <wp:effectExtent b="12700" l="12700" r="12700" t="127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912" cy="16697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Diagrama Master: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https://cutt.ly/5FKyu9i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-850.3937007874016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986588" cy="4254519"/>
            <wp:effectExtent b="12700" l="12700" r="12700" t="1270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42545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Diagrama Login: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https://cutt.ly/5FKyu9i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jc w:val="both"/>
        <w:rPr/>
      </w:pPr>
      <w:bookmarkStart w:colFirst="0" w:colLast="0" w:name="_gfghs2n9ksuo" w:id="5"/>
      <w:bookmarkEnd w:id="5"/>
      <w:r w:rsidDel="00000000" w:rsidR="00000000" w:rsidRPr="00000000">
        <w:rPr>
          <w:rtl w:val="0"/>
        </w:rPr>
        <w:t xml:space="preserve">Use Case 1</w:t>
      </w:r>
    </w:p>
    <w:p w:rsidR="00000000" w:rsidDel="00000000" w:rsidP="00000000" w:rsidRDefault="00000000" w:rsidRPr="00000000" w14:paraId="00000030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34213" cy="4353010"/>
            <wp:effectExtent b="12700" l="12700" r="12700" t="1270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43530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Diagrama Use Case 1: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https://cutt.ly/5FKyu9i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jc w:val="both"/>
        <w:rPr/>
      </w:pPr>
      <w:bookmarkStart w:colFirst="0" w:colLast="0" w:name="_v2h5tloe4rk9" w:id="6"/>
      <w:bookmarkEnd w:id="6"/>
      <w:r w:rsidDel="00000000" w:rsidR="00000000" w:rsidRPr="00000000">
        <w:rPr>
          <w:rtl w:val="0"/>
        </w:rPr>
        <w:t xml:space="preserve">Use Case 2</w:t>
      </w:r>
    </w:p>
    <w:p w:rsidR="00000000" w:rsidDel="00000000" w:rsidP="00000000" w:rsidRDefault="00000000" w:rsidRPr="00000000" w14:paraId="00000032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96113" cy="5221134"/>
            <wp:effectExtent b="12700" l="12700" r="12700" t="127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113" cy="52211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Diagrama Use Case 2: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https://cutt.ly/5FKyu9i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jc w:val="both"/>
        <w:rPr/>
      </w:pPr>
      <w:bookmarkStart w:colFirst="0" w:colLast="0" w:name="_q8qx746vne1p" w:id="7"/>
      <w:bookmarkEnd w:id="7"/>
      <w:r w:rsidDel="00000000" w:rsidR="00000000" w:rsidRPr="00000000">
        <w:rPr>
          <w:rtl w:val="0"/>
        </w:rPr>
        <w:t xml:space="preserve">Use Case 3</w:t>
      </w:r>
    </w:p>
    <w:p w:rsidR="00000000" w:rsidDel="00000000" w:rsidP="00000000" w:rsidRDefault="00000000" w:rsidRPr="00000000" w14:paraId="00000034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67538" cy="4791075"/>
            <wp:effectExtent b="12700" l="12700" r="12700" t="1270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4791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Diagrama Use Case 3: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https://cutt.ly/5FKyu9i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spacing w:after="240" w:before="240" w:lineRule="auto"/>
        <w:jc w:val="both"/>
        <w:rPr/>
      </w:pPr>
      <w:bookmarkStart w:colFirst="0" w:colLast="0" w:name="_t7g9ww58xug1" w:id="8"/>
      <w:bookmarkEnd w:id="8"/>
      <w:r w:rsidDel="00000000" w:rsidR="00000000" w:rsidRPr="00000000">
        <w:rPr>
          <w:rtl w:val="0"/>
        </w:rPr>
        <w:t xml:space="preserve">Use Case 4</w:t>
      </w:r>
    </w:p>
    <w:p w:rsidR="00000000" w:rsidDel="00000000" w:rsidP="00000000" w:rsidRDefault="00000000" w:rsidRPr="00000000" w14:paraId="00000036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00875" cy="3927184"/>
            <wp:effectExtent b="12700" l="12700" r="12700" t="1270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92718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Diagrama Use Case 4: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https://cutt.ly/5FKyu9i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bookmarkStart w:colFirst="0" w:colLast="0" w:name="_j4ns65o4hezs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firstLine="0"/>
        <w:rPr/>
      </w:pPr>
      <w:bookmarkStart w:colFirst="0" w:colLast="0" w:name="_6lpnxw9r325q" w:id="10"/>
      <w:bookmarkEnd w:id="10"/>
      <w:r w:rsidDel="00000000" w:rsidR="00000000" w:rsidRPr="00000000">
        <w:rPr>
          <w:rtl w:val="0"/>
        </w:rPr>
        <w:t xml:space="preserve">Detalhamento das Interfaces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35072" cy="5370414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072" cy="53704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Link Protótipo Figma: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https://cutt.ly/PFKwNcG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bookmarkStart w:colFirst="0" w:colLast="0" w:name="_ppa7eefpuf0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bookmarkStart w:colFirst="0" w:colLast="0" w:name="_4p0irqbiht7a" w:id="12"/>
      <w:bookmarkEnd w:id="12"/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3C">
      <w:pPr>
        <w:spacing w:before="200" w:lineRule="auto"/>
        <w:rPr/>
      </w:pPr>
      <w:r w:rsidDel="00000000" w:rsidR="00000000" w:rsidRPr="00000000">
        <w:rPr>
          <w:rtl w:val="0"/>
        </w:rPr>
        <w:t xml:space="preserve">[1] CALADO, Augusto; ASSUNÇÃO, Thais. Projeto Integrado - TSW-014/2022- 1: Exercício 2 - Documento Visão. Versão Final. 2022. Acesso disponível: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https://cutt.ly/DGzH6kE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before="200" w:lineRule="auto"/>
        <w:rPr/>
      </w:pPr>
      <w:r w:rsidDel="00000000" w:rsidR="00000000" w:rsidRPr="00000000">
        <w:rPr>
          <w:rtl w:val="0"/>
        </w:rPr>
        <w:t xml:space="preserve">[2] CALADO, Augusto; ASSUNÇÃO, Thais. Projeto Integrado - TSW-014/2022- 1: Exercício 3 - Casos de Uso. Versão Final. 2022. Acesso disponível: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https://cutt.ly/ZGzJtul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before="200" w:lineRule="auto"/>
        <w:rPr/>
      </w:pPr>
      <w:r w:rsidDel="00000000" w:rsidR="00000000" w:rsidRPr="00000000">
        <w:rPr>
          <w:rtl w:val="0"/>
        </w:rPr>
        <w:t xml:space="preserve">[3] CALADO, Augusto; ASSUNÇÃO, Thais. Projeto Integrado - TSW-014/2022- 1: Exercício 4 e 5 - Diagrama de Classe e Diagrama de Sequência. Versão Final. 2022. Acesso disponível: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https://cutt.ly/WGzJdkY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before="238.592529296875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26.78741455078125" w:firstLine="0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36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utt.ly/PFKwNcG" TargetMode="External"/><Relationship Id="rId11" Type="http://schemas.openxmlformats.org/officeDocument/2006/relationships/image" Target="media/image7.jpg"/><Relationship Id="rId22" Type="http://schemas.openxmlformats.org/officeDocument/2006/relationships/hyperlink" Target="https://cutt.ly/ZGzJtul" TargetMode="External"/><Relationship Id="rId10" Type="http://schemas.openxmlformats.org/officeDocument/2006/relationships/hyperlink" Target="https://cutt.ly/5FKyu9i" TargetMode="External"/><Relationship Id="rId21" Type="http://schemas.openxmlformats.org/officeDocument/2006/relationships/hyperlink" Target="https://cutt.ly/DGzH6kE" TargetMode="External"/><Relationship Id="rId13" Type="http://schemas.openxmlformats.org/officeDocument/2006/relationships/image" Target="media/image4.jpg"/><Relationship Id="rId12" Type="http://schemas.openxmlformats.org/officeDocument/2006/relationships/hyperlink" Target="https://cutt.ly/5FKyu9i" TargetMode="External"/><Relationship Id="rId23" Type="http://schemas.openxmlformats.org/officeDocument/2006/relationships/hyperlink" Target="https://cutt.ly/WGzJdk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hyperlink" Target="https://cutt.ly/5FKyu9i" TargetMode="External"/><Relationship Id="rId17" Type="http://schemas.openxmlformats.org/officeDocument/2006/relationships/image" Target="media/image5.jpg"/><Relationship Id="rId16" Type="http://schemas.openxmlformats.org/officeDocument/2006/relationships/hyperlink" Target="https://cutt.ly/5FKyu9i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hyperlink" Target="https://cutt.ly/5FKyu9i" TargetMode="External"/><Relationship Id="rId7" Type="http://schemas.openxmlformats.org/officeDocument/2006/relationships/image" Target="media/image6.jpg"/><Relationship Id="rId8" Type="http://schemas.openxmlformats.org/officeDocument/2006/relationships/hyperlink" Target="https://cutt.ly/5FKyu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