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6CEAC" w14:textId="51B2D9FE" w:rsidR="0022212A" w:rsidRPr="0022212A" w:rsidRDefault="0022212A" w:rsidP="0022212A">
      <w:pPr>
        <w:rPr>
          <w:rFonts w:ascii="Arial" w:hAnsi="Arial" w:cs="Arial"/>
          <w:b/>
          <w:bCs/>
          <w:sz w:val="32"/>
          <w:szCs w:val="32"/>
        </w:rPr>
      </w:pPr>
      <w:r w:rsidRPr="0022212A">
        <w:rPr>
          <w:rFonts w:ascii="Arial" w:hAnsi="Arial" w:cs="Arial"/>
          <w:b/>
          <w:bCs/>
          <w:sz w:val="32"/>
          <w:szCs w:val="32"/>
        </w:rPr>
        <w:t>SOFIPOS en México 2024: Auge del Ahorro Digital y la Captación Financiera</w:t>
      </w:r>
    </w:p>
    <w:p w14:paraId="04BA1F62" w14:textId="2E068CA9" w:rsidR="00067D0E" w:rsidRPr="00067D0E" w:rsidRDefault="00067D0E">
      <w:pPr>
        <w:rPr>
          <w:rFonts w:ascii="Arial" w:hAnsi="Arial" w:cs="Arial"/>
          <w:b/>
          <w:bCs/>
        </w:rPr>
      </w:pPr>
      <w:r w:rsidRPr="00067D0E">
        <w:rPr>
          <w:rFonts w:ascii="Arial" w:hAnsi="Arial" w:cs="Arial"/>
          <w:b/>
          <w:bCs/>
        </w:rPr>
        <w:t>Introducción</w:t>
      </w:r>
    </w:p>
    <w:p w14:paraId="64390886" w14:textId="459F3B07" w:rsidR="001F6014" w:rsidRPr="00067D0E" w:rsidRDefault="000F0063">
      <w:pPr>
        <w:rPr>
          <w:rFonts w:ascii="Arial" w:hAnsi="Arial" w:cs="Arial"/>
        </w:rPr>
      </w:pPr>
      <w:r w:rsidRPr="00067D0E">
        <w:rPr>
          <w:rFonts w:ascii="Arial" w:hAnsi="Arial" w:cs="Arial"/>
        </w:rPr>
        <w:t xml:space="preserve">Utilizando datos públicos y herramientas de visualización de datos, realicé una investigación sobre el comportamiento de las SOFIPOS en 2024, siendo un análisis principalmente cuantitativo se enfoca en ver como los números reflejan la realidad del mercado </w:t>
      </w:r>
      <w:r w:rsidR="006A4DE0">
        <w:rPr>
          <w:rFonts w:ascii="Arial" w:hAnsi="Arial" w:cs="Arial"/>
        </w:rPr>
        <w:t>de “banca paralela” en Mé</w:t>
      </w:r>
      <w:r w:rsidRPr="00067D0E">
        <w:rPr>
          <w:rFonts w:ascii="Arial" w:hAnsi="Arial" w:cs="Arial"/>
        </w:rPr>
        <w:t>xico, que se enfoca tanto en las SOFIPOS en particular, como en el crecimiento de los clientes, y las diferencias entra las tasas captación y de cartera vigente a lo largo de los trimestres de 2024 y de las SOFIPOS en particular.</w:t>
      </w:r>
      <w:r w:rsidRPr="00067D0E">
        <w:rPr>
          <w:rFonts w:ascii="Arial" w:hAnsi="Arial" w:cs="Arial"/>
        </w:rPr>
        <w:br/>
      </w:r>
    </w:p>
    <w:p w14:paraId="5F1D24FE" w14:textId="77777777" w:rsidR="00D64FA4" w:rsidRPr="00D64FA4" w:rsidRDefault="00D64FA4" w:rsidP="00D64FA4">
      <w:pPr>
        <w:rPr>
          <w:rFonts w:ascii="Arial" w:hAnsi="Arial" w:cs="Arial"/>
          <w:sz w:val="28"/>
          <w:szCs w:val="28"/>
        </w:rPr>
      </w:pPr>
      <w:r w:rsidRPr="00D64FA4">
        <w:rPr>
          <w:rFonts w:ascii="Arial" w:hAnsi="Arial" w:cs="Arial"/>
          <w:b/>
          <w:bCs/>
          <w:sz w:val="28"/>
          <w:szCs w:val="28"/>
        </w:rPr>
        <w:t>Marco conceptual del análisis</w:t>
      </w:r>
    </w:p>
    <w:p w14:paraId="4FA9BBC9" w14:textId="4E7CC56D" w:rsidR="00D64FA4" w:rsidRPr="00067D0E" w:rsidRDefault="00D64FA4">
      <w:pPr>
        <w:rPr>
          <w:rFonts w:ascii="Arial" w:hAnsi="Arial" w:cs="Arial"/>
          <w:b/>
          <w:bCs/>
        </w:rPr>
      </w:pPr>
      <w:r w:rsidRPr="00067D0E">
        <w:rPr>
          <w:rFonts w:ascii="Arial" w:hAnsi="Arial" w:cs="Arial"/>
          <w:b/>
          <w:bCs/>
        </w:rPr>
        <w:t>Introducción al sector SOFIPO</w:t>
      </w:r>
    </w:p>
    <w:p w14:paraId="034C96E6" w14:textId="73E5BDA8" w:rsidR="001F6014" w:rsidRPr="00067D0E" w:rsidRDefault="001F6014">
      <w:pPr>
        <w:rPr>
          <w:rFonts w:ascii="Arial" w:hAnsi="Arial" w:cs="Arial"/>
        </w:rPr>
      </w:pPr>
      <w:r w:rsidRPr="00067D0E">
        <w:rPr>
          <w:rFonts w:ascii="Arial" w:hAnsi="Arial" w:cs="Arial"/>
          <w:b/>
          <w:bCs/>
        </w:rPr>
        <w:t>¿Qué es una SOFIPO?</w:t>
      </w:r>
      <w:r w:rsidRPr="00067D0E">
        <w:rPr>
          <w:rFonts w:ascii="Arial" w:hAnsi="Arial" w:cs="Arial"/>
        </w:rPr>
        <w:t xml:space="preserve"> Una SOFIPO (Sociedad Financiera Popular) es una entidad financiera regulada en México que ofrece servicios como ahorro, crédito y seguros principalmente a personas y comunidades que no tienen acceso fácil a la banca tradicional.</w:t>
      </w:r>
    </w:p>
    <w:p w14:paraId="2F3FC79C" w14:textId="2F4BE248" w:rsidR="00D64FA4" w:rsidRPr="00067D0E" w:rsidRDefault="00D64FA4">
      <w:pPr>
        <w:rPr>
          <w:rFonts w:ascii="Arial" w:hAnsi="Arial" w:cs="Arial"/>
        </w:rPr>
      </w:pPr>
      <w:r w:rsidRPr="00067D0E">
        <w:rPr>
          <w:rFonts w:ascii="Arial" w:hAnsi="Arial" w:cs="Arial"/>
          <w:b/>
          <w:bCs/>
        </w:rPr>
        <w:t>¿Qué rol juegan las SOFIPO</w:t>
      </w:r>
      <w:r w:rsidR="00067D0E" w:rsidRPr="00067D0E">
        <w:rPr>
          <w:rFonts w:ascii="Arial" w:hAnsi="Arial" w:cs="Arial"/>
          <w:b/>
          <w:bCs/>
        </w:rPr>
        <w:t>S</w:t>
      </w:r>
      <w:r w:rsidRPr="00067D0E">
        <w:rPr>
          <w:rFonts w:ascii="Arial" w:hAnsi="Arial" w:cs="Arial"/>
          <w:b/>
          <w:bCs/>
        </w:rPr>
        <w:t>?</w:t>
      </w:r>
      <w:r w:rsidRPr="00067D0E">
        <w:rPr>
          <w:rFonts w:ascii="Arial" w:hAnsi="Arial" w:cs="Arial"/>
        </w:rPr>
        <w:t xml:space="preserve"> Las </w:t>
      </w:r>
      <w:proofErr w:type="spellStart"/>
      <w:r w:rsidRPr="00067D0E">
        <w:rPr>
          <w:rFonts w:ascii="Arial" w:hAnsi="Arial" w:cs="Arial"/>
        </w:rPr>
        <w:t>SOFIPOs</w:t>
      </w:r>
      <w:proofErr w:type="spellEnd"/>
      <w:r w:rsidRPr="00067D0E">
        <w:rPr>
          <w:rFonts w:ascii="Arial" w:hAnsi="Arial" w:cs="Arial"/>
        </w:rPr>
        <w:t xml:space="preserve"> promueven la inclusión financiera al atender sectores desatendidos por la banca comercial. Ayudan al desarrollo económico local mediante el financiamiento a microempresas, emprendedores y familias.</w:t>
      </w:r>
    </w:p>
    <w:p w14:paraId="4A8E0BCC" w14:textId="00D285AA" w:rsidR="001F6014" w:rsidRPr="00067D0E" w:rsidRDefault="001F6014">
      <w:pPr>
        <w:rPr>
          <w:rFonts w:ascii="Arial" w:hAnsi="Arial" w:cs="Arial"/>
        </w:rPr>
      </w:pPr>
      <w:r w:rsidRPr="00067D0E">
        <w:rPr>
          <w:rFonts w:ascii="Arial" w:hAnsi="Arial" w:cs="Arial"/>
          <w:b/>
          <w:bCs/>
        </w:rPr>
        <w:t>¿Cómo se regulan las SOFIPOS?</w:t>
      </w:r>
      <w:r w:rsidRPr="00067D0E">
        <w:rPr>
          <w:rFonts w:ascii="Arial" w:hAnsi="Arial" w:cs="Arial"/>
        </w:rPr>
        <w:t xml:space="preserve"> Están supervisadas por la CNBV (Comisión Nacional Bancaria y de Valores) y deben cumplir con normas de transparencia, solvencia y protección al usuario. Esto garantiza seguridad para los ahorradores.</w:t>
      </w:r>
    </w:p>
    <w:p w14:paraId="524BA52C" w14:textId="4C4F0C74" w:rsidR="00D64FA4" w:rsidRPr="00067D0E" w:rsidRDefault="001F6014">
      <w:pPr>
        <w:rPr>
          <w:rFonts w:ascii="Arial" w:hAnsi="Arial" w:cs="Arial"/>
        </w:rPr>
      </w:pPr>
      <w:r w:rsidRPr="00067D0E">
        <w:rPr>
          <w:rFonts w:ascii="Arial" w:hAnsi="Arial" w:cs="Arial"/>
          <w:b/>
          <w:bCs/>
        </w:rPr>
        <w:t>¿Qué servicios ofrecen las SOFIPOS?</w:t>
      </w:r>
      <w:r w:rsidR="00D64FA4" w:rsidRPr="00067D0E">
        <w:rPr>
          <w:rFonts w:ascii="Arial" w:hAnsi="Arial" w:cs="Arial"/>
        </w:rPr>
        <w:t xml:space="preserve"> </w:t>
      </w:r>
      <w:r w:rsidRPr="00067D0E">
        <w:rPr>
          <w:rFonts w:ascii="Arial" w:hAnsi="Arial" w:cs="Arial"/>
        </w:rPr>
        <w:t>Ofrecen cuentas de ahorro, préstamos personales y productivos, seguros, y en algunos casos, servicios digitales. Están diseñadas para ser accesibles y adaptadas a las necesidades de sus comunidades.</w:t>
      </w:r>
      <w:r w:rsidR="009D1717" w:rsidRPr="00067D0E">
        <w:rPr>
          <w:rFonts w:ascii="Arial" w:hAnsi="Arial" w:cs="Arial"/>
        </w:rPr>
        <w:br/>
        <w:t>​‌</w:t>
      </w:r>
    </w:p>
    <w:p w14:paraId="40AD9E7E" w14:textId="4DBA1A1C" w:rsidR="00067D0E" w:rsidRPr="00067D0E" w:rsidRDefault="00067D0E">
      <w:pPr>
        <w:rPr>
          <w:rFonts w:ascii="Arial" w:hAnsi="Arial" w:cs="Arial"/>
          <w:b/>
          <w:bCs/>
        </w:rPr>
      </w:pPr>
      <w:r w:rsidRPr="00067D0E">
        <w:rPr>
          <w:rFonts w:ascii="Arial" w:hAnsi="Arial" w:cs="Arial"/>
          <w:b/>
          <w:bCs/>
        </w:rPr>
        <w:t>Explicación de los indicadores clave</w:t>
      </w:r>
    </w:p>
    <w:p w14:paraId="485D2186" w14:textId="7624AF30" w:rsidR="00067D0E" w:rsidRDefault="00067D0E">
      <w:pPr>
        <w:rPr>
          <w:rFonts w:ascii="Arial" w:hAnsi="Arial" w:cs="Arial"/>
          <w:b/>
          <w:bCs/>
        </w:rPr>
      </w:pPr>
      <w:r>
        <w:rPr>
          <w:rFonts w:ascii="Arial" w:hAnsi="Arial" w:cs="Arial"/>
          <w:b/>
          <w:bCs/>
        </w:rPr>
        <w:t xml:space="preserve">NICAP: </w:t>
      </w:r>
      <w:r w:rsidRPr="00067D0E">
        <w:rPr>
          <w:rFonts w:ascii="Arial" w:hAnsi="Arial" w:cs="Arial"/>
        </w:rPr>
        <w:t>El índice de capitalización financiera mide la solidez financiera de la SOFIPO. Representa el capital disponible en relación con los activos ponderados por riesgo. Un valor alto indica mayor capacidad para absorber pérdidas.</w:t>
      </w:r>
    </w:p>
    <w:p w14:paraId="52D7DC57" w14:textId="115E5B23" w:rsidR="00067D0E" w:rsidRPr="00067D0E" w:rsidRDefault="00067D0E">
      <w:pPr>
        <w:rPr>
          <w:rFonts w:ascii="Arial" w:hAnsi="Arial" w:cs="Arial"/>
        </w:rPr>
      </w:pPr>
      <w:r>
        <w:rPr>
          <w:rFonts w:ascii="Arial" w:hAnsi="Arial" w:cs="Arial"/>
          <w:b/>
          <w:bCs/>
        </w:rPr>
        <w:lastRenderedPageBreak/>
        <w:t xml:space="preserve">IMOR: </w:t>
      </w:r>
      <w:r w:rsidRPr="00067D0E">
        <w:rPr>
          <w:rFonts w:ascii="Arial" w:hAnsi="Arial" w:cs="Arial"/>
        </w:rPr>
        <w:t>El índice de morosidad indica el porcentaje de la cartera de crédito con pagos vencidos mayores a 30 días. Un IMOR alto puede señalar problemas en la calidad del portafolio</w:t>
      </w:r>
      <w:r>
        <w:rPr>
          <w:rFonts w:ascii="Arial" w:hAnsi="Arial" w:cs="Arial"/>
        </w:rPr>
        <w:t>.</w:t>
      </w:r>
    </w:p>
    <w:p w14:paraId="275AE74B" w14:textId="28D261A6" w:rsidR="00067D0E" w:rsidRDefault="00067D0E">
      <w:pPr>
        <w:rPr>
          <w:rFonts w:ascii="Arial" w:hAnsi="Arial" w:cs="Arial"/>
          <w:b/>
          <w:bCs/>
        </w:rPr>
      </w:pPr>
      <w:r>
        <w:rPr>
          <w:rFonts w:ascii="Arial" w:hAnsi="Arial" w:cs="Arial"/>
          <w:b/>
          <w:bCs/>
        </w:rPr>
        <w:t xml:space="preserve">Cuota de mercado: </w:t>
      </w:r>
      <w:r w:rsidRPr="00067D0E">
        <w:rPr>
          <w:rFonts w:ascii="Arial" w:hAnsi="Arial" w:cs="Arial"/>
        </w:rPr>
        <w:t>También conocido participación de mercado representa el porcentaje del total del mercado que controla la SOFIPO en términos de activos, cartera o captación. Ayuda a entender su posición competitiva.</w:t>
      </w:r>
    </w:p>
    <w:p w14:paraId="51D17A3B" w14:textId="0393A64B" w:rsidR="00067D0E" w:rsidRDefault="00067D0E">
      <w:pPr>
        <w:rPr>
          <w:rFonts w:ascii="Arial" w:hAnsi="Arial" w:cs="Arial"/>
          <w:b/>
          <w:bCs/>
        </w:rPr>
      </w:pPr>
      <w:r>
        <w:rPr>
          <w:rFonts w:ascii="Arial" w:hAnsi="Arial" w:cs="Arial"/>
          <w:b/>
          <w:bCs/>
        </w:rPr>
        <w:t xml:space="preserve">Tasa de captación: </w:t>
      </w:r>
      <w:r w:rsidRPr="00067D0E">
        <w:rPr>
          <w:rFonts w:ascii="Arial" w:hAnsi="Arial" w:cs="Arial"/>
        </w:rPr>
        <w:t>De manera coloquial se le conoce como dinero captado y es la tasa promedio que la SOFIPO paga a los ahorradores. Un valor bajo es favorable, ya que reduce el costo del fondeo.</w:t>
      </w:r>
    </w:p>
    <w:p w14:paraId="6B1B8DF5" w14:textId="7DFC20E6" w:rsidR="00067D0E" w:rsidRPr="00067D0E" w:rsidRDefault="00067D0E">
      <w:pPr>
        <w:rPr>
          <w:rFonts w:ascii="Arial" w:hAnsi="Arial" w:cs="Arial"/>
        </w:rPr>
      </w:pPr>
      <w:r>
        <w:rPr>
          <w:rFonts w:ascii="Arial" w:hAnsi="Arial" w:cs="Arial"/>
          <w:b/>
          <w:bCs/>
        </w:rPr>
        <w:t xml:space="preserve">Tasa de cartera vigente: </w:t>
      </w:r>
      <w:r w:rsidRPr="00067D0E">
        <w:rPr>
          <w:rFonts w:ascii="Arial" w:hAnsi="Arial" w:cs="Arial"/>
        </w:rPr>
        <w:t>Es el rendimiento de la cartera, es la tasa promedio que la SOFIPO cobra por los créditos vigentes. Refleja el ingreso generado por su cartera activa.</w:t>
      </w:r>
    </w:p>
    <w:p w14:paraId="226A5C15" w14:textId="06A8B618" w:rsidR="00067D0E" w:rsidRPr="00067D0E" w:rsidRDefault="00067D0E">
      <w:pPr>
        <w:rPr>
          <w:rFonts w:ascii="Arial" w:hAnsi="Arial" w:cs="Arial"/>
        </w:rPr>
      </w:pPr>
      <w:r>
        <w:rPr>
          <w:rFonts w:ascii="Arial" w:hAnsi="Arial" w:cs="Arial"/>
          <w:b/>
          <w:bCs/>
        </w:rPr>
        <w:t xml:space="preserve">Spread: </w:t>
      </w:r>
      <w:r w:rsidRPr="00067D0E">
        <w:rPr>
          <w:rFonts w:ascii="Arial" w:hAnsi="Arial" w:cs="Arial"/>
        </w:rPr>
        <w:t>Es la diferencia entre la tasa de cartera vigente y la tasa de captación. Mide el margen de ganancia por cada peso prestado. Un spread alto indica mayor rentabilidad.</w:t>
      </w:r>
    </w:p>
    <w:p w14:paraId="54094DE3" w14:textId="77777777" w:rsidR="004C75EE" w:rsidRDefault="004C75EE">
      <w:pPr>
        <w:rPr>
          <w:rFonts w:ascii="Arial" w:hAnsi="Arial" w:cs="Arial"/>
          <w:b/>
          <w:bCs/>
          <w:i/>
          <w:iCs/>
        </w:rPr>
      </w:pPr>
    </w:p>
    <w:p w14:paraId="576A3426" w14:textId="50F14C4F" w:rsidR="005B3994" w:rsidRDefault="00067D0E">
      <w:pPr>
        <w:rPr>
          <w:rFonts w:ascii="Arial" w:hAnsi="Arial" w:cs="Arial"/>
          <w:b/>
          <w:bCs/>
          <w:i/>
          <w:iCs/>
        </w:rPr>
      </w:pPr>
      <w:r w:rsidRPr="00067D0E">
        <w:rPr>
          <w:rFonts w:ascii="Arial" w:hAnsi="Arial" w:cs="Arial"/>
          <w:b/>
          <w:bCs/>
          <w:i/>
          <w:iCs/>
        </w:rPr>
        <w:t>Análisis del crecimiento de las SOFIPOS en 2024</w:t>
      </w:r>
    </w:p>
    <w:p w14:paraId="5BE441C6" w14:textId="2D975C46" w:rsidR="00067D0E" w:rsidRDefault="005B3994">
      <w:pPr>
        <w:rPr>
          <w:rFonts w:ascii="Arial" w:hAnsi="Arial" w:cs="Arial"/>
        </w:rPr>
      </w:pPr>
      <w:r w:rsidRPr="005B3994">
        <w:rPr>
          <w:rFonts w:ascii="Arial" w:hAnsi="Arial" w:cs="Arial"/>
          <w:noProof/>
        </w:rPr>
        <w:drawing>
          <wp:inline distT="0" distB="0" distL="0" distR="0" wp14:anchorId="22BBB170" wp14:editId="1592DE85">
            <wp:extent cx="5334744" cy="1886213"/>
            <wp:effectExtent l="0" t="0" r="0" b="0"/>
            <wp:docPr id="1052176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76890" name=""/>
                    <pic:cNvPicPr/>
                  </pic:nvPicPr>
                  <pic:blipFill>
                    <a:blip r:embed="rId5"/>
                    <a:stretch>
                      <a:fillRect/>
                    </a:stretch>
                  </pic:blipFill>
                  <pic:spPr>
                    <a:xfrm>
                      <a:off x="0" y="0"/>
                      <a:ext cx="5334744" cy="1886213"/>
                    </a:xfrm>
                    <a:prstGeom prst="rect">
                      <a:avLst/>
                    </a:prstGeom>
                  </pic:spPr>
                </pic:pic>
              </a:graphicData>
            </a:graphic>
          </wp:inline>
        </w:drawing>
      </w:r>
    </w:p>
    <w:p w14:paraId="1C9A1817" w14:textId="262BAEBB" w:rsidR="004C75EE" w:rsidRDefault="008A7CAF">
      <w:pPr>
        <w:rPr>
          <w:rFonts w:ascii="Arial" w:hAnsi="Arial" w:cs="Arial"/>
        </w:rPr>
      </w:pPr>
      <w:r>
        <w:rPr>
          <w:rFonts w:ascii="Arial" w:hAnsi="Arial" w:cs="Arial"/>
        </w:rPr>
        <w:t xml:space="preserve">Las SOFIPOS están </w:t>
      </w:r>
      <w:r w:rsidR="00162546">
        <w:rPr>
          <w:rFonts w:ascii="Arial" w:hAnsi="Arial" w:cs="Arial"/>
        </w:rPr>
        <w:t>de moda en la actualidad, c</w:t>
      </w:r>
      <w:r w:rsidR="004C75EE">
        <w:rPr>
          <w:rFonts w:ascii="Arial" w:hAnsi="Arial" w:cs="Arial"/>
        </w:rPr>
        <w:t xml:space="preserve">omo se observa en la </w:t>
      </w:r>
      <w:r w:rsidR="00554E4A">
        <w:rPr>
          <w:rFonts w:ascii="Arial" w:hAnsi="Arial" w:cs="Arial"/>
        </w:rPr>
        <w:t xml:space="preserve">gráfica las SOFIPOS en 2024 tuvieron un crecimiento enorme, subiendo de 15 millones a 25 millones en el lapso de un año, </w:t>
      </w:r>
      <w:r w:rsidR="00D17284">
        <w:rPr>
          <w:rFonts w:ascii="Arial" w:hAnsi="Arial" w:cs="Arial"/>
        </w:rPr>
        <w:t xml:space="preserve">lo que demuestra un avance tanto en la cuota de mercado de las SOFIPOS como en la inclusión financiera del país, </w:t>
      </w:r>
      <w:r w:rsidR="00842F05">
        <w:rPr>
          <w:rFonts w:ascii="Arial" w:hAnsi="Arial" w:cs="Arial"/>
        </w:rPr>
        <w:t xml:space="preserve">ya que </w:t>
      </w:r>
      <w:r w:rsidR="009E4911">
        <w:rPr>
          <w:rFonts w:ascii="Arial" w:hAnsi="Arial" w:cs="Arial"/>
        </w:rPr>
        <w:t xml:space="preserve">aproximadamente 10 millones de personas nuevas abrieron una cuenta ya sea para obtener un ingreso por sus </w:t>
      </w:r>
      <w:r w:rsidR="00B43A7C">
        <w:rPr>
          <w:rFonts w:ascii="Arial" w:hAnsi="Arial" w:cs="Arial"/>
        </w:rPr>
        <w:t>ahorros</w:t>
      </w:r>
      <w:r w:rsidR="009E4911">
        <w:rPr>
          <w:rFonts w:ascii="Arial" w:hAnsi="Arial" w:cs="Arial"/>
        </w:rPr>
        <w:t>, como para obtener un crédito</w:t>
      </w:r>
      <w:r w:rsidR="00C0263C">
        <w:rPr>
          <w:rFonts w:ascii="Arial" w:hAnsi="Arial" w:cs="Arial"/>
        </w:rPr>
        <w:t>.</w:t>
      </w:r>
    </w:p>
    <w:p w14:paraId="6943B7B6" w14:textId="006783C5" w:rsidR="00C0263C" w:rsidRDefault="00C0263C">
      <w:pPr>
        <w:rPr>
          <w:rFonts w:ascii="Arial" w:hAnsi="Arial" w:cs="Arial"/>
        </w:rPr>
      </w:pPr>
      <w:r>
        <w:rPr>
          <w:rFonts w:ascii="Arial" w:hAnsi="Arial" w:cs="Arial"/>
        </w:rPr>
        <w:t>De la misma manera encontramos que hay SOFIPOS que se han comido el mercado en México,</w:t>
      </w:r>
      <w:r w:rsidR="00405131">
        <w:rPr>
          <w:rFonts w:ascii="Arial" w:hAnsi="Arial" w:cs="Arial"/>
        </w:rPr>
        <w:t xml:space="preserve"> la cual es ni más ni menos que la famosa NU, que en promedio represente un 41% por ciento del mercado en México</w:t>
      </w:r>
      <w:r w:rsidR="00B43A7C">
        <w:rPr>
          <w:rFonts w:ascii="Arial" w:hAnsi="Arial" w:cs="Arial"/>
        </w:rPr>
        <w:t xml:space="preserve"> a lo largo de 2024</w:t>
      </w:r>
      <w:r w:rsidR="00405131">
        <w:rPr>
          <w:rFonts w:ascii="Arial" w:hAnsi="Arial" w:cs="Arial"/>
        </w:rPr>
        <w:t>.</w:t>
      </w:r>
      <w:r w:rsidR="00F50EE3">
        <w:rPr>
          <w:rFonts w:ascii="Arial" w:hAnsi="Arial" w:cs="Arial"/>
        </w:rPr>
        <w:t xml:space="preserve"> </w:t>
      </w:r>
      <w:r w:rsidR="00F50EE3">
        <w:rPr>
          <w:rFonts w:ascii="Arial" w:hAnsi="Arial" w:cs="Arial"/>
        </w:rPr>
        <w:lastRenderedPageBreak/>
        <w:t>Seguido de KLAR con un</w:t>
      </w:r>
      <w:r w:rsidR="009D48CD">
        <w:rPr>
          <w:rFonts w:ascii="Arial" w:hAnsi="Arial" w:cs="Arial"/>
        </w:rPr>
        <w:t xml:space="preserve"> 14.4% y Libertad con un 11.63%, siendo las tres SOFIPOS con mayor cuota de mercado en México.</w:t>
      </w:r>
    </w:p>
    <w:p w14:paraId="59CF5CFF" w14:textId="06BE5CA0" w:rsidR="00F50EE3" w:rsidRDefault="00F50EE3">
      <w:pPr>
        <w:rPr>
          <w:rFonts w:ascii="Arial" w:hAnsi="Arial" w:cs="Arial"/>
        </w:rPr>
      </w:pPr>
      <w:r w:rsidRPr="00F50EE3">
        <w:rPr>
          <w:rFonts w:ascii="Arial" w:hAnsi="Arial" w:cs="Arial"/>
          <w:noProof/>
        </w:rPr>
        <w:drawing>
          <wp:inline distT="0" distB="0" distL="0" distR="0" wp14:anchorId="4FF427B0" wp14:editId="6AFF1C3B">
            <wp:extent cx="4248743" cy="2505425"/>
            <wp:effectExtent l="0" t="0" r="0" b="9525"/>
            <wp:docPr id="325027461"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27461" name="Imagen 1" descr="Gráfico, Gráfico circular&#10;&#10;El contenido generado por IA puede ser incorrecto."/>
                    <pic:cNvPicPr/>
                  </pic:nvPicPr>
                  <pic:blipFill>
                    <a:blip r:embed="rId6"/>
                    <a:stretch>
                      <a:fillRect/>
                    </a:stretch>
                  </pic:blipFill>
                  <pic:spPr>
                    <a:xfrm>
                      <a:off x="0" y="0"/>
                      <a:ext cx="4248743" cy="2505425"/>
                    </a:xfrm>
                    <a:prstGeom prst="rect">
                      <a:avLst/>
                    </a:prstGeom>
                  </pic:spPr>
                </pic:pic>
              </a:graphicData>
            </a:graphic>
          </wp:inline>
        </w:drawing>
      </w:r>
    </w:p>
    <w:p w14:paraId="701B3AD7" w14:textId="6B20E022" w:rsidR="009D48CD" w:rsidRDefault="009D48CD">
      <w:pPr>
        <w:rPr>
          <w:rFonts w:ascii="Arial" w:hAnsi="Arial" w:cs="Arial"/>
        </w:rPr>
      </w:pPr>
      <w:r>
        <w:rPr>
          <w:rFonts w:ascii="Arial" w:hAnsi="Arial" w:cs="Arial"/>
        </w:rPr>
        <w:t xml:space="preserve">Estos mismos tres </w:t>
      </w:r>
      <w:r w:rsidR="009A0071">
        <w:rPr>
          <w:rFonts w:ascii="Arial" w:hAnsi="Arial" w:cs="Arial"/>
        </w:rPr>
        <w:t>han tenido un crecimiento sorprendente dentro del país, pero sin duda NU es la que más ha brillado entre todas,</w:t>
      </w:r>
      <w:r w:rsidR="008C0A24">
        <w:rPr>
          <w:rFonts w:ascii="Arial" w:hAnsi="Arial" w:cs="Arial"/>
        </w:rPr>
        <w:t xml:space="preserve"> y se puede observar con la siguiente tabla.</w:t>
      </w:r>
    </w:p>
    <w:p w14:paraId="0B017DC5" w14:textId="410B7884" w:rsidR="004C39DA" w:rsidRDefault="004C39DA">
      <w:pPr>
        <w:rPr>
          <w:rFonts w:ascii="Arial" w:hAnsi="Arial" w:cs="Arial"/>
        </w:rPr>
      </w:pPr>
      <w:r w:rsidRPr="004C39DA">
        <w:rPr>
          <w:rFonts w:ascii="Arial" w:hAnsi="Arial" w:cs="Arial"/>
          <w:noProof/>
        </w:rPr>
        <w:drawing>
          <wp:inline distT="0" distB="0" distL="0" distR="0" wp14:anchorId="5C2F8EF9" wp14:editId="08CADFE1">
            <wp:extent cx="3714750" cy="2590800"/>
            <wp:effectExtent l="0" t="0" r="0" b="0"/>
            <wp:docPr id="563650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50369" name=""/>
                    <pic:cNvPicPr/>
                  </pic:nvPicPr>
                  <pic:blipFill rotWithShape="1">
                    <a:blip r:embed="rId7"/>
                    <a:srcRect l="-1" r="2010"/>
                    <a:stretch>
                      <a:fillRect/>
                    </a:stretch>
                  </pic:blipFill>
                  <pic:spPr bwMode="auto">
                    <a:xfrm>
                      <a:off x="0" y="0"/>
                      <a:ext cx="3715269" cy="2591162"/>
                    </a:xfrm>
                    <a:prstGeom prst="rect">
                      <a:avLst/>
                    </a:prstGeom>
                    <a:ln>
                      <a:noFill/>
                    </a:ln>
                    <a:extLst>
                      <a:ext uri="{53640926-AAD7-44D8-BBD7-CCE9431645EC}">
                        <a14:shadowObscured xmlns:a14="http://schemas.microsoft.com/office/drawing/2010/main"/>
                      </a:ext>
                    </a:extLst>
                  </pic:spPr>
                </pic:pic>
              </a:graphicData>
            </a:graphic>
          </wp:inline>
        </w:drawing>
      </w:r>
    </w:p>
    <w:p w14:paraId="35729662" w14:textId="77777777" w:rsidR="00405131" w:rsidRDefault="00405131">
      <w:pPr>
        <w:rPr>
          <w:rFonts w:ascii="Arial" w:hAnsi="Arial" w:cs="Arial"/>
        </w:rPr>
      </w:pPr>
    </w:p>
    <w:p w14:paraId="1B96A26F" w14:textId="1CD29EC3" w:rsidR="009006A2" w:rsidRDefault="00775164">
      <w:pPr>
        <w:rPr>
          <w:rFonts w:ascii="Arial" w:hAnsi="Arial" w:cs="Arial"/>
          <w:b/>
          <w:bCs/>
          <w:i/>
          <w:iCs/>
        </w:rPr>
      </w:pPr>
      <w:r>
        <w:rPr>
          <w:rFonts w:ascii="Arial" w:hAnsi="Arial" w:cs="Arial"/>
          <w:b/>
          <w:bCs/>
          <w:i/>
          <w:iCs/>
        </w:rPr>
        <w:t>Tasas de captación y tasas de cartera vigente</w:t>
      </w:r>
    </w:p>
    <w:p w14:paraId="34E11947" w14:textId="3FA83073" w:rsidR="00775164" w:rsidRDefault="00AC4569">
      <w:pPr>
        <w:rPr>
          <w:rFonts w:ascii="Arial" w:hAnsi="Arial" w:cs="Arial"/>
        </w:rPr>
      </w:pPr>
      <w:r>
        <w:rPr>
          <w:rFonts w:ascii="Arial" w:hAnsi="Arial" w:cs="Arial"/>
        </w:rPr>
        <w:t xml:space="preserve">Las tasas de captación y de cartera son un tema importante dentro de las SOFIPOS, recapitulemos que las SOFIPOS son un </w:t>
      </w:r>
      <w:r w:rsidR="00206BB6">
        <w:rPr>
          <w:rFonts w:ascii="Arial" w:hAnsi="Arial" w:cs="Arial"/>
        </w:rPr>
        <w:t xml:space="preserve">banco </w:t>
      </w:r>
      <w:r w:rsidR="00832492">
        <w:rPr>
          <w:rFonts w:ascii="Arial" w:hAnsi="Arial" w:cs="Arial"/>
        </w:rPr>
        <w:t>“</w:t>
      </w:r>
      <w:r w:rsidR="00C86081">
        <w:rPr>
          <w:rFonts w:ascii="Arial" w:hAnsi="Arial" w:cs="Arial"/>
        </w:rPr>
        <w:t>más sencillo</w:t>
      </w:r>
      <w:r w:rsidR="00832492">
        <w:rPr>
          <w:rFonts w:ascii="Arial" w:hAnsi="Arial" w:cs="Arial"/>
        </w:rPr>
        <w:t>”</w:t>
      </w:r>
      <w:r w:rsidR="00C86081">
        <w:rPr>
          <w:rFonts w:ascii="Arial" w:hAnsi="Arial" w:cs="Arial"/>
        </w:rPr>
        <w:t xml:space="preserve">, es una banca paralela, que no cuentan con el suficiente capital y servicios para poder considerarse como </w:t>
      </w:r>
      <w:r w:rsidR="00720587">
        <w:rPr>
          <w:rFonts w:ascii="Arial" w:hAnsi="Arial" w:cs="Arial"/>
        </w:rPr>
        <w:t>banca</w:t>
      </w:r>
      <w:r w:rsidR="00C86081">
        <w:rPr>
          <w:rFonts w:ascii="Arial" w:hAnsi="Arial" w:cs="Arial"/>
        </w:rPr>
        <w:t xml:space="preserve"> tradicional</w:t>
      </w:r>
      <w:r w:rsidR="00B64992">
        <w:rPr>
          <w:rFonts w:ascii="Arial" w:hAnsi="Arial" w:cs="Arial"/>
        </w:rPr>
        <w:t xml:space="preserve">, y utilizan </w:t>
      </w:r>
      <w:r w:rsidR="00A612EE">
        <w:rPr>
          <w:rFonts w:ascii="Arial" w:hAnsi="Arial" w:cs="Arial"/>
        </w:rPr>
        <w:t>la tasa de captación para obtener capital</w:t>
      </w:r>
      <w:r w:rsidR="00251ADA">
        <w:rPr>
          <w:rFonts w:ascii="Arial" w:hAnsi="Arial" w:cs="Arial"/>
        </w:rPr>
        <w:t xml:space="preserve"> de sus ahorradores</w:t>
      </w:r>
      <w:r w:rsidR="00A612EE">
        <w:rPr>
          <w:rFonts w:ascii="Arial" w:hAnsi="Arial" w:cs="Arial"/>
        </w:rPr>
        <w:t xml:space="preserve"> y posteriormente entra </w:t>
      </w:r>
      <w:r w:rsidR="00251ADA">
        <w:rPr>
          <w:rFonts w:ascii="Arial" w:hAnsi="Arial" w:cs="Arial"/>
        </w:rPr>
        <w:t xml:space="preserve">el concepto de </w:t>
      </w:r>
      <w:r w:rsidR="00A612EE">
        <w:rPr>
          <w:rFonts w:ascii="Arial" w:hAnsi="Arial" w:cs="Arial"/>
        </w:rPr>
        <w:t xml:space="preserve">la tasa de </w:t>
      </w:r>
      <w:r w:rsidR="00A612EE">
        <w:rPr>
          <w:rFonts w:ascii="Arial" w:hAnsi="Arial" w:cs="Arial"/>
        </w:rPr>
        <w:lastRenderedPageBreak/>
        <w:t>cartera vigente para poder prestar dinero</w:t>
      </w:r>
      <w:r w:rsidR="00A54A67">
        <w:rPr>
          <w:rFonts w:ascii="Arial" w:hAnsi="Arial" w:cs="Arial"/>
        </w:rPr>
        <w:t xml:space="preserve"> y obtener un interés</w:t>
      </w:r>
      <w:r w:rsidR="00832492">
        <w:rPr>
          <w:rFonts w:ascii="Arial" w:hAnsi="Arial" w:cs="Arial"/>
        </w:rPr>
        <w:t>, e</w:t>
      </w:r>
      <w:r w:rsidR="004161CB">
        <w:rPr>
          <w:rFonts w:ascii="Arial" w:hAnsi="Arial" w:cs="Arial"/>
        </w:rPr>
        <w:t xml:space="preserve">sto es importante porque es el corazón del modelo de negocio, y el panorama de 2024 muestra como </w:t>
      </w:r>
      <w:r w:rsidR="00FF037A">
        <w:rPr>
          <w:rFonts w:ascii="Arial" w:hAnsi="Arial" w:cs="Arial"/>
        </w:rPr>
        <w:t>las SOFIPOS utilizan estos mecanismos para atraer clientes y obtener un</w:t>
      </w:r>
      <w:r w:rsidR="003B4442">
        <w:rPr>
          <w:rFonts w:ascii="Arial" w:hAnsi="Arial" w:cs="Arial"/>
        </w:rPr>
        <w:t xml:space="preserve"> rendimiento</w:t>
      </w:r>
      <w:r w:rsidR="00FF037A">
        <w:rPr>
          <w:rFonts w:ascii="Arial" w:hAnsi="Arial" w:cs="Arial"/>
        </w:rPr>
        <w:t>.</w:t>
      </w:r>
    </w:p>
    <w:p w14:paraId="71D715D1" w14:textId="70B22FEC" w:rsidR="00FF037A" w:rsidRDefault="00B9147B">
      <w:pPr>
        <w:rPr>
          <w:rFonts w:ascii="Arial" w:hAnsi="Arial" w:cs="Arial"/>
        </w:rPr>
      </w:pPr>
      <w:r w:rsidRPr="00B9147B">
        <w:rPr>
          <w:rFonts w:ascii="Arial" w:hAnsi="Arial" w:cs="Arial"/>
          <w:noProof/>
        </w:rPr>
        <w:drawing>
          <wp:inline distT="0" distB="0" distL="0" distR="0" wp14:anchorId="7EE561B9" wp14:editId="6295925B">
            <wp:extent cx="3839111" cy="1571844"/>
            <wp:effectExtent l="0" t="0" r="9525" b="9525"/>
            <wp:docPr id="47849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9481" name=""/>
                    <pic:cNvPicPr/>
                  </pic:nvPicPr>
                  <pic:blipFill>
                    <a:blip r:embed="rId8"/>
                    <a:stretch>
                      <a:fillRect/>
                    </a:stretch>
                  </pic:blipFill>
                  <pic:spPr>
                    <a:xfrm>
                      <a:off x="0" y="0"/>
                      <a:ext cx="3839111" cy="1571844"/>
                    </a:xfrm>
                    <a:prstGeom prst="rect">
                      <a:avLst/>
                    </a:prstGeom>
                  </pic:spPr>
                </pic:pic>
              </a:graphicData>
            </a:graphic>
          </wp:inline>
        </w:drawing>
      </w:r>
    </w:p>
    <w:p w14:paraId="4AA3C989" w14:textId="4451A156" w:rsidR="006D6C0D" w:rsidRPr="00B50837" w:rsidRDefault="00D30A4C">
      <w:pPr>
        <w:rPr>
          <w:rFonts w:ascii="Arial" w:hAnsi="Arial" w:cs="Arial"/>
        </w:rPr>
      </w:pPr>
      <w:r w:rsidRPr="00B50837">
        <w:rPr>
          <w:rFonts w:ascii="Arial" w:hAnsi="Arial" w:cs="Arial"/>
        </w:rPr>
        <w:t>La</w:t>
      </w:r>
      <w:r w:rsidR="00B50837" w:rsidRPr="00B50837">
        <w:rPr>
          <w:rFonts w:ascii="Arial" w:hAnsi="Arial" w:cs="Arial"/>
        </w:rPr>
        <w:t xml:space="preserve"> tasa de cartera vigente representa el</w:t>
      </w:r>
      <w:r w:rsidR="00B50837">
        <w:rPr>
          <w:rFonts w:ascii="Arial" w:hAnsi="Arial" w:cs="Arial"/>
        </w:rPr>
        <w:t xml:space="preserve"> </w:t>
      </w:r>
      <w:r w:rsidR="00F86AC9">
        <w:rPr>
          <w:rFonts w:ascii="Arial" w:hAnsi="Arial" w:cs="Arial"/>
        </w:rPr>
        <w:t>rendimiento que obtienen por l</w:t>
      </w:r>
      <w:r w:rsidR="00463CEF">
        <w:rPr>
          <w:rFonts w:ascii="Arial" w:hAnsi="Arial" w:cs="Arial"/>
        </w:rPr>
        <w:t>os créditos vigentes</w:t>
      </w:r>
      <w:r w:rsidR="00F64C9A">
        <w:rPr>
          <w:rFonts w:ascii="Arial" w:hAnsi="Arial" w:cs="Arial"/>
        </w:rPr>
        <w:t xml:space="preserve">, </w:t>
      </w:r>
      <w:r w:rsidR="009415AD">
        <w:rPr>
          <w:rFonts w:ascii="Arial" w:hAnsi="Arial" w:cs="Arial"/>
        </w:rPr>
        <w:t xml:space="preserve">y se puede observar </w:t>
      </w:r>
      <w:r w:rsidR="00E71A5F">
        <w:rPr>
          <w:rFonts w:ascii="Arial" w:hAnsi="Arial" w:cs="Arial"/>
        </w:rPr>
        <w:t>cómo</w:t>
      </w:r>
      <w:r w:rsidR="009415AD">
        <w:rPr>
          <w:rFonts w:ascii="Arial" w:hAnsi="Arial" w:cs="Arial"/>
        </w:rPr>
        <w:t xml:space="preserve"> en México sacar un crédito es caro, </w:t>
      </w:r>
      <w:r w:rsidR="003117BE">
        <w:rPr>
          <w:rFonts w:ascii="Arial" w:hAnsi="Arial" w:cs="Arial"/>
        </w:rPr>
        <w:t xml:space="preserve">ya que si lo vemos del </w:t>
      </w:r>
      <w:r w:rsidR="00FC3DCD">
        <w:rPr>
          <w:rFonts w:ascii="Arial" w:hAnsi="Arial" w:cs="Arial"/>
        </w:rPr>
        <w:t xml:space="preserve">otro lado </w:t>
      </w:r>
      <w:r w:rsidR="00771E64">
        <w:rPr>
          <w:rFonts w:ascii="Arial" w:hAnsi="Arial" w:cs="Arial"/>
        </w:rPr>
        <w:t xml:space="preserve">estás instituciones crediticias obtienen un buen rendimiento de los créditos, </w:t>
      </w:r>
      <w:r w:rsidR="009415AD">
        <w:rPr>
          <w:rFonts w:ascii="Arial" w:hAnsi="Arial" w:cs="Arial"/>
        </w:rPr>
        <w:t>hasta cuando usamos la banca paralela</w:t>
      </w:r>
      <w:r w:rsidR="00D65336">
        <w:rPr>
          <w:rFonts w:ascii="Arial" w:hAnsi="Arial" w:cs="Arial"/>
        </w:rPr>
        <w:t xml:space="preserve"> el crédito en México es caro</w:t>
      </w:r>
      <w:r w:rsidR="009415AD">
        <w:rPr>
          <w:rFonts w:ascii="Arial" w:hAnsi="Arial" w:cs="Arial"/>
        </w:rPr>
        <w:t xml:space="preserve">, pero tienen la ventaja de ser más accesibles al </w:t>
      </w:r>
      <w:r w:rsidR="000126DF">
        <w:rPr>
          <w:rFonts w:ascii="Arial" w:hAnsi="Arial" w:cs="Arial"/>
        </w:rPr>
        <w:t>público en general</w:t>
      </w:r>
      <w:r w:rsidR="00D65336">
        <w:rPr>
          <w:rFonts w:ascii="Arial" w:hAnsi="Arial" w:cs="Arial"/>
        </w:rPr>
        <w:t xml:space="preserve">, los requisitos son menores, </w:t>
      </w:r>
      <w:r w:rsidR="00F91CF3">
        <w:rPr>
          <w:rFonts w:ascii="Arial" w:hAnsi="Arial" w:cs="Arial"/>
        </w:rPr>
        <w:t>pero los intereses tienden a ser más altos</w:t>
      </w:r>
      <w:r w:rsidR="000126DF">
        <w:rPr>
          <w:rFonts w:ascii="Arial" w:hAnsi="Arial" w:cs="Arial"/>
        </w:rPr>
        <w:t>.</w:t>
      </w:r>
    </w:p>
    <w:p w14:paraId="493336FF" w14:textId="749DDC7D" w:rsidR="00B9147B" w:rsidRPr="00775164" w:rsidRDefault="006D6C0D">
      <w:pPr>
        <w:rPr>
          <w:rFonts w:ascii="Arial" w:hAnsi="Arial" w:cs="Arial"/>
        </w:rPr>
      </w:pPr>
      <w:r w:rsidRPr="006D6C0D">
        <w:rPr>
          <w:rFonts w:ascii="Arial" w:hAnsi="Arial" w:cs="Arial"/>
          <w:noProof/>
        </w:rPr>
        <w:drawing>
          <wp:inline distT="0" distB="0" distL="0" distR="0" wp14:anchorId="6720A2D1" wp14:editId="77C27702">
            <wp:extent cx="3934374" cy="1609950"/>
            <wp:effectExtent l="0" t="0" r="0" b="9525"/>
            <wp:docPr id="202321481"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1481" name="Imagen 1" descr="Imagen que contiene Gráfico&#10;&#10;El contenido generado por IA puede ser incorrecto."/>
                    <pic:cNvPicPr/>
                  </pic:nvPicPr>
                  <pic:blipFill>
                    <a:blip r:embed="rId9"/>
                    <a:stretch>
                      <a:fillRect/>
                    </a:stretch>
                  </pic:blipFill>
                  <pic:spPr>
                    <a:xfrm>
                      <a:off x="0" y="0"/>
                      <a:ext cx="3934374" cy="1609950"/>
                    </a:xfrm>
                    <a:prstGeom prst="rect">
                      <a:avLst/>
                    </a:prstGeom>
                  </pic:spPr>
                </pic:pic>
              </a:graphicData>
            </a:graphic>
          </wp:inline>
        </w:drawing>
      </w:r>
    </w:p>
    <w:p w14:paraId="0F69F974" w14:textId="38758B87" w:rsidR="009006A2" w:rsidRDefault="00FD052C">
      <w:pPr>
        <w:rPr>
          <w:rFonts w:ascii="Arial" w:hAnsi="Arial" w:cs="Arial"/>
        </w:rPr>
      </w:pPr>
      <w:r>
        <w:rPr>
          <w:rFonts w:ascii="Arial" w:hAnsi="Arial" w:cs="Arial"/>
        </w:rPr>
        <w:t xml:space="preserve">La tasa de captación es como las SOFIPOS </w:t>
      </w:r>
      <w:r w:rsidR="009C53E7">
        <w:rPr>
          <w:rFonts w:ascii="Arial" w:hAnsi="Arial" w:cs="Arial"/>
        </w:rPr>
        <w:t xml:space="preserve">obtienen capital para posteriormente prestarlo, y obtener una ganancia, y es curioso porque en este caso AUXI actualmente </w:t>
      </w:r>
      <w:r w:rsidR="00530F5D">
        <w:rPr>
          <w:rFonts w:ascii="Arial" w:hAnsi="Arial" w:cs="Arial"/>
        </w:rPr>
        <w:t>está</w:t>
      </w:r>
      <w:r w:rsidR="009C53E7">
        <w:rPr>
          <w:rFonts w:ascii="Arial" w:hAnsi="Arial" w:cs="Arial"/>
        </w:rPr>
        <w:t xml:space="preserve"> </w:t>
      </w:r>
      <w:r w:rsidR="00A16AA6">
        <w:rPr>
          <w:rFonts w:ascii="Arial" w:hAnsi="Arial" w:cs="Arial"/>
        </w:rPr>
        <w:t>cerrada</w:t>
      </w:r>
      <w:r w:rsidR="009C53E7">
        <w:rPr>
          <w:rFonts w:ascii="Arial" w:hAnsi="Arial" w:cs="Arial"/>
        </w:rPr>
        <w:t xml:space="preserve">, y si usamos el </w:t>
      </w:r>
      <w:proofErr w:type="spellStart"/>
      <w:r w:rsidR="009C53E7">
        <w:rPr>
          <w:rFonts w:ascii="Arial" w:hAnsi="Arial" w:cs="Arial"/>
        </w:rPr>
        <w:t>dashboard</w:t>
      </w:r>
      <w:proofErr w:type="spellEnd"/>
      <w:r w:rsidR="009C53E7">
        <w:rPr>
          <w:rFonts w:ascii="Arial" w:hAnsi="Arial" w:cs="Arial"/>
        </w:rPr>
        <w:t xml:space="preserve"> de </w:t>
      </w:r>
      <w:r w:rsidR="0094717E">
        <w:rPr>
          <w:rFonts w:ascii="Arial" w:hAnsi="Arial" w:cs="Arial"/>
        </w:rPr>
        <w:t xml:space="preserve">SOFIPOS en </w:t>
      </w:r>
      <w:proofErr w:type="spellStart"/>
      <w:r w:rsidR="0094717E">
        <w:rPr>
          <w:rFonts w:ascii="Arial" w:hAnsi="Arial" w:cs="Arial"/>
        </w:rPr>
        <w:t>Power</w:t>
      </w:r>
      <w:proofErr w:type="spellEnd"/>
      <w:r w:rsidR="0094717E">
        <w:rPr>
          <w:rFonts w:ascii="Arial" w:hAnsi="Arial" w:cs="Arial"/>
        </w:rPr>
        <w:t xml:space="preserve"> BI, se observa como esto es una estrategia </w:t>
      </w:r>
      <w:r w:rsidR="00446137">
        <w:rPr>
          <w:rFonts w:ascii="Arial" w:hAnsi="Arial" w:cs="Arial"/>
        </w:rPr>
        <w:t xml:space="preserve">desesperada </w:t>
      </w:r>
      <w:r w:rsidR="0094717E">
        <w:rPr>
          <w:rFonts w:ascii="Arial" w:hAnsi="Arial" w:cs="Arial"/>
        </w:rPr>
        <w:t xml:space="preserve">para captar capital debido a que estaban en </w:t>
      </w:r>
      <w:r w:rsidR="00322D2F">
        <w:rPr>
          <w:rFonts w:ascii="Arial" w:hAnsi="Arial" w:cs="Arial"/>
        </w:rPr>
        <w:t>números rojos</w:t>
      </w:r>
      <w:r w:rsidR="0094717E">
        <w:rPr>
          <w:rFonts w:ascii="Arial" w:hAnsi="Arial" w:cs="Arial"/>
        </w:rPr>
        <w:t>, cosa finalmente no resulto.</w:t>
      </w:r>
      <w:r w:rsidR="003D5844">
        <w:rPr>
          <w:rFonts w:ascii="Arial" w:hAnsi="Arial" w:cs="Arial"/>
        </w:rPr>
        <w:t xml:space="preserve"> De aquí la importancia de no solo fijarse en las tasas que ofrece una institución sino igual en la solidez financiera de </w:t>
      </w:r>
      <w:r w:rsidR="00CC7C4D">
        <w:rPr>
          <w:rFonts w:ascii="Arial" w:hAnsi="Arial" w:cs="Arial"/>
        </w:rPr>
        <w:t>estas</w:t>
      </w:r>
      <w:r w:rsidR="003D5844">
        <w:rPr>
          <w:rFonts w:ascii="Arial" w:hAnsi="Arial" w:cs="Arial"/>
        </w:rPr>
        <w:t xml:space="preserve"> instituciones.</w:t>
      </w:r>
    </w:p>
    <w:p w14:paraId="1E3EB2D7" w14:textId="77777777" w:rsidR="000126DF" w:rsidRDefault="000126DF">
      <w:pPr>
        <w:rPr>
          <w:rFonts w:ascii="Arial" w:hAnsi="Arial" w:cs="Arial"/>
          <w:b/>
          <w:bCs/>
          <w:i/>
          <w:iCs/>
        </w:rPr>
      </w:pPr>
    </w:p>
    <w:p w14:paraId="3047D472" w14:textId="77777777" w:rsidR="00CC7C4D" w:rsidRDefault="00CC7C4D">
      <w:pPr>
        <w:rPr>
          <w:rFonts w:ascii="Arial" w:hAnsi="Arial" w:cs="Arial"/>
          <w:b/>
          <w:bCs/>
          <w:i/>
          <w:iCs/>
        </w:rPr>
      </w:pPr>
    </w:p>
    <w:p w14:paraId="02AA52AB" w14:textId="77777777" w:rsidR="00CC7C4D" w:rsidRDefault="00CC7C4D">
      <w:pPr>
        <w:rPr>
          <w:rFonts w:ascii="Arial" w:hAnsi="Arial" w:cs="Arial"/>
          <w:b/>
          <w:bCs/>
          <w:i/>
          <w:iCs/>
        </w:rPr>
      </w:pPr>
    </w:p>
    <w:p w14:paraId="3675B7A0" w14:textId="7CE2447A" w:rsidR="00936187" w:rsidRPr="008C0A24" w:rsidRDefault="00936187">
      <w:pPr>
        <w:rPr>
          <w:rFonts w:ascii="Arial" w:hAnsi="Arial" w:cs="Arial"/>
          <w:b/>
          <w:bCs/>
          <w:i/>
          <w:iCs/>
        </w:rPr>
      </w:pPr>
      <w:r w:rsidRPr="008C0A24">
        <w:rPr>
          <w:rFonts w:ascii="Arial" w:hAnsi="Arial" w:cs="Arial"/>
          <w:b/>
          <w:bCs/>
          <w:i/>
          <w:iCs/>
        </w:rPr>
        <w:lastRenderedPageBreak/>
        <w:t>Caso de éxito “NU”</w:t>
      </w:r>
    </w:p>
    <w:p w14:paraId="734F030F" w14:textId="2F167A93" w:rsidR="00F76017" w:rsidRDefault="006A46F0">
      <w:pPr>
        <w:rPr>
          <w:rFonts w:ascii="Arial" w:hAnsi="Arial" w:cs="Arial"/>
        </w:rPr>
      </w:pPr>
      <w:proofErr w:type="spellStart"/>
      <w:r>
        <w:rPr>
          <w:rFonts w:ascii="Arial" w:hAnsi="Arial" w:cs="Arial"/>
        </w:rPr>
        <w:t>Nu</w:t>
      </w:r>
      <w:proofErr w:type="spellEnd"/>
      <w:r>
        <w:rPr>
          <w:rFonts w:ascii="Arial" w:hAnsi="Arial" w:cs="Arial"/>
        </w:rPr>
        <w:t xml:space="preserve"> ha entrado en la vida de miles de Mexicanos y su consolidación en el mercado </w:t>
      </w:r>
      <w:r w:rsidR="0000029C">
        <w:rPr>
          <w:rFonts w:ascii="Arial" w:hAnsi="Arial" w:cs="Arial"/>
        </w:rPr>
        <w:t xml:space="preserve">mexicano </w:t>
      </w:r>
      <w:r w:rsidR="005645DD">
        <w:rPr>
          <w:rFonts w:ascii="Arial" w:hAnsi="Arial" w:cs="Arial"/>
        </w:rPr>
        <w:t>está</w:t>
      </w:r>
      <w:r w:rsidR="0000029C">
        <w:rPr>
          <w:rFonts w:ascii="Arial" w:hAnsi="Arial" w:cs="Arial"/>
        </w:rPr>
        <w:t xml:space="preserve"> en proceso, esto es un breve análisis sobre como las salud financiera de </w:t>
      </w:r>
      <w:proofErr w:type="spellStart"/>
      <w:r w:rsidR="0000029C">
        <w:rPr>
          <w:rFonts w:ascii="Arial" w:hAnsi="Arial" w:cs="Arial"/>
        </w:rPr>
        <w:t>Nu</w:t>
      </w:r>
      <w:proofErr w:type="spellEnd"/>
      <w:r w:rsidR="0000029C">
        <w:rPr>
          <w:rFonts w:ascii="Arial" w:hAnsi="Arial" w:cs="Arial"/>
        </w:rPr>
        <w:t xml:space="preserve"> y sobre como sus números reflejan </w:t>
      </w:r>
      <w:r w:rsidR="00A70679">
        <w:rPr>
          <w:rFonts w:ascii="Arial" w:hAnsi="Arial" w:cs="Arial"/>
        </w:rPr>
        <w:t>sus decisiones actuales.</w:t>
      </w:r>
    </w:p>
    <w:p w14:paraId="318288AA" w14:textId="77777777" w:rsidR="00A70679" w:rsidRDefault="00A70679">
      <w:pPr>
        <w:rPr>
          <w:rFonts w:ascii="Arial" w:hAnsi="Arial" w:cs="Arial"/>
        </w:rPr>
      </w:pPr>
    </w:p>
    <w:p w14:paraId="5ED387EA" w14:textId="5B58154F" w:rsidR="00A70679" w:rsidRPr="00186B90" w:rsidRDefault="00A3128D">
      <w:pPr>
        <w:rPr>
          <w:rFonts w:ascii="Arial" w:hAnsi="Arial" w:cs="Arial"/>
          <w:b/>
          <w:bCs/>
          <w:i/>
          <w:iCs/>
        </w:rPr>
      </w:pPr>
      <w:r w:rsidRPr="00186B90">
        <w:rPr>
          <w:rFonts w:ascii="Arial" w:hAnsi="Arial" w:cs="Arial"/>
          <w:b/>
          <w:bCs/>
          <w:i/>
          <w:iCs/>
        </w:rPr>
        <w:t>Índice de morosidad y nivel de capitalización</w:t>
      </w:r>
    </w:p>
    <w:p w14:paraId="16A4AA1E" w14:textId="236D2958" w:rsidR="00C030E6" w:rsidRDefault="00A375B1">
      <w:pPr>
        <w:rPr>
          <w:rFonts w:ascii="Arial" w:hAnsi="Arial" w:cs="Arial"/>
        </w:rPr>
      </w:pPr>
      <w:r w:rsidRPr="00A375B1">
        <w:rPr>
          <w:rFonts w:ascii="Arial" w:hAnsi="Arial" w:cs="Arial"/>
          <w:noProof/>
        </w:rPr>
        <w:drawing>
          <wp:inline distT="0" distB="0" distL="0" distR="0" wp14:anchorId="5C3C79D8" wp14:editId="58869E20">
            <wp:extent cx="5612130" cy="1127760"/>
            <wp:effectExtent l="0" t="0" r="7620" b="0"/>
            <wp:docPr id="7686856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8563" name="Imagen 1" descr="Gráfico&#10;&#10;El contenido generado por IA puede ser incorrecto."/>
                    <pic:cNvPicPr/>
                  </pic:nvPicPr>
                  <pic:blipFill>
                    <a:blip r:embed="rId10"/>
                    <a:stretch>
                      <a:fillRect/>
                    </a:stretch>
                  </pic:blipFill>
                  <pic:spPr>
                    <a:xfrm>
                      <a:off x="0" y="0"/>
                      <a:ext cx="5612130" cy="1127760"/>
                    </a:xfrm>
                    <a:prstGeom prst="rect">
                      <a:avLst/>
                    </a:prstGeom>
                  </pic:spPr>
                </pic:pic>
              </a:graphicData>
            </a:graphic>
          </wp:inline>
        </w:drawing>
      </w:r>
    </w:p>
    <w:p w14:paraId="7E9A2A1C" w14:textId="01678E60" w:rsidR="00955029" w:rsidRDefault="005A649C">
      <w:pPr>
        <w:rPr>
          <w:rFonts w:ascii="Arial" w:hAnsi="Arial" w:cs="Arial"/>
        </w:rPr>
      </w:pPr>
      <w:r>
        <w:rPr>
          <w:rFonts w:ascii="Arial" w:hAnsi="Arial" w:cs="Arial"/>
        </w:rPr>
        <w:t xml:space="preserve">Supongamos que tu negocio se trata de prestar dinero, </w:t>
      </w:r>
      <w:r w:rsidR="00664BA0">
        <w:rPr>
          <w:rFonts w:ascii="Arial" w:hAnsi="Arial" w:cs="Arial"/>
        </w:rPr>
        <w:t>¿Qué necesitas para hacer funcionar este negocio?, pu</w:t>
      </w:r>
      <w:r w:rsidR="00B4571C">
        <w:rPr>
          <w:rFonts w:ascii="Arial" w:hAnsi="Arial" w:cs="Arial"/>
        </w:rPr>
        <w:t>e</w:t>
      </w:r>
      <w:r w:rsidR="00664BA0">
        <w:rPr>
          <w:rFonts w:ascii="Arial" w:hAnsi="Arial" w:cs="Arial"/>
        </w:rPr>
        <w:t xml:space="preserve">s necesitas </w:t>
      </w:r>
      <w:r w:rsidR="00B4571C">
        <w:rPr>
          <w:rFonts w:ascii="Arial" w:hAnsi="Arial" w:cs="Arial"/>
        </w:rPr>
        <w:t>dinero para prestar, aquí es cuando es importante saber cuál es el nivel de capitalización de la empresa, y si mi negocio es prestar dinero</w:t>
      </w:r>
      <w:r w:rsidR="00AE692C">
        <w:rPr>
          <w:rFonts w:ascii="Arial" w:hAnsi="Arial" w:cs="Arial"/>
        </w:rPr>
        <w:t xml:space="preserve">, entonces necesito suficiente capital para poder prestarlo y </w:t>
      </w:r>
      <w:r w:rsidR="00DC245A">
        <w:rPr>
          <w:rFonts w:ascii="Arial" w:hAnsi="Arial" w:cs="Arial"/>
        </w:rPr>
        <w:t>reducir</w:t>
      </w:r>
      <w:r w:rsidR="00F46379">
        <w:rPr>
          <w:rFonts w:ascii="Arial" w:hAnsi="Arial" w:cs="Arial"/>
        </w:rPr>
        <w:t xml:space="preserve"> </w:t>
      </w:r>
      <w:r w:rsidR="007572F9">
        <w:rPr>
          <w:rFonts w:ascii="Arial" w:hAnsi="Arial" w:cs="Arial"/>
        </w:rPr>
        <w:t xml:space="preserve">mi </w:t>
      </w:r>
      <w:r w:rsidR="00F33190">
        <w:rPr>
          <w:rFonts w:ascii="Arial" w:hAnsi="Arial" w:cs="Arial"/>
        </w:rPr>
        <w:t>riesgo</w:t>
      </w:r>
      <w:r w:rsidR="007572F9">
        <w:rPr>
          <w:rFonts w:ascii="Arial" w:hAnsi="Arial" w:cs="Arial"/>
        </w:rPr>
        <w:t xml:space="preserve"> de quiebra</w:t>
      </w:r>
      <w:r w:rsidR="00B13851">
        <w:rPr>
          <w:rFonts w:ascii="Arial" w:hAnsi="Arial" w:cs="Arial"/>
        </w:rPr>
        <w:t xml:space="preserve">, y </w:t>
      </w:r>
      <w:r w:rsidR="003E18D1">
        <w:rPr>
          <w:rFonts w:ascii="Arial" w:hAnsi="Arial" w:cs="Arial"/>
        </w:rPr>
        <w:t>los expertos han</w:t>
      </w:r>
      <w:r w:rsidR="00DC245A">
        <w:rPr>
          <w:rFonts w:ascii="Arial" w:hAnsi="Arial" w:cs="Arial"/>
        </w:rPr>
        <w:t xml:space="preserve"> establecido</w:t>
      </w:r>
      <w:r w:rsidR="00B13851">
        <w:rPr>
          <w:rFonts w:ascii="Arial" w:hAnsi="Arial" w:cs="Arial"/>
        </w:rPr>
        <w:t xml:space="preserve"> que lo sano es tener un 133% </w:t>
      </w:r>
      <w:r w:rsidR="003E18D1">
        <w:rPr>
          <w:rFonts w:ascii="Arial" w:hAnsi="Arial" w:cs="Arial"/>
        </w:rPr>
        <w:t>de nivel de capitalización</w:t>
      </w:r>
      <w:r w:rsidR="002B0BB6">
        <w:rPr>
          <w:rFonts w:ascii="Arial" w:hAnsi="Arial" w:cs="Arial"/>
        </w:rPr>
        <w:t xml:space="preserve">. Otro aspecto importante es </w:t>
      </w:r>
      <w:r w:rsidR="00F33190">
        <w:rPr>
          <w:rFonts w:ascii="Arial" w:hAnsi="Arial" w:cs="Arial"/>
        </w:rPr>
        <w:t xml:space="preserve">que hay un porcentaje de cartera de clientes que no va a poder hacer frente a </w:t>
      </w:r>
      <w:r w:rsidR="00537DB3">
        <w:rPr>
          <w:rFonts w:ascii="Arial" w:hAnsi="Arial" w:cs="Arial"/>
        </w:rPr>
        <w:t>estas</w:t>
      </w:r>
      <w:r w:rsidR="00F33190">
        <w:rPr>
          <w:rFonts w:ascii="Arial" w:hAnsi="Arial" w:cs="Arial"/>
        </w:rPr>
        <w:t xml:space="preserve"> deudas, y ahí es donde entra el índice de morosidad,</w:t>
      </w:r>
      <w:r w:rsidR="005E6ABE">
        <w:rPr>
          <w:rFonts w:ascii="Arial" w:hAnsi="Arial" w:cs="Arial"/>
        </w:rPr>
        <w:t xml:space="preserve"> donde lo sano sería tener un índice de morosidad no mayor al 5% o que se mantenga en este rango. </w:t>
      </w:r>
    </w:p>
    <w:p w14:paraId="1E28E86B" w14:textId="32AE561C" w:rsidR="00186B90" w:rsidRDefault="00FF4856">
      <w:pPr>
        <w:rPr>
          <w:rFonts w:ascii="Arial" w:hAnsi="Arial" w:cs="Arial"/>
        </w:rPr>
      </w:pPr>
      <w:r>
        <w:rPr>
          <w:rFonts w:ascii="Arial" w:hAnsi="Arial" w:cs="Arial"/>
        </w:rPr>
        <w:t xml:space="preserve">Lo que sorprende de NU es que tiene aproximadamente un 41% del mercado </w:t>
      </w:r>
      <w:r w:rsidR="008F3D4F">
        <w:rPr>
          <w:rFonts w:ascii="Arial" w:hAnsi="Arial" w:cs="Arial"/>
        </w:rPr>
        <w:t>cubre casi dos veces el nivel de capitalización ideal</w:t>
      </w:r>
      <w:r w:rsidR="00DF50A1">
        <w:rPr>
          <w:rFonts w:ascii="Arial" w:hAnsi="Arial" w:cs="Arial"/>
        </w:rPr>
        <w:t xml:space="preserve"> (262.14%)</w:t>
      </w:r>
      <w:r w:rsidR="008F3D4F">
        <w:rPr>
          <w:rFonts w:ascii="Arial" w:hAnsi="Arial" w:cs="Arial"/>
        </w:rPr>
        <w:t xml:space="preserve"> y tiene un índice de morosidad relativamente estable</w:t>
      </w:r>
      <w:r w:rsidR="00DF50A1">
        <w:rPr>
          <w:rFonts w:ascii="Arial" w:hAnsi="Arial" w:cs="Arial"/>
        </w:rPr>
        <w:t xml:space="preserve"> (7.40%)</w:t>
      </w:r>
      <w:r w:rsidR="008F3D4F">
        <w:rPr>
          <w:rFonts w:ascii="Arial" w:hAnsi="Arial" w:cs="Arial"/>
        </w:rPr>
        <w:t>,</w:t>
      </w:r>
      <w:r w:rsidR="005823F6">
        <w:rPr>
          <w:rFonts w:ascii="Arial" w:hAnsi="Arial" w:cs="Arial"/>
        </w:rPr>
        <w:t xml:space="preserve"> y se concluye que tiene capital necesario para seguir expandiendo esta cartera y aguantar pérdidas si es el caso, </w:t>
      </w:r>
      <w:r w:rsidR="00DF6316">
        <w:rPr>
          <w:rFonts w:ascii="Arial" w:hAnsi="Arial" w:cs="Arial"/>
        </w:rPr>
        <w:t xml:space="preserve">aunque existe el riesgo que el índice de morosidad aumente. </w:t>
      </w:r>
    </w:p>
    <w:p w14:paraId="74F7453E" w14:textId="77777777" w:rsidR="00186B90" w:rsidRDefault="00186B90">
      <w:pPr>
        <w:rPr>
          <w:rFonts w:ascii="Arial" w:hAnsi="Arial" w:cs="Arial"/>
        </w:rPr>
      </w:pPr>
    </w:p>
    <w:p w14:paraId="0B1B60E7" w14:textId="2C4883DB" w:rsidR="00955029" w:rsidRDefault="00DD0D25">
      <w:pPr>
        <w:rPr>
          <w:rFonts w:ascii="Arial" w:hAnsi="Arial" w:cs="Arial"/>
          <w:b/>
          <w:bCs/>
          <w:i/>
          <w:iCs/>
        </w:rPr>
      </w:pPr>
      <w:r w:rsidRPr="00186B90">
        <w:rPr>
          <w:rFonts w:ascii="Arial" w:hAnsi="Arial" w:cs="Arial"/>
          <w:b/>
          <w:bCs/>
          <w:i/>
          <w:iCs/>
        </w:rPr>
        <w:t>Evolución d</w:t>
      </w:r>
      <w:r w:rsidR="00713DF7" w:rsidRPr="00186B90">
        <w:rPr>
          <w:rFonts w:ascii="Arial" w:hAnsi="Arial" w:cs="Arial"/>
          <w:b/>
          <w:bCs/>
          <w:i/>
          <w:iCs/>
        </w:rPr>
        <w:t>e los clientes</w:t>
      </w:r>
    </w:p>
    <w:p w14:paraId="1E8AB4CF" w14:textId="084B08CB" w:rsidR="00186B90" w:rsidRPr="00186B90" w:rsidRDefault="00A7508C">
      <w:pPr>
        <w:rPr>
          <w:rFonts w:ascii="Arial" w:hAnsi="Arial" w:cs="Arial"/>
        </w:rPr>
      </w:pPr>
      <w:r>
        <w:rPr>
          <w:rFonts w:ascii="Arial" w:hAnsi="Arial" w:cs="Arial"/>
        </w:rPr>
        <w:t>NU</w:t>
      </w:r>
      <w:r w:rsidR="00186B90">
        <w:rPr>
          <w:rFonts w:ascii="Arial" w:hAnsi="Arial" w:cs="Arial"/>
        </w:rPr>
        <w:t xml:space="preserve"> fue sin duda la ganadora indiscutible de 2024, no solo logro mantener números estables frente a otras SOFIPOS, sino que logró una </w:t>
      </w:r>
      <w:r w:rsidR="000338BE">
        <w:rPr>
          <w:rFonts w:ascii="Arial" w:hAnsi="Arial" w:cs="Arial"/>
        </w:rPr>
        <w:t>expansión de su cartera manteniendo unas finanzas sanas frente a otras SOFIPOS.</w:t>
      </w:r>
      <w:r w:rsidR="00F96B3B">
        <w:rPr>
          <w:rFonts w:ascii="Arial" w:hAnsi="Arial" w:cs="Arial"/>
        </w:rPr>
        <w:t xml:space="preserve"> Como podemos observar en la gráfica </w:t>
      </w:r>
      <w:r w:rsidR="00940A80">
        <w:rPr>
          <w:rFonts w:ascii="Arial" w:hAnsi="Arial" w:cs="Arial"/>
        </w:rPr>
        <w:t>NU</w:t>
      </w:r>
      <w:r w:rsidR="00F96B3B">
        <w:rPr>
          <w:rFonts w:ascii="Arial" w:hAnsi="Arial" w:cs="Arial"/>
        </w:rPr>
        <w:t xml:space="preserve"> logro sumar </w:t>
      </w:r>
      <w:r w:rsidR="00940A80">
        <w:rPr>
          <w:rFonts w:ascii="Arial" w:hAnsi="Arial" w:cs="Arial"/>
        </w:rPr>
        <w:t>unos casi 4 millones de usuarios nuevos, lo cual es algo</w:t>
      </w:r>
      <w:r w:rsidR="000106D8">
        <w:rPr>
          <w:rFonts w:ascii="Arial" w:hAnsi="Arial" w:cs="Arial"/>
        </w:rPr>
        <w:t xml:space="preserve"> </w:t>
      </w:r>
      <w:proofErr w:type="spellStart"/>
      <w:r w:rsidR="000106D8">
        <w:rPr>
          <w:rFonts w:ascii="Arial" w:hAnsi="Arial" w:cs="Arial"/>
        </w:rPr>
        <w:t>increible</w:t>
      </w:r>
      <w:proofErr w:type="spellEnd"/>
      <w:r w:rsidR="00940A80">
        <w:rPr>
          <w:rFonts w:ascii="Arial" w:hAnsi="Arial" w:cs="Arial"/>
        </w:rPr>
        <w:t xml:space="preserve">. </w:t>
      </w:r>
    </w:p>
    <w:p w14:paraId="156E72C4" w14:textId="53F9B542" w:rsidR="0029253C" w:rsidRDefault="00F517D7">
      <w:pPr>
        <w:rPr>
          <w:rFonts w:ascii="Arial" w:hAnsi="Arial" w:cs="Arial"/>
        </w:rPr>
      </w:pPr>
      <w:r w:rsidRPr="00F517D7">
        <w:rPr>
          <w:rFonts w:ascii="Arial" w:hAnsi="Arial" w:cs="Arial"/>
          <w:noProof/>
        </w:rPr>
        <w:lastRenderedPageBreak/>
        <w:drawing>
          <wp:inline distT="0" distB="0" distL="0" distR="0" wp14:anchorId="2DAB87A9" wp14:editId="3872AF74">
            <wp:extent cx="5612130" cy="1402715"/>
            <wp:effectExtent l="0" t="0" r="7620" b="6985"/>
            <wp:docPr id="1191042248"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42248" name="Imagen 1" descr="Gráfico, Gráfico en cascada&#10;&#10;El contenido generado por IA puede ser incorrecto."/>
                    <pic:cNvPicPr/>
                  </pic:nvPicPr>
                  <pic:blipFill>
                    <a:blip r:embed="rId11"/>
                    <a:stretch>
                      <a:fillRect/>
                    </a:stretch>
                  </pic:blipFill>
                  <pic:spPr>
                    <a:xfrm>
                      <a:off x="0" y="0"/>
                      <a:ext cx="5612130" cy="1402715"/>
                    </a:xfrm>
                    <a:prstGeom prst="rect">
                      <a:avLst/>
                    </a:prstGeom>
                  </pic:spPr>
                </pic:pic>
              </a:graphicData>
            </a:graphic>
          </wp:inline>
        </w:drawing>
      </w:r>
    </w:p>
    <w:p w14:paraId="0307AFF3" w14:textId="77777777" w:rsidR="00713DF7" w:rsidRDefault="00713DF7">
      <w:pPr>
        <w:rPr>
          <w:rFonts w:ascii="Arial" w:hAnsi="Arial" w:cs="Arial"/>
        </w:rPr>
      </w:pPr>
    </w:p>
    <w:p w14:paraId="4560581F" w14:textId="64359E1A" w:rsidR="003A5155" w:rsidRPr="00AC11D7" w:rsidRDefault="003A5155">
      <w:pPr>
        <w:rPr>
          <w:rFonts w:ascii="Arial" w:hAnsi="Arial" w:cs="Arial"/>
          <w:b/>
          <w:bCs/>
          <w:i/>
          <w:iCs/>
        </w:rPr>
      </w:pPr>
      <w:r w:rsidRPr="00AC11D7">
        <w:rPr>
          <w:rFonts w:ascii="Arial" w:hAnsi="Arial" w:cs="Arial"/>
          <w:b/>
          <w:bCs/>
          <w:i/>
          <w:iCs/>
        </w:rPr>
        <w:t>Tasas de captación y tasa de cartera implícita (NU vs. El mercado)</w:t>
      </w:r>
    </w:p>
    <w:p w14:paraId="4BE8341E" w14:textId="48C2CD70" w:rsidR="00F31471" w:rsidRDefault="000B0959">
      <w:pPr>
        <w:rPr>
          <w:rFonts w:ascii="Arial" w:hAnsi="Arial" w:cs="Arial"/>
        </w:rPr>
      </w:pPr>
      <w:r>
        <w:rPr>
          <w:rFonts w:ascii="Arial" w:hAnsi="Arial" w:cs="Arial"/>
        </w:rPr>
        <w:t>Ahora hablemos de la principal razón por la cual NU cautivo a muchos usuarios, que son las tasas que recibían por invertir en esta empresa,</w:t>
      </w:r>
      <w:r w:rsidR="001406E2">
        <w:rPr>
          <w:rFonts w:ascii="Arial" w:hAnsi="Arial" w:cs="Arial"/>
        </w:rPr>
        <w:t xml:space="preserve"> siendo mayor al promedio durante todo 2024, siendo que el sector pagó </w:t>
      </w:r>
      <w:r w:rsidR="00EC0812">
        <w:rPr>
          <w:rFonts w:ascii="Arial" w:hAnsi="Arial" w:cs="Arial"/>
        </w:rPr>
        <w:t xml:space="preserve">entre todos sus instrumentos de 8% al 9%, </w:t>
      </w:r>
      <w:r w:rsidR="0049294C">
        <w:rPr>
          <w:rFonts w:ascii="Arial" w:hAnsi="Arial" w:cs="Arial"/>
        </w:rPr>
        <w:t xml:space="preserve">mientras que NU varió del 13% al 15%. </w:t>
      </w:r>
      <w:r w:rsidR="00B6389A" w:rsidRPr="00EA696A">
        <w:rPr>
          <w:rFonts w:ascii="Arial" w:hAnsi="Arial" w:cs="Arial"/>
          <w:noProof/>
        </w:rPr>
        <w:drawing>
          <wp:inline distT="0" distB="0" distL="0" distR="0" wp14:anchorId="74501647" wp14:editId="3F73A4C5">
            <wp:extent cx="5055079" cy="1602102"/>
            <wp:effectExtent l="0" t="0" r="0" b="0"/>
            <wp:docPr id="137758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8955" name=""/>
                    <pic:cNvPicPr/>
                  </pic:nvPicPr>
                  <pic:blipFill>
                    <a:blip r:embed="rId12"/>
                    <a:stretch>
                      <a:fillRect/>
                    </a:stretch>
                  </pic:blipFill>
                  <pic:spPr>
                    <a:xfrm>
                      <a:off x="0" y="0"/>
                      <a:ext cx="5079757" cy="1609923"/>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765"/>
        <w:gridCol w:w="1765"/>
        <w:gridCol w:w="1766"/>
        <w:gridCol w:w="1766"/>
        <w:gridCol w:w="1766"/>
      </w:tblGrid>
      <w:tr w:rsidR="00880717" w14:paraId="60FEBF96" w14:textId="77777777">
        <w:tc>
          <w:tcPr>
            <w:tcW w:w="1765" w:type="dxa"/>
          </w:tcPr>
          <w:p w14:paraId="03BC8543" w14:textId="1E3D72BD" w:rsidR="00880717" w:rsidRPr="003900E5" w:rsidRDefault="00880717">
            <w:pPr>
              <w:rPr>
                <w:rFonts w:ascii="Arial" w:hAnsi="Arial" w:cs="Arial"/>
                <w:b/>
                <w:bCs/>
                <w:i/>
                <w:iCs/>
              </w:rPr>
            </w:pPr>
            <w:r w:rsidRPr="003900E5">
              <w:rPr>
                <w:rFonts w:ascii="Arial" w:hAnsi="Arial" w:cs="Arial"/>
                <w:b/>
                <w:bCs/>
                <w:i/>
                <w:iCs/>
              </w:rPr>
              <w:t>Trimestres</w:t>
            </w:r>
          </w:p>
        </w:tc>
        <w:tc>
          <w:tcPr>
            <w:tcW w:w="1765" w:type="dxa"/>
          </w:tcPr>
          <w:p w14:paraId="72510EE3" w14:textId="64BF9DFC" w:rsidR="00880717" w:rsidRPr="003900E5" w:rsidRDefault="00880717">
            <w:pPr>
              <w:rPr>
                <w:rFonts w:ascii="Arial" w:hAnsi="Arial" w:cs="Arial"/>
                <w:b/>
                <w:bCs/>
                <w:i/>
                <w:iCs/>
              </w:rPr>
            </w:pPr>
            <w:r w:rsidRPr="003900E5">
              <w:rPr>
                <w:rFonts w:ascii="Arial" w:hAnsi="Arial" w:cs="Arial"/>
                <w:b/>
                <w:bCs/>
                <w:i/>
                <w:iCs/>
              </w:rPr>
              <w:t>1° Trimestre</w:t>
            </w:r>
          </w:p>
        </w:tc>
        <w:tc>
          <w:tcPr>
            <w:tcW w:w="1766" w:type="dxa"/>
          </w:tcPr>
          <w:p w14:paraId="2AB51978" w14:textId="204D9062" w:rsidR="00880717" w:rsidRPr="003900E5" w:rsidRDefault="00880717">
            <w:pPr>
              <w:rPr>
                <w:rFonts w:ascii="Arial" w:hAnsi="Arial" w:cs="Arial"/>
                <w:b/>
                <w:bCs/>
                <w:i/>
                <w:iCs/>
              </w:rPr>
            </w:pPr>
            <w:r w:rsidRPr="003900E5">
              <w:rPr>
                <w:rFonts w:ascii="Arial" w:hAnsi="Arial" w:cs="Arial"/>
                <w:b/>
                <w:bCs/>
                <w:i/>
                <w:iCs/>
              </w:rPr>
              <w:t>2° Trimestre</w:t>
            </w:r>
          </w:p>
        </w:tc>
        <w:tc>
          <w:tcPr>
            <w:tcW w:w="1766" w:type="dxa"/>
          </w:tcPr>
          <w:p w14:paraId="009EE5F1" w14:textId="7E576261" w:rsidR="00880717" w:rsidRPr="003900E5" w:rsidRDefault="00880717">
            <w:pPr>
              <w:rPr>
                <w:rFonts w:ascii="Arial" w:hAnsi="Arial" w:cs="Arial"/>
                <w:b/>
                <w:bCs/>
                <w:i/>
                <w:iCs/>
              </w:rPr>
            </w:pPr>
            <w:r w:rsidRPr="003900E5">
              <w:rPr>
                <w:rFonts w:ascii="Arial" w:hAnsi="Arial" w:cs="Arial"/>
                <w:b/>
                <w:bCs/>
                <w:i/>
                <w:iCs/>
              </w:rPr>
              <w:t>3° Trimestre</w:t>
            </w:r>
          </w:p>
        </w:tc>
        <w:tc>
          <w:tcPr>
            <w:tcW w:w="1766" w:type="dxa"/>
          </w:tcPr>
          <w:p w14:paraId="6AE7FDC1" w14:textId="52FDDF8E" w:rsidR="00880717" w:rsidRPr="003900E5" w:rsidRDefault="00880717">
            <w:pPr>
              <w:rPr>
                <w:rFonts w:ascii="Arial" w:hAnsi="Arial" w:cs="Arial"/>
                <w:b/>
                <w:bCs/>
                <w:i/>
                <w:iCs/>
              </w:rPr>
            </w:pPr>
            <w:r w:rsidRPr="003900E5">
              <w:rPr>
                <w:rFonts w:ascii="Arial" w:hAnsi="Arial" w:cs="Arial"/>
                <w:b/>
                <w:bCs/>
                <w:i/>
                <w:iCs/>
              </w:rPr>
              <w:t>4° Trimestre</w:t>
            </w:r>
          </w:p>
        </w:tc>
      </w:tr>
      <w:tr w:rsidR="00880717" w14:paraId="67CECC9F" w14:textId="77777777">
        <w:tc>
          <w:tcPr>
            <w:tcW w:w="1765" w:type="dxa"/>
          </w:tcPr>
          <w:p w14:paraId="2808C738" w14:textId="50646CB3" w:rsidR="00880717" w:rsidRDefault="00720563">
            <w:pPr>
              <w:rPr>
                <w:rFonts w:ascii="Arial" w:hAnsi="Arial" w:cs="Arial"/>
              </w:rPr>
            </w:pPr>
            <w:r w:rsidRPr="005F1788">
              <w:rPr>
                <w:rFonts w:ascii="Arial" w:hAnsi="Arial" w:cs="Arial"/>
                <w:b/>
                <w:bCs/>
                <w:color w:val="0C3512" w:themeColor="accent3" w:themeShade="80"/>
              </w:rPr>
              <w:t>Sector</w:t>
            </w:r>
          </w:p>
        </w:tc>
        <w:tc>
          <w:tcPr>
            <w:tcW w:w="1765" w:type="dxa"/>
          </w:tcPr>
          <w:p w14:paraId="73CF6E21" w14:textId="3F88FB35" w:rsidR="00880717" w:rsidRDefault="00720563">
            <w:pPr>
              <w:rPr>
                <w:rFonts w:ascii="Arial" w:hAnsi="Arial" w:cs="Arial"/>
              </w:rPr>
            </w:pPr>
            <w:r>
              <w:rPr>
                <w:rFonts w:ascii="Arial" w:hAnsi="Arial" w:cs="Arial"/>
              </w:rPr>
              <w:t>8.78</w:t>
            </w:r>
            <w:r w:rsidR="003900E5">
              <w:rPr>
                <w:rFonts w:ascii="Arial" w:hAnsi="Arial" w:cs="Arial"/>
              </w:rPr>
              <w:t xml:space="preserve"> </w:t>
            </w:r>
            <w:r>
              <w:rPr>
                <w:rFonts w:ascii="Arial" w:hAnsi="Arial" w:cs="Arial"/>
              </w:rPr>
              <w:t>%</w:t>
            </w:r>
          </w:p>
        </w:tc>
        <w:tc>
          <w:tcPr>
            <w:tcW w:w="1766" w:type="dxa"/>
          </w:tcPr>
          <w:p w14:paraId="77C0F06E" w14:textId="4B204496" w:rsidR="00880717" w:rsidRDefault="003900E5">
            <w:pPr>
              <w:rPr>
                <w:rFonts w:ascii="Arial" w:hAnsi="Arial" w:cs="Arial"/>
              </w:rPr>
            </w:pPr>
            <w:r>
              <w:rPr>
                <w:rFonts w:ascii="Arial" w:hAnsi="Arial" w:cs="Arial"/>
              </w:rPr>
              <w:t>9.02 %</w:t>
            </w:r>
          </w:p>
        </w:tc>
        <w:tc>
          <w:tcPr>
            <w:tcW w:w="1766" w:type="dxa"/>
          </w:tcPr>
          <w:p w14:paraId="3FD4A352" w14:textId="0519F48D" w:rsidR="00880717" w:rsidRDefault="003900E5">
            <w:pPr>
              <w:rPr>
                <w:rFonts w:ascii="Arial" w:hAnsi="Arial" w:cs="Arial"/>
              </w:rPr>
            </w:pPr>
            <w:r>
              <w:rPr>
                <w:rFonts w:ascii="Arial" w:hAnsi="Arial" w:cs="Arial"/>
              </w:rPr>
              <w:t>8.92 %</w:t>
            </w:r>
          </w:p>
        </w:tc>
        <w:tc>
          <w:tcPr>
            <w:tcW w:w="1766" w:type="dxa"/>
          </w:tcPr>
          <w:p w14:paraId="5B8A6844" w14:textId="08CAAF11" w:rsidR="00880717" w:rsidRDefault="003900E5">
            <w:pPr>
              <w:rPr>
                <w:rFonts w:ascii="Arial" w:hAnsi="Arial" w:cs="Arial"/>
              </w:rPr>
            </w:pPr>
            <w:r>
              <w:rPr>
                <w:rFonts w:ascii="Arial" w:hAnsi="Arial" w:cs="Arial"/>
              </w:rPr>
              <w:t>8.10 %</w:t>
            </w:r>
          </w:p>
        </w:tc>
      </w:tr>
      <w:tr w:rsidR="00880717" w14:paraId="04E63B9F" w14:textId="77777777">
        <w:tc>
          <w:tcPr>
            <w:tcW w:w="1765" w:type="dxa"/>
          </w:tcPr>
          <w:p w14:paraId="038CDA64" w14:textId="11CBB342" w:rsidR="00880717" w:rsidRPr="005F1788" w:rsidRDefault="00720563">
            <w:pPr>
              <w:rPr>
                <w:rFonts w:ascii="Arial" w:hAnsi="Arial" w:cs="Arial"/>
                <w:b/>
                <w:bCs/>
              </w:rPr>
            </w:pPr>
            <w:r w:rsidRPr="005F1788">
              <w:rPr>
                <w:rFonts w:ascii="Arial" w:hAnsi="Arial" w:cs="Arial"/>
                <w:b/>
                <w:bCs/>
                <w:color w:val="4EA72E" w:themeColor="accent6"/>
              </w:rPr>
              <w:t>SOFIPO</w:t>
            </w:r>
          </w:p>
        </w:tc>
        <w:tc>
          <w:tcPr>
            <w:tcW w:w="1765" w:type="dxa"/>
          </w:tcPr>
          <w:p w14:paraId="4DA2CDA6" w14:textId="2FF405A3" w:rsidR="00880717" w:rsidRDefault="00720563">
            <w:pPr>
              <w:rPr>
                <w:rFonts w:ascii="Arial" w:hAnsi="Arial" w:cs="Arial"/>
              </w:rPr>
            </w:pPr>
            <w:r>
              <w:rPr>
                <w:rFonts w:ascii="Arial" w:hAnsi="Arial" w:cs="Arial"/>
              </w:rPr>
              <w:t>15.06</w:t>
            </w:r>
            <w:r w:rsidR="003900E5">
              <w:rPr>
                <w:rFonts w:ascii="Arial" w:hAnsi="Arial" w:cs="Arial"/>
              </w:rPr>
              <w:t xml:space="preserve"> </w:t>
            </w:r>
            <w:r>
              <w:rPr>
                <w:rFonts w:ascii="Arial" w:hAnsi="Arial" w:cs="Arial"/>
              </w:rPr>
              <w:t>%</w:t>
            </w:r>
          </w:p>
        </w:tc>
        <w:tc>
          <w:tcPr>
            <w:tcW w:w="1766" w:type="dxa"/>
          </w:tcPr>
          <w:p w14:paraId="79B8304B" w14:textId="0B90BFF1" w:rsidR="00880717" w:rsidRDefault="003900E5">
            <w:pPr>
              <w:rPr>
                <w:rFonts w:ascii="Arial" w:hAnsi="Arial" w:cs="Arial"/>
              </w:rPr>
            </w:pPr>
            <w:r>
              <w:rPr>
                <w:rFonts w:ascii="Arial" w:hAnsi="Arial" w:cs="Arial"/>
              </w:rPr>
              <w:t>14.76 %</w:t>
            </w:r>
          </w:p>
        </w:tc>
        <w:tc>
          <w:tcPr>
            <w:tcW w:w="1766" w:type="dxa"/>
          </w:tcPr>
          <w:p w14:paraId="2A21A907" w14:textId="4FC785F6" w:rsidR="00880717" w:rsidRDefault="003900E5">
            <w:pPr>
              <w:rPr>
                <w:rFonts w:ascii="Arial" w:hAnsi="Arial" w:cs="Arial"/>
              </w:rPr>
            </w:pPr>
            <w:r>
              <w:rPr>
                <w:rFonts w:ascii="Arial" w:hAnsi="Arial" w:cs="Arial"/>
              </w:rPr>
              <w:t>14.52 %</w:t>
            </w:r>
          </w:p>
        </w:tc>
        <w:tc>
          <w:tcPr>
            <w:tcW w:w="1766" w:type="dxa"/>
          </w:tcPr>
          <w:p w14:paraId="685E4E14" w14:textId="346B05CF" w:rsidR="00880717" w:rsidRDefault="003900E5">
            <w:pPr>
              <w:rPr>
                <w:rFonts w:ascii="Arial" w:hAnsi="Arial" w:cs="Arial"/>
              </w:rPr>
            </w:pPr>
            <w:r>
              <w:rPr>
                <w:rFonts w:ascii="Arial" w:hAnsi="Arial" w:cs="Arial"/>
              </w:rPr>
              <w:t>13.42 %</w:t>
            </w:r>
          </w:p>
        </w:tc>
      </w:tr>
    </w:tbl>
    <w:p w14:paraId="7937CFDC" w14:textId="77777777" w:rsidR="00B6389A" w:rsidRDefault="00B6389A">
      <w:pPr>
        <w:rPr>
          <w:rFonts w:ascii="Arial" w:hAnsi="Arial" w:cs="Arial"/>
        </w:rPr>
      </w:pPr>
    </w:p>
    <w:p w14:paraId="74C14167" w14:textId="3A158A19" w:rsidR="00EA696A" w:rsidRDefault="00AC11A5">
      <w:pPr>
        <w:rPr>
          <w:rFonts w:ascii="Arial" w:hAnsi="Arial" w:cs="Arial"/>
        </w:rPr>
      </w:pPr>
      <w:r>
        <w:rPr>
          <w:rFonts w:ascii="Arial" w:hAnsi="Arial" w:cs="Arial"/>
        </w:rPr>
        <w:t xml:space="preserve">Una vez </w:t>
      </w:r>
      <w:r w:rsidR="001879CD">
        <w:rPr>
          <w:rFonts w:ascii="Arial" w:hAnsi="Arial" w:cs="Arial"/>
        </w:rPr>
        <w:t>logras captar dinero de los inversionistas, t</w:t>
      </w:r>
      <w:r w:rsidR="00627417">
        <w:rPr>
          <w:rFonts w:ascii="Arial" w:hAnsi="Arial" w:cs="Arial"/>
        </w:rPr>
        <w:t xml:space="preserve">oca prestar ese dinero, para así generar intereses a su vez que pagarle </w:t>
      </w:r>
      <w:r w:rsidR="001139C6">
        <w:rPr>
          <w:rFonts w:ascii="Arial" w:hAnsi="Arial" w:cs="Arial"/>
        </w:rPr>
        <w:t xml:space="preserve">lo que pactaste con </w:t>
      </w:r>
      <w:r w:rsidR="00B6389A">
        <w:rPr>
          <w:rFonts w:ascii="Arial" w:hAnsi="Arial" w:cs="Arial"/>
        </w:rPr>
        <w:t>tus ahorradores</w:t>
      </w:r>
      <w:r w:rsidR="001139C6">
        <w:rPr>
          <w:rFonts w:ascii="Arial" w:hAnsi="Arial" w:cs="Arial"/>
        </w:rPr>
        <w:t xml:space="preserve">, </w:t>
      </w:r>
      <w:r w:rsidR="004B6A02">
        <w:rPr>
          <w:rFonts w:ascii="Arial" w:hAnsi="Arial" w:cs="Arial"/>
        </w:rPr>
        <w:t xml:space="preserve"> y como se observa en el siguiente gráfico, NU en la mayoría del año cobró men</w:t>
      </w:r>
      <w:r w:rsidR="00C5129B">
        <w:rPr>
          <w:rFonts w:ascii="Arial" w:hAnsi="Arial" w:cs="Arial"/>
        </w:rPr>
        <w:t>os que el sector exceptuando el segundo trimestre.</w:t>
      </w:r>
    </w:p>
    <w:p w14:paraId="4671F831" w14:textId="77777777" w:rsidR="005A1BEE" w:rsidRDefault="005A1BEE">
      <w:pPr>
        <w:rPr>
          <w:rFonts w:ascii="Arial" w:hAnsi="Arial" w:cs="Arial"/>
        </w:rPr>
      </w:pPr>
    </w:p>
    <w:p w14:paraId="6E7FB14A" w14:textId="2BB8C62F" w:rsidR="005A1BEE" w:rsidRDefault="005F1788">
      <w:pPr>
        <w:rPr>
          <w:rFonts w:ascii="Arial" w:hAnsi="Arial" w:cs="Arial"/>
        </w:rPr>
      </w:pPr>
      <w:r w:rsidRPr="005F1788">
        <w:rPr>
          <w:rFonts w:ascii="Arial" w:hAnsi="Arial" w:cs="Arial"/>
          <w:noProof/>
        </w:rPr>
        <w:lastRenderedPageBreak/>
        <w:drawing>
          <wp:inline distT="0" distB="0" distL="0" distR="0" wp14:anchorId="6A97D250" wp14:editId="5D6C3937">
            <wp:extent cx="4782217" cy="1590897"/>
            <wp:effectExtent l="0" t="0" r="0" b="9525"/>
            <wp:docPr id="2099874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74226" name=""/>
                    <pic:cNvPicPr/>
                  </pic:nvPicPr>
                  <pic:blipFill>
                    <a:blip r:embed="rId13"/>
                    <a:stretch>
                      <a:fillRect/>
                    </a:stretch>
                  </pic:blipFill>
                  <pic:spPr>
                    <a:xfrm>
                      <a:off x="0" y="0"/>
                      <a:ext cx="4782217" cy="1590897"/>
                    </a:xfrm>
                    <a:prstGeom prst="rect">
                      <a:avLst/>
                    </a:prstGeom>
                  </pic:spPr>
                </pic:pic>
              </a:graphicData>
            </a:graphic>
          </wp:inline>
        </w:drawing>
      </w:r>
    </w:p>
    <w:tbl>
      <w:tblPr>
        <w:tblStyle w:val="Tablaconcuadrcula"/>
        <w:tblW w:w="8825" w:type="dxa"/>
        <w:tblLook w:val="04A0" w:firstRow="1" w:lastRow="0" w:firstColumn="1" w:lastColumn="0" w:noHBand="0" w:noVBand="1"/>
      </w:tblPr>
      <w:tblGrid>
        <w:gridCol w:w="1765"/>
        <w:gridCol w:w="1765"/>
        <w:gridCol w:w="1765"/>
        <w:gridCol w:w="1765"/>
        <w:gridCol w:w="1765"/>
      </w:tblGrid>
      <w:tr w:rsidR="00E5690E" w14:paraId="07E017BE" w14:textId="77777777" w:rsidTr="00E5690E">
        <w:tc>
          <w:tcPr>
            <w:tcW w:w="1765" w:type="dxa"/>
          </w:tcPr>
          <w:p w14:paraId="0B9EF94E" w14:textId="0349317E" w:rsidR="00E5690E" w:rsidRDefault="00E5690E" w:rsidP="00826C73">
            <w:pPr>
              <w:rPr>
                <w:rFonts w:ascii="Arial" w:hAnsi="Arial" w:cs="Arial"/>
              </w:rPr>
            </w:pPr>
            <w:r w:rsidRPr="003900E5">
              <w:rPr>
                <w:rFonts w:ascii="Arial" w:hAnsi="Arial" w:cs="Arial"/>
                <w:b/>
                <w:bCs/>
                <w:i/>
                <w:iCs/>
              </w:rPr>
              <w:t>Trimestres</w:t>
            </w:r>
          </w:p>
        </w:tc>
        <w:tc>
          <w:tcPr>
            <w:tcW w:w="1765" w:type="dxa"/>
          </w:tcPr>
          <w:p w14:paraId="6CCEDAE8" w14:textId="29FC6F5D" w:rsidR="00E5690E" w:rsidRDefault="00E5690E" w:rsidP="00826C73">
            <w:pPr>
              <w:rPr>
                <w:rFonts w:ascii="Arial" w:hAnsi="Arial" w:cs="Arial"/>
              </w:rPr>
            </w:pPr>
            <w:r w:rsidRPr="003900E5">
              <w:rPr>
                <w:rFonts w:ascii="Arial" w:hAnsi="Arial" w:cs="Arial"/>
                <w:b/>
                <w:bCs/>
                <w:i/>
                <w:iCs/>
              </w:rPr>
              <w:t>1° Trimestre</w:t>
            </w:r>
          </w:p>
        </w:tc>
        <w:tc>
          <w:tcPr>
            <w:tcW w:w="1765" w:type="dxa"/>
          </w:tcPr>
          <w:p w14:paraId="56B0F19D" w14:textId="54490C4B" w:rsidR="00E5690E" w:rsidRDefault="00E5690E" w:rsidP="00826C73">
            <w:pPr>
              <w:rPr>
                <w:rFonts w:ascii="Arial" w:hAnsi="Arial" w:cs="Arial"/>
              </w:rPr>
            </w:pPr>
            <w:r w:rsidRPr="003900E5">
              <w:rPr>
                <w:rFonts w:ascii="Arial" w:hAnsi="Arial" w:cs="Arial"/>
                <w:b/>
                <w:bCs/>
                <w:i/>
                <w:iCs/>
              </w:rPr>
              <w:t>2° Trimestre</w:t>
            </w:r>
          </w:p>
        </w:tc>
        <w:tc>
          <w:tcPr>
            <w:tcW w:w="1765" w:type="dxa"/>
          </w:tcPr>
          <w:p w14:paraId="5D31ED46" w14:textId="11696AFF" w:rsidR="00E5690E" w:rsidRDefault="00E5690E" w:rsidP="00826C73">
            <w:pPr>
              <w:rPr>
                <w:rFonts w:ascii="Arial" w:hAnsi="Arial" w:cs="Arial"/>
              </w:rPr>
            </w:pPr>
            <w:r w:rsidRPr="003900E5">
              <w:rPr>
                <w:rFonts w:ascii="Arial" w:hAnsi="Arial" w:cs="Arial"/>
                <w:b/>
                <w:bCs/>
                <w:i/>
                <w:iCs/>
              </w:rPr>
              <w:t>3° Trimestre</w:t>
            </w:r>
          </w:p>
        </w:tc>
        <w:tc>
          <w:tcPr>
            <w:tcW w:w="1765" w:type="dxa"/>
          </w:tcPr>
          <w:p w14:paraId="5F687D14" w14:textId="143A72A2" w:rsidR="00E5690E" w:rsidRDefault="00E5690E" w:rsidP="00826C73">
            <w:pPr>
              <w:rPr>
                <w:rFonts w:ascii="Arial" w:hAnsi="Arial" w:cs="Arial"/>
              </w:rPr>
            </w:pPr>
            <w:r w:rsidRPr="003900E5">
              <w:rPr>
                <w:rFonts w:ascii="Arial" w:hAnsi="Arial" w:cs="Arial"/>
                <w:b/>
                <w:bCs/>
                <w:i/>
                <w:iCs/>
              </w:rPr>
              <w:t>4° Trimestre</w:t>
            </w:r>
          </w:p>
        </w:tc>
      </w:tr>
      <w:tr w:rsidR="00E5690E" w14:paraId="24C1552F" w14:textId="77777777" w:rsidTr="00E5690E">
        <w:tc>
          <w:tcPr>
            <w:tcW w:w="1765" w:type="dxa"/>
          </w:tcPr>
          <w:p w14:paraId="1A539621" w14:textId="214C7AF5" w:rsidR="00E5690E" w:rsidRPr="005F1788" w:rsidRDefault="00E5690E" w:rsidP="00826C73">
            <w:pPr>
              <w:rPr>
                <w:rFonts w:ascii="Arial" w:hAnsi="Arial" w:cs="Arial"/>
                <w:b/>
                <w:bCs/>
              </w:rPr>
            </w:pPr>
            <w:r w:rsidRPr="005F1788">
              <w:rPr>
                <w:rFonts w:ascii="Arial" w:hAnsi="Arial" w:cs="Arial"/>
                <w:b/>
                <w:bCs/>
                <w:color w:val="0C3512" w:themeColor="accent3" w:themeShade="80"/>
              </w:rPr>
              <w:t>Sector</w:t>
            </w:r>
          </w:p>
        </w:tc>
        <w:tc>
          <w:tcPr>
            <w:tcW w:w="1765" w:type="dxa"/>
          </w:tcPr>
          <w:p w14:paraId="13B341E3" w14:textId="46080DF2" w:rsidR="00E5690E" w:rsidRDefault="00E5690E" w:rsidP="00826C73">
            <w:pPr>
              <w:rPr>
                <w:rFonts w:ascii="Arial" w:hAnsi="Arial" w:cs="Arial"/>
              </w:rPr>
            </w:pPr>
            <w:r>
              <w:rPr>
                <w:rFonts w:ascii="Arial" w:hAnsi="Arial" w:cs="Arial"/>
              </w:rPr>
              <w:t>42.66</w:t>
            </w:r>
            <w:r w:rsidR="00495079">
              <w:rPr>
                <w:rFonts w:ascii="Arial" w:hAnsi="Arial" w:cs="Arial"/>
              </w:rPr>
              <w:t xml:space="preserve"> %</w:t>
            </w:r>
          </w:p>
        </w:tc>
        <w:tc>
          <w:tcPr>
            <w:tcW w:w="1765" w:type="dxa"/>
          </w:tcPr>
          <w:p w14:paraId="5EF36965" w14:textId="06117888" w:rsidR="00E5690E" w:rsidRDefault="00495079" w:rsidP="00826C73">
            <w:pPr>
              <w:rPr>
                <w:rFonts w:ascii="Arial" w:hAnsi="Arial" w:cs="Arial"/>
              </w:rPr>
            </w:pPr>
            <w:r>
              <w:rPr>
                <w:rFonts w:ascii="Arial" w:hAnsi="Arial" w:cs="Arial"/>
              </w:rPr>
              <w:t>40.04 %</w:t>
            </w:r>
          </w:p>
        </w:tc>
        <w:tc>
          <w:tcPr>
            <w:tcW w:w="1765" w:type="dxa"/>
          </w:tcPr>
          <w:p w14:paraId="3B1F2FEB" w14:textId="0E9A8DAF" w:rsidR="00E5690E" w:rsidRDefault="00495079" w:rsidP="00826C73">
            <w:pPr>
              <w:rPr>
                <w:rFonts w:ascii="Arial" w:hAnsi="Arial" w:cs="Arial"/>
              </w:rPr>
            </w:pPr>
            <w:r>
              <w:rPr>
                <w:rFonts w:ascii="Arial" w:hAnsi="Arial" w:cs="Arial"/>
              </w:rPr>
              <w:t>47.66 %</w:t>
            </w:r>
          </w:p>
        </w:tc>
        <w:tc>
          <w:tcPr>
            <w:tcW w:w="1765" w:type="dxa"/>
          </w:tcPr>
          <w:p w14:paraId="367E1740" w14:textId="2F285098" w:rsidR="00E5690E" w:rsidRDefault="00495079" w:rsidP="00826C73">
            <w:pPr>
              <w:rPr>
                <w:rFonts w:ascii="Arial" w:hAnsi="Arial" w:cs="Arial"/>
              </w:rPr>
            </w:pPr>
            <w:r>
              <w:rPr>
                <w:rFonts w:ascii="Arial" w:hAnsi="Arial" w:cs="Arial"/>
              </w:rPr>
              <w:t>42.47 %</w:t>
            </w:r>
          </w:p>
        </w:tc>
      </w:tr>
      <w:tr w:rsidR="00E5690E" w14:paraId="0C2586FE" w14:textId="77777777" w:rsidTr="00E5690E">
        <w:tc>
          <w:tcPr>
            <w:tcW w:w="1765" w:type="dxa"/>
          </w:tcPr>
          <w:p w14:paraId="14F00DF3" w14:textId="38833442" w:rsidR="00E5690E" w:rsidRPr="005F1788" w:rsidRDefault="00E5690E" w:rsidP="00826C73">
            <w:pPr>
              <w:rPr>
                <w:rFonts w:ascii="Arial" w:hAnsi="Arial" w:cs="Arial"/>
                <w:b/>
                <w:bCs/>
              </w:rPr>
            </w:pPr>
            <w:r w:rsidRPr="005F1788">
              <w:rPr>
                <w:rFonts w:ascii="Arial" w:hAnsi="Arial" w:cs="Arial"/>
                <w:b/>
                <w:bCs/>
                <w:color w:val="4EA72E" w:themeColor="accent6"/>
              </w:rPr>
              <w:t>SOFIPO</w:t>
            </w:r>
          </w:p>
        </w:tc>
        <w:tc>
          <w:tcPr>
            <w:tcW w:w="1765" w:type="dxa"/>
          </w:tcPr>
          <w:p w14:paraId="5853EC2E" w14:textId="5AE1334E" w:rsidR="00E5690E" w:rsidRDefault="00495079" w:rsidP="00826C73">
            <w:pPr>
              <w:rPr>
                <w:rFonts w:ascii="Arial" w:hAnsi="Arial" w:cs="Arial"/>
              </w:rPr>
            </w:pPr>
            <w:r>
              <w:rPr>
                <w:rFonts w:ascii="Arial" w:hAnsi="Arial" w:cs="Arial"/>
              </w:rPr>
              <w:t>37.27 %</w:t>
            </w:r>
          </w:p>
        </w:tc>
        <w:tc>
          <w:tcPr>
            <w:tcW w:w="1765" w:type="dxa"/>
          </w:tcPr>
          <w:p w14:paraId="269896CD" w14:textId="135FCA69" w:rsidR="00E5690E" w:rsidRDefault="00495079" w:rsidP="00826C73">
            <w:pPr>
              <w:rPr>
                <w:rFonts w:ascii="Arial" w:hAnsi="Arial" w:cs="Arial"/>
              </w:rPr>
            </w:pPr>
            <w:r>
              <w:rPr>
                <w:rFonts w:ascii="Arial" w:hAnsi="Arial" w:cs="Arial"/>
              </w:rPr>
              <w:t>42.03 %</w:t>
            </w:r>
          </w:p>
        </w:tc>
        <w:tc>
          <w:tcPr>
            <w:tcW w:w="1765" w:type="dxa"/>
          </w:tcPr>
          <w:p w14:paraId="46DDF423" w14:textId="674D7453" w:rsidR="00E5690E" w:rsidRDefault="00495079" w:rsidP="00826C73">
            <w:pPr>
              <w:rPr>
                <w:rFonts w:ascii="Arial" w:hAnsi="Arial" w:cs="Arial"/>
              </w:rPr>
            </w:pPr>
            <w:r>
              <w:rPr>
                <w:rFonts w:ascii="Arial" w:hAnsi="Arial" w:cs="Arial"/>
              </w:rPr>
              <w:t>39.67 %</w:t>
            </w:r>
          </w:p>
        </w:tc>
        <w:tc>
          <w:tcPr>
            <w:tcW w:w="1765" w:type="dxa"/>
          </w:tcPr>
          <w:p w14:paraId="4BEBCF5C" w14:textId="79D034E6" w:rsidR="00E5690E" w:rsidRDefault="00495079" w:rsidP="00826C73">
            <w:pPr>
              <w:rPr>
                <w:rFonts w:ascii="Arial" w:hAnsi="Arial" w:cs="Arial"/>
              </w:rPr>
            </w:pPr>
            <w:r>
              <w:rPr>
                <w:rFonts w:ascii="Arial" w:hAnsi="Arial" w:cs="Arial"/>
              </w:rPr>
              <w:t>41.22 %</w:t>
            </w:r>
          </w:p>
        </w:tc>
      </w:tr>
    </w:tbl>
    <w:p w14:paraId="5BB00F54" w14:textId="77777777" w:rsidR="00826C73" w:rsidRDefault="00826C73">
      <w:pPr>
        <w:rPr>
          <w:rFonts w:ascii="Arial" w:hAnsi="Arial" w:cs="Arial"/>
        </w:rPr>
      </w:pPr>
    </w:p>
    <w:p w14:paraId="537A3E08" w14:textId="4DF67876" w:rsidR="00E5690E" w:rsidRDefault="00495079">
      <w:pPr>
        <w:rPr>
          <w:rFonts w:ascii="Arial" w:hAnsi="Arial" w:cs="Arial"/>
        </w:rPr>
      </w:pPr>
      <w:r>
        <w:rPr>
          <w:rFonts w:ascii="Arial" w:hAnsi="Arial" w:cs="Arial"/>
        </w:rPr>
        <w:t>Y finalmente existe el spread, que es la diferencia entre estos dos conceptos</w:t>
      </w:r>
      <w:r w:rsidR="00A1491B">
        <w:rPr>
          <w:rFonts w:ascii="Arial" w:hAnsi="Arial" w:cs="Arial"/>
        </w:rPr>
        <w:t>,  donde una diferencia de</w:t>
      </w:r>
      <w:r w:rsidR="00D21963">
        <w:rPr>
          <w:rFonts w:ascii="Arial" w:hAnsi="Arial" w:cs="Arial"/>
        </w:rPr>
        <w:t xml:space="preserve"> 20% se considera una diferencia sana, cosa que NU logro durante todo 2024.</w:t>
      </w:r>
    </w:p>
    <w:p w14:paraId="50D2C625" w14:textId="77777777" w:rsidR="003900E5" w:rsidRDefault="003900E5">
      <w:pPr>
        <w:rPr>
          <w:rFonts w:ascii="Arial" w:hAnsi="Arial" w:cs="Arial"/>
        </w:rPr>
      </w:pPr>
    </w:p>
    <w:p w14:paraId="7E2502C6" w14:textId="34EBA423" w:rsidR="00AD094A" w:rsidRPr="008662FF" w:rsidRDefault="00F26596">
      <w:pPr>
        <w:rPr>
          <w:rFonts w:ascii="Arial" w:hAnsi="Arial" w:cs="Arial"/>
          <w:b/>
          <w:bCs/>
          <w:i/>
          <w:iCs/>
        </w:rPr>
      </w:pPr>
      <w:r>
        <w:rPr>
          <w:rFonts w:ascii="Arial" w:hAnsi="Arial" w:cs="Arial"/>
          <w:b/>
          <w:bCs/>
          <w:i/>
          <w:iCs/>
        </w:rPr>
        <w:t>La actualidad de NU</w:t>
      </w:r>
    </w:p>
    <w:p w14:paraId="297734CE" w14:textId="2321D3DF" w:rsidR="00D44C90" w:rsidRDefault="00114EEF">
      <w:pPr>
        <w:rPr>
          <w:rFonts w:ascii="Arial" w:hAnsi="Arial" w:cs="Arial"/>
        </w:rPr>
      </w:pPr>
      <w:proofErr w:type="spellStart"/>
      <w:r>
        <w:rPr>
          <w:rFonts w:ascii="Arial" w:hAnsi="Arial" w:cs="Arial"/>
        </w:rPr>
        <w:t>Nu</w:t>
      </w:r>
      <w:proofErr w:type="spellEnd"/>
      <w:r>
        <w:rPr>
          <w:rFonts w:ascii="Arial" w:hAnsi="Arial" w:cs="Arial"/>
        </w:rPr>
        <w:t xml:space="preserve"> en 2025 ha sorprendido </w:t>
      </w:r>
      <w:r w:rsidR="00EE60FE">
        <w:rPr>
          <w:rFonts w:ascii="Arial" w:hAnsi="Arial" w:cs="Arial"/>
        </w:rPr>
        <w:t>a</w:t>
      </w:r>
      <w:r w:rsidR="00420FFE">
        <w:rPr>
          <w:rFonts w:ascii="Arial" w:hAnsi="Arial" w:cs="Arial"/>
        </w:rPr>
        <w:t xml:space="preserve"> México</w:t>
      </w:r>
      <w:r>
        <w:rPr>
          <w:rFonts w:ascii="Arial" w:hAnsi="Arial" w:cs="Arial"/>
        </w:rPr>
        <w:t xml:space="preserve"> con </w:t>
      </w:r>
      <w:r w:rsidR="00DE1424">
        <w:rPr>
          <w:rFonts w:ascii="Arial" w:hAnsi="Arial" w:cs="Arial"/>
        </w:rPr>
        <w:t>varias noticias,</w:t>
      </w:r>
      <w:r w:rsidR="00EE60FE">
        <w:rPr>
          <w:rFonts w:ascii="Arial" w:hAnsi="Arial" w:cs="Arial"/>
        </w:rPr>
        <w:t xml:space="preserve"> y es mediante un análisis cuantitativo que </w:t>
      </w:r>
      <w:r w:rsidR="001B1430">
        <w:rPr>
          <w:rFonts w:ascii="Arial" w:hAnsi="Arial" w:cs="Arial"/>
        </w:rPr>
        <w:t>se reflejan las decisiones que ha tomado.</w:t>
      </w:r>
      <w:r w:rsidR="001057AC">
        <w:rPr>
          <w:rFonts w:ascii="Arial" w:hAnsi="Arial" w:cs="Arial"/>
        </w:rPr>
        <w:t xml:space="preserve"> </w:t>
      </w:r>
    </w:p>
    <w:p w14:paraId="5D1A15EB" w14:textId="5099541F" w:rsidR="001057AC" w:rsidRDefault="00700F69">
      <w:pPr>
        <w:rPr>
          <w:rFonts w:ascii="Arial" w:hAnsi="Arial" w:cs="Arial"/>
        </w:rPr>
      </w:pPr>
      <w:r>
        <w:rPr>
          <w:rFonts w:ascii="Arial" w:hAnsi="Arial" w:cs="Arial"/>
        </w:rPr>
        <w:t>La gran noticia que sacudió a muchos inversores</w:t>
      </w:r>
      <w:r w:rsidR="000F303A">
        <w:rPr>
          <w:rFonts w:ascii="Arial" w:hAnsi="Arial" w:cs="Arial"/>
        </w:rPr>
        <w:t xml:space="preserve"> es que a partir del 10 julio de 2025, NU bajará las tasas de sus famosas “Cajitas” que han sido el principal atractivo para muchos inversores mexicanos</w:t>
      </w:r>
      <w:r w:rsidR="005A32D3">
        <w:rPr>
          <w:rFonts w:ascii="Arial" w:hAnsi="Arial" w:cs="Arial"/>
        </w:rPr>
        <w:t xml:space="preserve">, esto tiene sentido ya que actualmente </w:t>
      </w:r>
      <w:r w:rsidR="000764E5">
        <w:rPr>
          <w:rFonts w:ascii="Arial" w:hAnsi="Arial" w:cs="Arial"/>
        </w:rPr>
        <w:t xml:space="preserve">lo números demuestran que no tienen mucho sentido </w:t>
      </w:r>
      <w:r w:rsidR="00FC1BF2">
        <w:rPr>
          <w:rFonts w:ascii="Arial" w:hAnsi="Arial" w:cs="Arial"/>
        </w:rPr>
        <w:t>seguir expandiéndose porque en promedio tuvieron el</w:t>
      </w:r>
      <w:r w:rsidR="009D2178">
        <w:rPr>
          <w:rFonts w:ascii="Arial" w:hAnsi="Arial" w:cs="Arial"/>
        </w:rPr>
        <w:t xml:space="preserve"> 41% del mercado</w:t>
      </w:r>
      <w:r w:rsidR="00D43DC9">
        <w:rPr>
          <w:rFonts w:ascii="Arial" w:hAnsi="Arial" w:cs="Arial"/>
        </w:rPr>
        <w:t xml:space="preserve"> en todos los trimestres de 2024</w:t>
      </w:r>
      <w:r w:rsidR="009D2178">
        <w:rPr>
          <w:rFonts w:ascii="Arial" w:hAnsi="Arial" w:cs="Arial"/>
        </w:rPr>
        <w:t xml:space="preserve">, </w:t>
      </w:r>
      <w:r w:rsidR="00BD7ECB">
        <w:rPr>
          <w:rFonts w:ascii="Arial" w:hAnsi="Arial" w:cs="Arial"/>
        </w:rPr>
        <w:t xml:space="preserve">entonces lo que buscan es consolidarse en </w:t>
      </w:r>
      <w:r w:rsidR="0015549C">
        <w:rPr>
          <w:rFonts w:ascii="Arial" w:hAnsi="Arial" w:cs="Arial"/>
        </w:rPr>
        <w:t>el mercado mexicano</w:t>
      </w:r>
      <w:r w:rsidR="00FC1BF2">
        <w:rPr>
          <w:rFonts w:ascii="Arial" w:hAnsi="Arial" w:cs="Arial"/>
        </w:rPr>
        <w:t xml:space="preserve">, </w:t>
      </w:r>
      <w:r w:rsidR="00957E27">
        <w:rPr>
          <w:rFonts w:ascii="Arial" w:hAnsi="Arial" w:cs="Arial"/>
        </w:rPr>
        <w:t>y por eso buscan</w:t>
      </w:r>
      <w:r w:rsidR="00471B55">
        <w:rPr>
          <w:rFonts w:ascii="Arial" w:hAnsi="Arial" w:cs="Arial"/>
        </w:rPr>
        <w:t xml:space="preserve"> obtener su licencia de banco,</w:t>
      </w:r>
      <w:r w:rsidR="00932620">
        <w:rPr>
          <w:rFonts w:ascii="Arial" w:hAnsi="Arial" w:cs="Arial"/>
        </w:rPr>
        <w:t xml:space="preserve"> que permitiría a sus usuarios recibir nóminas,</w:t>
      </w:r>
      <w:r w:rsidR="00471B55">
        <w:rPr>
          <w:rFonts w:ascii="Arial" w:hAnsi="Arial" w:cs="Arial"/>
        </w:rPr>
        <w:t xml:space="preserve"> haciendo que sus clientes dejen de estar interesado</w:t>
      </w:r>
      <w:r w:rsidR="008662FF">
        <w:rPr>
          <w:rFonts w:ascii="Arial" w:hAnsi="Arial" w:cs="Arial"/>
        </w:rPr>
        <w:t>s</w:t>
      </w:r>
      <w:r w:rsidR="00471B55">
        <w:rPr>
          <w:rFonts w:ascii="Arial" w:hAnsi="Arial" w:cs="Arial"/>
        </w:rPr>
        <w:t xml:space="preserve"> solo en sus “cajitas”</w:t>
      </w:r>
      <w:r w:rsidR="008662FF">
        <w:rPr>
          <w:rFonts w:ascii="Arial" w:hAnsi="Arial" w:cs="Arial"/>
        </w:rPr>
        <w:t xml:space="preserve"> y pasen a ser clientes </w:t>
      </w:r>
      <w:r w:rsidR="00D9797A">
        <w:rPr>
          <w:rFonts w:ascii="Arial" w:hAnsi="Arial" w:cs="Arial"/>
        </w:rPr>
        <w:t>UN, transformando todos esos clientes nuevos en clientes regulares</w:t>
      </w:r>
      <w:r w:rsidR="0015549C">
        <w:rPr>
          <w:rFonts w:ascii="Arial" w:hAnsi="Arial" w:cs="Arial"/>
        </w:rPr>
        <w:t xml:space="preserve">. </w:t>
      </w:r>
    </w:p>
    <w:p w14:paraId="4BCFEF9F" w14:textId="66F85346" w:rsidR="00E94177" w:rsidRPr="00067D0E" w:rsidRDefault="00E94177">
      <w:pPr>
        <w:rPr>
          <w:rFonts w:ascii="Arial" w:hAnsi="Arial" w:cs="Arial"/>
        </w:rPr>
      </w:pPr>
      <w:r>
        <w:rPr>
          <w:rFonts w:ascii="Arial" w:hAnsi="Arial" w:cs="Arial"/>
        </w:rPr>
        <w:t xml:space="preserve">Esto refleja como el análisis </w:t>
      </w:r>
      <w:r w:rsidR="000A64FE">
        <w:rPr>
          <w:rFonts w:ascii="Arial" w:hAnsi="Arial" w:cs="Arial"/>
        </w:rPr>
        <w:t xml:space="preserve">cuantitativo de las instituciones de crédito </w:t>
      </w:r>
      <w:r w:rsidR="0010776C">
        <w:rPr>
          <w:rFonts w:ascii="Arial" w:hAnsi="Arial" w:cs="Arial"/>
        </w:rPr>
        <w:t xml:space="preserve">refleja las políticas que están tomando en la </w:t>
      </w:r>
      <w:r w:rsidR="000C3250">
        <w:rPr>
          <w:rFonts w:ascii="Arial" w:hAnsi="Arial" w:cs="Arial"/>
        </w:rPr>
        <w:t>actualidad, es gracias a un análisis financiero</w:t>
      </w:r>
      <w:r w:rsidR="000C58F7">
        <w:rPr>
          <w:rFonts w:ascii="Arial" w:hAnsi="Arial" w:cs="Arial"/>
        </w:rPr>
        <w:t xml:space="preserve"> que sabemos la situación pasada, actual, y futura de </w:t>
      </w:r>
      <w:r w:rsidR="00515A60">
        <w:rPr>
          <w:rFonts w:ascii="Arial" w:hAnsi="Arial" w:cs="Arial"/>
        </w:rPr>
        <w:t>cualquier institución</w:t>
      </w:r>
      <w:r w:rsidR="000C58F7">
        <w:rPr>
          <w:rFonts w:ascii="Arial" w:hAnsi="Arial" w:cs="Arial"/>
        </w:rPr>
        <w:t>.</w:t>
      </w:r>
    </w:p>
    <w:sectPr w:rsidR="00E94177" w:rsidRPr="00067D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25A35"/>
    <w:multiLevelType w:val="multilevel"/>
    <w:tmpl w:val="C882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874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717"/>
    <w:rsid w:val="0000029C"/>
    <w:rsid w:val="000106D8"/>
    <w:rsid w:val="000126DF"/>
    <w:rsid w:val="00031F0E"/>
    <w:rsid w:val="000338BE"/>
    <w:rsid w:val="00067D0E"/>
    <w:rsid w:val="0007450E"/>
    <w:rsid w:val="000764E5"/>
    <w:rsid w:val="000A64FE"/>
    <w:rsid w:val="000B0959"/>
    <w:rsid w:val="000C3250"/>
    <w:rsid w:val="000C58F7"/>
    <w:rsid w:val="000F0063"/>
    <w:rsid w:val="000F303A"/>
    <w:rsid w:val="001057AC"/>
    <w:rsid w:val="0010776C"/>
    <w:rsid w:val="001139C6"/>
    <w:rsid w:val="00114EEF"/>
    <w:rsid w:val="001406E2"/>
    <w:rsid w:val="0015549C"/>
    <w:rsid w:val="00162546"/>
    <w:rsid w:val="00180FE8"/>
    <w:rsid w:val="00186B90"/>
    <w:rsid w:val="001879CD"/>
    <w:rsid w:val="001B1430"/>
    <w:rsid w:val="001F6014"/>
    <w:rsid w:val="00206BB6"/>
    <w:rsid w:val="0022212A"/>
    <w:rsid w:val="0024267D"/>
    <w:rsid w:val="00242C2D"/>
    <w:rsid w:val="00251ADA"/>
    <w:rsid w:val="0025348F"/>
    <w:rsid w:val="0029253C"/>
    <w:rsid w:val="002B0BB6"/>
    <w:rsid w:val="00301A71"/>
    <w:rsid w:val="003117BE"/>
    <w:rsid w:val="00322D2F"/>
    <w:rsid w:val="003900E5"/>
    <w:rsid w:val="003A5155"/>
    <w:rsid w:val="003B4442"/>
    <w:rsid w:val="003D5844"/>
    <w:rsid w:val="003E18D1"/>
    <w:rsid w:val="003F2109"/>
    <w:rsid w:val="00405131"/>
    <w:rsid w:val="004161CB"/>
    <w:rsid w:val="00420FFE"/>
    <w:rsid w:val="00446137"/>
    <w:rsid w:val="00463CEF"/>
    <w:rsid w:val="00471B55"/>
    <w:rsid w:val="00485D38"/>
    <w:rsid w:val="0049294C"/>
    <w:rsid w:val="00495079"/>
    <w:rsid w:val="004B6A02"/>
    <w:rsid w:val="004C39DA"/>
    <w:rsid w:val="004C75EE"/>
    <w:rsid w:val="00515A60"/>
    <w:rsid w:val="00530F5D"/>
    <w:rsid w:val="00537DB3"/>
    <w:rsid w:val="00554E4A"/>
    <w:rsid w:val="005645DD"/>
    <w:rsid w:val="00573CC1"/>
    <w:rsid w:val="005823F6"/>
    <w:rsid w:val="005A1BEE"/>
    <w:rsid w:val="005A32D3"/>
    <w:rsid w:val="005A649C"/>
    <w:rsid w:val="005B3994"/>
    <w:rsid w:val="005E6ABE"/>
    <w:rsid w:val="005F1788"/>
    <w:rsid w:val="00603E52"/>
    <w:rsid w:val="0062104E"/>
    <w:rsid w:val="00627417"/>
    <w:rsid w:val="006466A2"/>
    <w:rsid w:val="00664BA0"/>
    <w:rsid w:val="006A46F0"/>
    <w:rsid w:val="006A4DE0"/>
    <w:rsid w:val="006D6C0D"/>
    <w:rsid w:val="00700F69"/>
    <w:rsid w:val="00713DF7"/>
    <w:rsid w:val="00720563"/>
    <w:rsid w:val="00720587"/>
    <w:rsid w:val="007572F9"/>
    <w:rsid w:val="00771E64"/>
    <w:rsid w:val="00775164"/>
    <w:rsid w:val="00781176"/>
    <w:rsid w:val="00793CC4"/>
    <w:rsid w:val="00826C73"/>
    <w:rsid w:val="00832492"/>
    <w:rsid w:val="00842F05"/>
    <w:rsid w:val="00845F8E"/>
    <w:rsid w:val="008662FF"/>
    <w:rsid w:val="00880717"/>
    <w:rsid w:val="008A7CAF"/>
    <w:rsid w:val="008C0A24"/>
    <w:rsid w:val="008F3D4F"/>
    <w:rsid w:val="009004A6"/>
    <w:rsid w:val="009006A2"/>
    <w:rsid w:val="00932620"/>
    <w:rsid w:val="00936187"/>
    <w:rsid w:val="00940A80"/>
    <w:rsid w:val="009415AD"/>
    <w:rsid w:val="0094717E"/>
    <w:rsid w:val="00955029"/>
    <w:rsid w:val="00957E27"/>
    <w:rsid w:val="009863B3"/>
    <w:rsid w:val="009A0071"/>
    <w:rsid w:val="009C53E7"/>
    <w:rsid w:val="009D1717"/>
    <w:rsid w:val="009D2178"/>
    <w:rsid w:val="009D48CD"/>
    <w:rsid w:val="009E4911"/>
    <w:rsid w:val="00A06AEE"/>
    <w:rsid w:val="00A1491B"/>
    <w:rsid w:val="00A16AA6"/>
    <w:rsid w:val="00A3128D"/>
    <w:rsid w:val="00A375B1"/>
    <w:rsid w:val="00A54A67"/>
    <w:rsid w:val="00A612EE"/>
    <w:rsid w:val="00A70679"/>
    <w:rsid w:val="00A7508C"/>
    <w:rsid w:val="00A81E80"/>
    <w:rsid w:val="00A94B83"/>
    <w:rsid w:val="00A9795F"/>
    <w:rsid w:val="00AC11A5"/>
    <w:rsid w:val="00AC11D7"/>
    <w:rsid w:val="00AC4569"/>
    <w:rsid w:val="00AD094A"/>
    <w:rsid w:val="00AE692C"/>
    <w:rsid w:val="00B13851"/>
    <w:rsid w:val="00B32BFE"/>
    <w:rsid w:val="00B43A7C"/>
    <w:rsid w:val="00B4571C"/>
    <w:rsid w:val="00B50837"/>
    <w:rsid w:val="00B6389A"/>
    <w:rsid w:val="00B64992"/>
    <w:rsid w:val="00B9147B"/>
    <w:rsid w:val="00BD7ECB"/>
    <w:rsid w:val="00C0263C"/>
    <w:rsid w:val="00C030E6"/>
    <w:rsid w:val="00C5129B"/>
    <w:rsid w:val="00C54D53"/>
    <w:rsid w:val="00C86081"/>
    <w:rsid w:val="00CC7C4D"/>
    <w:rsid w:val="00D17284"/>
    <w:rsid w:val="00D21963"/>
    <w:rsid w:val="00D30A4C"/>
    <w:rsid w:val="00D43DC9"/>
    <w:rsid w:val="00D44C90"/>
    <w:rsid w:val="00D64FA4"/>
    <w:rsid w:val="00D65336"/>
    <w:rsid w:val="00D77984"/>
    <w:rsid w:val="00D9797A"/>
    <w:rsid w:val="00DB7F6F"/>
    <w:rsid w:val="00DC245A"/>
    <w:rsid w:val="00DD0D25"/>
    <w:rsid w:val="00DE1424"/>
    <w:rsid w:val="00DE512F"/>
    <w:rsid w:val="00DF50A1"/>
    <w:rsid w:val="00DF6316"/>
    <w:rsid w:val="00E319CB"/>
    <w:rsid w:val="00E5690E"/>
    <w:rsid w:val="00E71A5F"/>
    <w:rsid w:val="00E94177"/>
    <w:rsid w:val="00EA696A"/>
    <w:rsid w:val="00EC0812"/>
    <w:rsid w:val="00EC08B5"/>
    <w:rsid w:val="00EE60FE"/>
    <w:rsid w:val="00F26596"/>
    <w:rsid w:val="00F31471"/>
    <w:rsid w:val="00F33190"/>
    <w:rsid w:val="00F46379"/>
    <w:rsid w:val="00F50EE3"/>
    <w:rsid w:val="00F517D7"/>
    <w:rsid w:val="00F54493"/>
    <w:rsid w:val="00F64C9A"/>
    <w:rsid w:val="00F76017"/>
    <w:rsid w:val="00F86AC9"/>
    <w:rsid w:val="00F91CF3"/>
    <w:rsid w:val="00F96B3B"/>
    <w:rsid w:val="00FC1BF2"/>
    <w:rsid w:val="00FC3DCD"/>
    <w:rsid w:val="00FC4C64"/>
    <w:rsid w:val="00FD052C"/>
    <w:rsid w:val="00FF037A"/>
    <w:rsid w:val="00FF48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48A45"/>
  <w15:chartTrackingRefBased/>
  <w15:docId w15:val="{06A1FDD1-987E-4C37-B8D3-58E27D539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1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1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17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17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17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17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17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17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17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17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17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17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17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17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17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17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17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1717"/>
    <w:rPr>
      <w:rFonts w:eastAsiaTheme="majorEastAsia" w:cstheme="majorBidi"/>
      <w:color w:val="272727" w:themeColor="text1" w:themeTint="D8"/>
    </w:rPr>
  </w:style>
  <w:style w:type="paragraph" w:styleId="Ttulo">
    <w:name w:val="Title"/>
    <w:basedOn w:val="Normal"/>
    <w:next w:val="Normal"/>
    <w:link w:val="TtuloCar"/>
    <w:uiPriority w:val="10"/>
    <w:qFormat/>
    <w:rsid w:val="009D1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17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17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17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1717"/>
    <w:pPr>
      <w:spacing w:before="160"/>
      <w:jc w:val="center"/>
    </w:pPr>
    <w:rPr>
      <w:i/>
      <w:iCs/>
      <w:color w:val="404040" w:themeColor="text1" w:themeTint="BF"/>
    </w:rPr>
  </w:style>
  <w:style w:type="character" w:customStyle="1" w:styleId="CitaCar">
    <w:name w:val="Cita Car"/>
    <w:basedOn w:val="Fuentedeprrafopredeter"/>
    <w:link w:val="Cita"/>
    <w:uiPriority w:val="29"/>
    <w:rsid w:val="009D1717"/>
    <w:rPr>
      <w:i/>
      <w:iCs/>
      <w:color w:val="404040" w:themeColor="text1" w:themeTint="BF"/>
    </w:rPr>
  </w:style>
  <w:style w:type="paragraph" w:styleId="Prrafodelista">
    <w:name w:val="List Paragraph"/>
    <w:basedOn w:val="Normal"/>
    <w:uiPriority w:val="34"/>
    <w:qFormat/>
    <w:rsid w:val="009D1717"/>
    <w:pPr>
      <w:ind w:left="720"/>
      <w:contextualSpacing/>
    </w:pPr>
  </w:style>
  <w:style w:type="character" w:styleId="nfasisintenso">
    <w:name w:val="Intense Emphasis"/>
    <w:basedOn w:val="Fuentedeprrafopredeter"/>
    <w:uiPriority w:val="21"/>
    <w:qFormat/>
    <w:rsid w:val="009D1717"/>
    <w:rPr>
      <w:i/>
      <w:iCs/>
      <w:color w:val="0F4761" w:themeColor="accent1" w:themeShade="BF"/>
    </w:rPr>
  </w:style>
  <w:style w:type="paragraph" w:styleId="Citadestacada">
    <w:name w:val="Intense Quote"/>
    <w:basedOn w:val="Normal"/>
    <w:next w:val="Normal"/>
    <w:link w:val="CitadestacadaCar"/>
    <w:uiPriority w:val="30"/>
    <w:qFormat/>
    <w:rsid w:val="009D1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1717"/>
    <w:rPr>
      <w:i/>
      <w:iCs/>
      <w:color w:val="0F4761" w:themeColor="accent1" w:themeShade="BF"/>
    </w:rPr>
  </w:style>
  <w:style w:type="character" w:styleId="Referenciaintensa">
    <w:name w:val="Intense Reference"/>
    <w:basedOn w:val="Fuentedeprrafopredeter"/>
    <w:uiPriority w:val="32"/>
    <w:qFormat/>
    <w:rsid w:val="009D1717"/>
    <w:rPr>
      <w:b/>
      <w:bCs/>
      <w:smallCaps/>
      <w:color w:val="0F4761" w:themeColor="accent1" w:themeShade="BF"/>
      <w:spacing w:val="5"/>
    </w:rPr>
  </w:style>
  <w:style w:type="table" w:styleId="Tablaconcuadrcula">
    <w:name w:val="Table Grid"/>
    <w:basedOn w:val="Tablanormal"/>
    <w:uiPriority w:val="39"/>
    <w:rsid w:val="004929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361">
      <w:bodyDiv w:val="1"/>
      <w:marLeft w:val="0"/>
      <w:marRight w:val="0"/>
      <w:marTop w:val="0"/>
      <w:marBottom w:val="0"/>
      <w:divBdr>
        <w:top w:val="none" w:sz="0" w:space="0" w:color="auto"/>
        <w:left w:val="none" w:sz="0" w:space="0" w:color="auto"/>
        <w:bottom w:val="none" w:sz="0" w:space="0" w:color="auto"/>
        <w:right w:val="none" w:sz="0" w:space="0" w:color="auto"/>
      </w:divBdr>
    </w:div>
    <w:div w:id="1396470717">
      <w:bodyDiv w:val="1"/>
      <w:marLeft w:val="0"/>
      <w:marRight w:val="0"/>
      <w:marTop w:val="0"/>
      <w:marBottom w:val="0"/>
      <w:divBdr>
        <w:top w:val="none" w:sz="0" w:space="0" w:color="auto"/>
        <w:left w:val="none" w:sz="0" w:space="0" w:color="auto"/>
        <w:bottom w:val="none" w:sz="0" w:space="0" w:color="auto"/>
        <w:right w:val="none" w:sz="0" w:space="0" w:color="auto"/>
      </w:divBdr>
    </w:div>
    <w:div w:id="1631983165">
      <w:bodyDiv w:val="1"/>
      <w:marLeft w:val="0"/>
      <w:marRight w:val="0"/>
      <w:marTop w:val="0"/>
      <w:marBottom w:val="0"/>
      <w:divBdr>
        <w:top w:val="none" w:sz="0" w:space="0" w:color="auto"/>
        <w:left w:val="none" w:sz="0" w:space="0" w:color="auto"/>
        <w:bottom w:val="none" w:sz="0" w:space="0" w:color="auto"/>
        <w:right w:val="none" w:sz="0" w:space="0" w:color="auto"/>
      </w:divBdr>
    </w:div>
    <w:div w:id="2113086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1458</Words>
  <Characters>8025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PACHECO Augusto (ENGIE Mexico)</dc:creator>
  <cp:keywords/>
  <dc:description/>
  <cp:lastModifiedBy>CHAN PACHECO Augusto (ENGIE Mexico)</cp:lastModifiedBy>
  <cp:revision>3</cp:revision>
  <dcterms:created xsi:type="dcterms:W3CDTF">2025-08-14T02:18:00Z</dcterms:created>
  <dcterms:modified xsi:type="dcterms:W3CDTF">2025-08-15T22:58:00Z</dcterms:modified>
</cp:coreProperties>
</file>