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 Estado Mínimo: conceito, história e peso da iniciativa privada</w:t>
      </w:r>
    </w:p>
    <w:p>
      <w:pPr/>
      <w:r>
        <w:rPr>
          <w:i/>
        </w:rPr>
        <w:t xml:space="preserve">Relatório de revisão da literatura · outubro de 2026</w:t>
      </w:r>
    </w:p>
    <w:p>
      <w:pPr>
        <w:pStyle w:val="Heading2"/>
      </w:pPr>
      <w:r>
        <w:t xml:space="preserve">Sumário executivo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Estado mínimo</w:t>
      </w:r>
      <w:r>
        <w:t xml:space="preserve"> (ou «Estado vigilante noturno», </w:t>
      </w:r>
      <w:r>
        <w:rPr>
          <w:i/>
        </w:rPr>
        <w:t xml:space="preserve">minarquia</w:t>
      </w:r>
      <w:r>
        <w:t xml:space="preserve">) é o Estado limitado à proteção contra a força, o roubo e a fraude e à execução de contratos (polícia, tribunais, defesa). A formulação filosófica moderna mais influente é a de Nozick (1974) [1][5].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Nenhum país contemporâneo é um Estado mínimo puro.</w:t>
      </w:r>
      <w:r>
        <w:t xml:space="preserve"> Os países que mais se aproximam são identificados por proxies (índices de liberdade económica, despesa pública/PIB, peso das empresas públicas), e esses proxies medem coisas diferentes do conceito filosófico.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Pequeno orçamento não é o mesmo que Estado mínimo.</w:t>
      </w:r>
      <w:r>
        <w:t xml:space="preserve"> Singapura e Hong Kong gastam muito menos do que a média da OCDE, mas Singapura tem um setor empresarial público relevante e um sistema de habitação pública que abrange mais de 80% da população [57][59]; Hong Kong pratica «não intervencionismo positivo», que na prática incluiu habitação pública, ensino gratuito e metro [72].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Onde a iniciativa privada pesa mais</w:t>
      </w:r>
      <w:r>
        <w:t xml:space="preserve">: Hong Kong, Suíça, Singapura, Nova Zelândia e Estados Unidos lideram o índice Economic Freedom of the World 2026 [70]. Não existe, porém, um indicador comparável e atual da quota do setor privado no PIB para todos os países; a medição depende da definição de «privado» (China, Rússia e Golfo são os casos mais disputados) [53][54][64][65].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Evidência sobre tamanho do Estado e crescimento</w:t>
      </w:r>
      <w:r>
        <w:t xml:space="preserve">: nos países ricos, a maioria dos estudos recentes encontra correlação negativa (cerca de 0,5 a 1 ponto percentual menos de crescimento anual por cada 10 pontos percentuais de despesa pública/PIB) [37], mas uma meta-análise de 87 estudos aponta para viés de endogeneidade e efeito insignificante em países em desenvolvimento [38], e há quem defenda que o Estado social não tem custo líquido claro em PIB [39].</w:t>
      </w:r>
    </w:p>
    <w:p>
      <w:pPr>
        <w:pStyle w:val="Quote"/>
      </w:pPr>
      <w:r>
        <w:rPr>
          <w:b/>
        </w:rPr>
        <w:t xml:space="preserve">Nota de método.</w:t>
      </w:r>
      <w:r>
        <w:t xml:space="preserve"> Foram identificadas 74 entradas (bibliografia no fim): 50 artigos, capítulos e </w:t>
      </w:r>
      <w:r>
        <w:rPr>
          <w:i/>
        </w:rPr>
        <w:t xml:space="preserve">working papers</w:t>
      </w:r>
      <w:r>
        <w:t xml:space="preserve"> académicos, 9 livros e 15 relatórios ou ensaios institucionais. Na maioria dos casos li o resumo ou excertos acessíveis online, não o texto integral. Os dados de despesa pública por país citados são, em vários casos, de anos anteriores e devem ser atualizados antes de uso em publicação.</w:t>
      </w:r>
    </w:p>
    <w:p>
      <w:pPr>
        <w:pStyle w:val="Heading2"/>
      </w:pPr>
      <w:r>
        <w:t xml:space="preserve">1. Definição de Estado mínimo</w:t>
      </w:r>
    </w:p>
    <w:p>
      <w:pPr>
        <w:pStyle w:val="Heading3"/>
      </w:pPr>
      <w:r>
        <w:t xml:space="preserve">1.1 Origem do termo</w:t>
      </w:r>
    </w:p>
    <w:p>
      <w:pPr/>
      <w:r>
        <w:t xml:space="preserve">A expressão alemã </w:t>
      </w:r>
      <w:r>
        <w:rPr>
          <w:i/>
        </w:rPr>
        <w:t xml:space="preserve">Nachtwächterstaat</w:t>
      </w:r>
      <w:r>
        <w:t xml:space="preserve"> foi cunhada pelo socialista Ferdinand Lassalle num discurso em Berlim em 1862, como ironia dirigida aos liberais burgueses; o rótulo foi depois adotado como ideal por liberais clássicos e libertários (fontes complementares A e B). Em inglês, </w:t>
      </w:r>
      <w:r>
        <w:rPr>
          <w:i/>
        </w:rPr>
        <w:t xml:space="preserve">night-watchman state</w:t>
      </w:r>
      <w:r>
        <w:t xml:space="preserve">, </w:t>
      </w:r>
      <w:r>
        <w:rPr>
          <w:i/>
        </w:rPr>
        <w:t xml:space="preserve">minimal state</w:t>
      </w:r>
      <w:r>
        <w:t xml:space="preserve"> e </w:t>
      </w:r>
      <w:r>
        <w:rPr>
          <w:i/>
        </w:rPr>
        <w:t xml:space="preserve">minarchy</w:t>
      </w:r>
      <w:r>
        <w:t xml:space="preserve"> são usados de forma quase intercambiável.</w:t>
      </w:r>
    </w:p>
    <w:p>
      <w:pPr>
        <w:pStyle w:val="Heading3"/>
      </w:pPr>
      <w:r>
        <w:t xml:space="preserve">1.2 Definições na literatura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6"/>
        <w:gridCol w:w="4920"/>
        <w:gridCol w:w="1424"/>
      </w:tblGrid>
      <w:tr>
        <w:trPr>
          <w:tblHeader/>
        </w:trPr>
        <w:tc>
          <w:tcPr>
            <w:tcW w:w="3016" w:type="dxa"/>
            <w:shd w:val="clear" w:color="auto" w:fill="F2F2F2"/>
          </w:tcPr>
          <w:p>
            <w:pPr/>
            <w:r>
              <w:t xml:space="preserve">Autor / corrente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Funções legítimas do Estado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Referência</w:t>
            </w:r>
          </w:p>
        </w:tc>
      </w:tr>
      <w:tr>
        <w:tc>
          <w:tcPr>
            <w:tcW w:w="3016" w:type="dxa"/>
          </w:tcPr>
          <w:p>
            <w:pPr/>
            <w:r>
              <w:rPr>
                <w:b/>
              </w:rPr>
              <w:t xml:space="preserve">Adam Smith (1776)</w:t>
            </w:r>
          </w:p>
        </w:tc>
        <w:tc>
          <w:tcPr>
            <w:tcW w:w="4920" w:type="dxa"/>
          </w:tcPr>
          <w:p>
            <w:pPr/>
            <w:r>
              <w:t xml:space="preserve">Três deveres do soberano: defesa, justiça e obras/instituições públicas que facilitam o comércio</w:t>
            </w:r>
          </w:p>
        </w:tc>
        <w:tc>
          <w:tcPr>
            <w:tcW w:w="1424" w:type="dxa"/>
          </w:tcPr>
          <w:p>
            <w:pPr/>
            <w:r>
              <w:t xml:space="preserve">[15][16][17]</w:t>
            </w:r>
          </w:p>
        </w:tc>
      </w:tr>
      <w:tr>
        <w:tc>
          <w:tcPr>
            <w:tcW w:w="3016" w:type="dxa"/>
          </w:tcPr>
          <w:p>
            <w:pPr/>
            <w:r>
              <w:rPr>
                <w:b/>
              </w:rPr>
              <w:t xml:space="preserve">Liberalismo clássico</w:t>
            </w:r>
          </w:p>
        </w:tc>
        <w:tc>
          <w:tcPr>
            <w:tcW w:w="4920" w:type="dxa"/>
          </w:tcPr>
          <w:p>
            <w:pPr/>
            <w:r>
              <w:t xml:space="preserve">Proteção contra violência, roubo e fraude; execução de contratos</w:t>
            </w:r>
          </w:p>
        </w:tc>
        <w:tc>
          <w:tcPr>
            <w:tcW w:w="1424" w:type="dxa"/>
          </w:tcPr>
          <w:p>
            <w:pPr/>
            <w:r>
              <w:t xml:space="preserve">[5]</w:t>
            </w:r>
          </w:p>
        </w:tc>
      </w:tr>
      <w:tr>
        <w:tc>
          <w:tcPr>
            <w:tcW w:w="3016" w:type="dxa"/>
          </w:tcPr>
          <w:p>
            <w:pPr/>
            <w:r>
              <w:rPr>
                <w:b/>
              </w:rPr>
              <w:t xml:space="preserve">Nozick (1974)</w:t>
            </w:r>
          </w:p>
        </w:tc>
        <w:tc>
          <w:tcPr>
            <w:tcW w:w="4920" w:type="dxa"/>
          </w:tcPr>
          <w:p>
            <w:pPr/>
            <w:r>
              <w:t xml:space="preserve">O Estado mínimo é o mais extenso que se pode justificar; qualquer Estado mais amplo viola direitos individuais</w:t>
            </w:r>
          </w:p>
        </w:tc>
        <w:tc>
          <w:tcPr>
            <w:tcW w:w="1424" w:type="dxa"/>
          </w:tcPr>
          <w:p>
            <w:pPr/>
            <w:r>
              <w:t xml:space="preserve">[1][5]</w:t>
            </w:r>
          </w:p>
        </w:tc>
      </w:tr>
      <w:tr>
        <w:tc>
          <w:tcPr>
            <w:tcW w:w="3016" w:type="dxa"/>
          </w:tcPr>
          <w:p>
            <w:pPr/>
            <w:r>
              <w:rPr>
                <w:b/>
              </w:rPr>
              <w:t xml:space="preserve">Rothbard (anarcocapitalismo)</w:t>
            </w:r>
          </w:p>
        </w:tc>
        <w:tc>
          <w:tcPr>
            <w:tcW w:w="4920" w:type="dxa"/>
          </w:tcPr>
          <w:p>
            <w:pPr/>
            <w:r>
              <w:t xml:space="preserve">Mesmo o Estado mínimo viola direitos; rejeita a sua justificação</w:t>
            </w:r>
          </w:p>
        </w:tc>
        <w:tc>
          <w:tcPr>
            <w:tcW w:w="1424" w:type="dxa"/>
          </w:tcPr>
          <w:p>
            <w:pPr/>
            <w:r>
              <w:t xml:space="preserve">[2][3]</w:t>
            </w:r>
          </w:p>
        </w:tc>
      </w:tr>
      <w:tr>
        <w:tc>
          <w:tcPr>
            <w:tcW w:w="3016" w:type="dxa"/>
          </w:tcPr>
          <w:p>
            <w:pPr/>
            <w:r>
              <w:rPr>
                <w:b/>
              </w:rPr>
              <w:t xml:space="preserve">Hayek</w:t>
            </w:r>
          </w:p>
        </w:tc>
        <w:tc>
          <w:tcPr>
            <w:tcW w:w="4920" w:type="dxa"/>
          </w:tcPr>
          <w:p>
            <w:pPr/>
            <w:r>
              <w:t xml:space="preserve">Não é minimalista por princípio: procura o nível de ação estatal mais benéfico a longo prazo, que pode ir além do mínimo, e dá peso central ao Estado de direito e ao constitucionalismo</w:t>
            </w:r>
          </w:p>
        </w:tc>
        <w:tc>
          <w:tcPr>
            <w:tcW w:w="1424" w:type="dxa"/>
          </w:tcPr>
          <w:p>
            <w:pPr/>
            <w:r>
              <w:t xml:space="preserve">[12][73]</w:t>
            </w:r>
          </w:p>
        </w:tc>
      </w:tr>
      <w:tr>
        <w:tc>
          <w:tcPr>
            <w:tcW w:w="3016" w:type="dxa"/>
          </w:tcPr>
          <w:p>
            <w:pPr/>
            <w:r>
              <w:rPr>
                <w:b/>
              </w:rPr>
              <w:t xml:space="preserve">Buchanan / economia política constitucional</w:t>
            </w:r>
          </w:p>
        </w:tc>
        <w:tc>
          <w:tcPr>
            <w:tcW w:w="4920" w:type="dxa"/>
          </w:tcPr>
          <w:p>
            <w:pPr/>
            <w:r>
              <w:t xml:space="preserve">Limites constitucionais ao tamanho e às finanças do Estado</w:t>
            </w:r>
          </w:p>
        </w:tc>
        <w:tc>
          <w:tcPr>
            <w:tcW w:w="1424" w:type="dxa"/>
          </w:tcPr>
          <w:p>
            <w:pPr/>
            <w:r>
              <w:t xml:space="preserve">[13][14]</w:t>
            </w:r>
          </w:p>
        </w:tc>
      </w:tr>
    </w:tbl>
    <w:p>
      <w:pPr>
        <w:pStyle w:val="Heading3"/>
      </w:pPr>
      <w:r>
        <w:t xml:space="preserve">1.3 A justificação de Nozick e as críticas</w:t>
      </w:r>
    </w:p>
    <w:p>
      <w:pPr/>
      <w:r>
        <w:t xml:space="preserve">Nozick parte de um estado de natureza e argumenta que uma agência de proteção dominante evolui, por um processo de «mão invisível» sem violação de direitos, para um Estado ultramínimo e depois para um Estado mínimo [2][3]. Críticas principais: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 esquerda igualitária.</w:t>
      </w:r>
      <w:r>
        <w:t xml:space="preserve"> G. A. Cohen contesta a passagem da autopropriedade à propriedade privada de recursos externos e a aquisição inicial [8][9]. Wolff discute a teoria da titularidade e o princípio da compensação [11]. Defesas libertárias de Nozick respondem a Cohen [10].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 direita anarquista.</w:t>
      </w:r>
      <w:r>
        <w:t xml:space="preserve"> Rothbard sustenta que o Estado mínimo contradiz os princípios que invoca [2]; Block critica também Nozick, Levin e Rand por aceitarem um Estado limitado [4]; Warren (2026) conclui que a tentativa de justificação falha em cada passo [3].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 republicanismo.</w:t>
      </w:r>
      <w:r>
        <w:t xml:space="preserve"> Pettit rejeita a dicotomia «ama-seca vs. vigia noturno» e propõe uma liberdade como não-dominação que exige um Estado ativo [7].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Internas ao liberalismo.</w:t>
      </w:r>
      <w:r>
        <w:t xml:space="preserve"> Sampson argumenta que o Estado que emerge em Nozick é uma versão deformada do ideal liberal clássico [6]. Salahuddin avalia criticamente a coerência entre direitos invioláveis e a coerção do próprio Estado [5].</w:t>
      </w:r>
    </w:p>
    <w:p>
      <w:pPr>
        <w:pStyle w:val="Heading3"/>
      </w:pPr>
      <w:r>
        <w:t xml:space="preserve">1.4 Definição operacional proposta para este relatório</w:t>
      </w:r>
    </w:p>
    <w:p>
      <w:pPr/>
      <w:r>
        <w:t xml:space="preserve">Para comparar países, convém separar três dimensões que a literatura frequentemente mistura: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Âmbito funcional</w:t>
      </w:r>
      <w:r>
        <w:t xml:space="preserve">: que funções o Estado assume (só segurança e justiça, ou também saúde, educação, pensões, habitação).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Dimensão orçamental</w:t>
      </w:r>
      <w:r>
        <w:t xml:space="preserve">: despesa pública e carga fiscal em % do PIB.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Pegada económica</w:t>
      </w:r>
      <w:r>
        <w:t xml:space="preserve">: propriedade de empresas, bancos, terra e intervenção regulatória.</w:t>
      </w:r>
    </w:p>
    <w:p>
      <w:pPr/>
      <w:r>
        <w:t xml:space="preserve">Um país pode ser pequeno na dimensão 2 e grande na dimensão 3 (Singapura). Pode também ter muito Estado em 2 e ótimas instituições de mercado (Dinamarca). Em rigor, só a dimensão 1 corresponde ao Estado mínimo filosófico; as outras duas são proxies.</w:t>
      </w:r>
    </w:p>
    <w:p>
      <w:pPr>
        <w:pStyle w:val="Heading2"/>
      </w:pPr>
      <w:r>
        <w:t xml:space="preserve">2. Revisão histórica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3"/>
        <w:gridCol w:w="4977"/>
        <w:gridCol w:w="2488"/>
      </w:tblGrid>
      <w:tr>
        <w:trPr>
          <w:tblHeader/>
        </w:trPr>
        <w:tc>
          <w:tcPr>
            <w:tcW w:w="1893" w:type="dxa"/>
            <w:shd w:val="clear" w:color="auto" w:fill="F2F2F2"/>
          </w:tcPr>
          <w:p>
            <w:pPr/>
            <w:r>
              <w:t xml:space="preserve">Período</w:t>
            </w:r>
          </w:p>
        </w:tc>
        <w:tc>
          <w:tcPr>
            <w:tcW w:w="4977" w:type="dxa"/>
            <w:shd w:val="clear" w:color="auto" w:fill="F2F2F2"/>
          </w:tcPr>
          <w:p>
            <w:pPr/>
            <w:r>
              <w:t xml:space="preserve">Marco</w:t>
            </w:r>
          </w:p>
        </w:tc>
        <w:tc>
          <w:tcPr>
            <w:tcW w:w="2488" w:type="dxa"/>
            <w:shd w:val="clear" w:color="auto" w:fill="F2F2F2"/>
          </w:tcPr>
          <w:p>
            <w:pPr/>
            <w:r>
              <w:t xml:space="preserve">Referências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1776</w:t>
            </w:r>
          </w:p>
        </w:tc>
        <w:tc>
          <w:tcPr>
            <w:tcW w:w="4977" w:type="dxa"/>
          </w:tcPr>
          <w:p>
            <w:pPr/>
            <w:r>
              <w:t xml:space="preserve">Smith define os três deveres do soberano</w:t>
            </w:r>
          </w:p>
        </w:tc>
        <w:tc>
          <w:tcPr>
            <w:tcW w:w="2488" w:type="dxa"/>
          </w:tcPr>
          <w:p>
            <w:pPr/>
            <w:r>
              <w:t xml:space="preserve">[15][17]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1862</w:t>
            </w:r>
          </w:p>
        </w:tc>
        <w:tc>
          <w:tcPr>
            <w:tcW w:w="4977" w:type="dxa"/>
          </w:tcPr>
          <w:p>
            <w:pPr/>
            <w:r>
              <w:t xml:space="preserve">Lassalle cunha o termo </w:t>
            </w:r>
            <w:r>
              <w:rPr>
                <w:i/>
              </w:rPr>
              <w:t xml:space="preserve">Nachtwächterstaat</w:t>
            </w:r>
          </w:p>
        </w:tc>
        <w:tc>
          <w:tcPr>
            <w:tcW w:w="2488" w:type="dxa"/>
          </w:tcPr>
          <w:p>
            <w:pPr/>
            <w:r>
              <w:t xml:space="preserve">fontes compl. A, B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Década de 1880</w:t>
            </w:r>
          </w:p>
        </w:tc>
        <w:tc>
          <w:tcPr>
            <w:tcW w:w="4977" w:type="dxa"/>
          </w:tcPr>
          <w:p>
            <w:pPr/>
            <w:r>
              <w:t xml:space="preserve">Wagner formula a «lei da atividade estatal crescente»: a despesa pública tende a crescer mais do que o rendimento; os testes empíricos dão resultados mistos</w:t>
            </w:r>
          </w:p>
        </w:tc>
        <w:tc>
          <w:tcPr>
            <w:tcW w:w="2488" w:type="dxa"/>
          </w:tcPr>
          <w:p>
            <w:pPr/>
            <w:r>
              <w:t xml:space="preserve">[21][22]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Séc. XX</w:t>
            </w:r>
          </w:p>
        </w:tc>
        <w:tc>
          <w:tcPr>
            <w:tcW w:w="4977" w:type="dxa"/>
          </w:tcPr>
          <w:p>
            <w:pPr/>
            <w:r>
              <w:t xml:space="preserve">A despesa pública aumenta em todos os países industrializados; o Estado-providência expande-se, e a Grande Depressão e as políticas de desenvolvimento estimulam a propriedade estatal de empresas</w:t>
            </w:r>
          </w:p>
        </w:tc>
        <w:tc>
          <w:tcPr>
            <w:tcW w:w="2488" w:type="dxa"/>
          </w:tcPr>
          <w:p>
            <w:pPr/>
            <w:r>
              <w:t xml:space="preserve">[20][24]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1974</w:t>
            </w:r>
          </w:p>
        </w:tc>
        <w:tc>
          <w:tcPr>
            <w:tcW w:w="4977" w:type="dxa"/>
          </w:tcPr>
          <w:p>
            <w:pPr/>
            <w:r>
              <w:t xml:space="preserve">Nozick publica </w:t>
            </w:r>
            <w:r>
              <w:rPr>
                <w:i/>
              </w:rPr>
              <w:t xml:space="preserve">Anarchy, State, and Utopia</w:t>
            </w:r>
          </w:p>
        </w:tc>
        <w:tc>
          <w:tcPr>
            <w:tcW w:w="2488" w:type="dxa"/>
          </w:tcPr>
          <w:p>
            <w:pPr/>
            <w:r>
              <w:t xml:space="preserve">[1]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1979–anos 90</w:t>
            </w:r>
          </w:p>
        </w:tc>
        <w:tc>
          <w:tcPr>
            <w:tcW w:w="4977" w:type="dxa"/>
          </w:tcPr>
          <w:p>
            <w:pPr/>
            <w:r>
              <w:t xml:space="preserve">Onda de privatizações iniciada no Reino Unido de Thatcher e depois global</w:t>
            </w:r>
          </w:p>
        </w:tc>
        <w:tc>
          <w:tcPr>
            <w:tcW w:w="2488" w:type="dxa"/>
          </w:tcPr>
          <w:p>
            <w:pPr/>
            <w:r>
              <w:t xml:space="preserve">[23][24][25]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1973–1990</w:t>
            </w:r>
          </w:p>
        </w:tc>
        <w:tc>
          <w:tcPr>
            <w:tcW w:w="4977" w:type="dxa"/>
          </w:tcPr>
          <w:p>
            <w:pPr/>
            <w:r>
              <w:t xml:space="preserve">Chile: reformas de mercado precoces e extensas, incluindo privatização de pensões, saúde e educação; crescimento alto a partir de meados dos anos 80, com desigualdade e concentração de riqueza</w:t>
            </w:r>
          </w:p>
        </w:tc>
        <w:tc>
          <w:tcPr>
            <w:tcW w:w="2488" w:type="dxa"/>
          </w:tcPr>
          <w:p>
            <w:pPr/>
            <w:r>
              <w:t xml:space="preserve">[26][27][28]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1984–</w:t>
            </w:r>
          </w:p>
        </w:tc>
        <w:tc>
          <w:tcPr>
            <w:tcW w:w="4977" w:type="dxa"/>
          </w:tcPr>
          <w:p>
            <w:pPr/>
            <w:r>
              <w:t xml:space="preserve">Nova Zelândia: liberalização económica de referência na OCDE</w:t>
            </w:r>
          </w:p>
        </w:tc>
        <w:tc>
          <w:tcPr>
            <w:tcW w:w="2488" w:type="dxa"/>
          </w:tcPr>
          <w:p>
            <w:pPr/>
            <w:r>
              <w:t xml:space="preserve">[29][30]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Anos 90</w:t>
            </w:r>
          </w:p>
        </w:tc>
        <w:tc>
          <w:tcPr>
            <w:tcW w:w="4977" w:type="dxa"/>
          </w:tcPr>
          <w:p>
            <w:pPr/>
            <w:r>
              <w:t xml:space="preserve">Estónia e Letónia liberalizam rapidamente; a Estónia adota o imposto de taxa única em 1994</w:t>
            </w:r>
          </w:p>
        </w:tc>
        <w:tc>
          <w:tcPr>
            <w:tcW w:w="2488" w:type="dxa"/>
          </w:tcPr>
          <w:p>
            <w:pPr/>
            <w:r>
              <w:t xml:space="preserve">[31] e fonte compl. C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1998</w:t>
            </w:r>
          </w:p>
        </w:tc>
        <w:tc>
          <w:tcPr>
            <w:tcW w:w="4977" w:type="dxa"/>
          </w:tcPr>
          <w:p>
            <w:pPr/>
            <w:r>
              <w:t xml:space="preserve">Gwartney, Lawson e Holcombe: a despesa pública excessiva reduz o crescimento</w:t>
            </w:r>
          </w:p>
        </w:tc>
        <w:tc>
          <w:tcPr>
            <w:tcW w:w="2488" w:type="dxa"/>
          </w:tcPr>
          <w:p>
            <w:pPr/>
            <w:r>
              <w:t xml:space="preserve">[36]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2000</w:t>
            </w:r>
          </w:p>
        </w:tc>
        <w:tc>
          <w:tcPr>
            <w:tcW w:w="4977" w:type="dxa"/>
          </w:tcPr>
          <w:p>
            <w:pPr/>
            <w:r>
              <w:t xml:space="preserve">Tanzi e Schuknecht: os países industriais poderiam ter Estados bem menores sem perda relevante de bem-estar</w:t>
            </w:r>
          </w:p>
        </w:tc>
        <w:tc>
          <w:tcPr>
            <w:tcW w:w="2488" w:type="dxa"/>
          </w:tcPr>
          <w:p>
            <w:pPr/>
            <w:r>
              <w:t xml:space="preserve">[20]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2004–2012</w:t>
            </w:r>
          </w:p>
        </w:tc>
        <w:tc>
          <w:tcPr>
            <w:tcW w:w="4977" w:type="dxa"/>
          </w:tcPr>
          <w:p>
            <w:pPr/>
            <w:r>
              <w:t xml:space="preserve">Geórgia: pacote radical de reformas pró-mercado, com forte privatização</w:t>
            </w:r>
          </w:p>
        </w:tc>
        <w:tc>
          <w:tcPr>
            <w:tcW w:w="2488" w:type="dxa"/>
          </w:tcPr>
          <w:p>
            <w:pPr/>
            <w:r>
              <w:t xml:space="preserve">[32][33]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2014</w:t>
            </w:r>
          </w:p>
        </w:tc>
        <w:tc>
          <w:tcPr>
            <w:tcW w:w="4977" w:type="dxa"/>
          </w:tcPr>
          <w:p>
            <w:pPr/>
            <w:r>
              <w:t xml:space="preserve">Musacchio e Lazzarini: o debate «público vs. privado» perde sentido num mundo de capitalismo de Estado híbrido</w:t>
            </w:r>
          </w:p>
        </w:tc>
        <w:tc>
          <w:tcPr>
            <w:tcW w:w="2488" w:type="dxa"/>
          </w:tcPr>
          <w:p>
            <w:pPr/>
            <w:r>
              <w:t xml:space="preserve">[48]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2019</w:t>
            </w:r>
          </w:p>
        </w:tc>
        <w:tc>
          <w:tcPr>
            <w:tcW w:w="4977" w:type="dxa"/>
          </w:tcPr>
          <w:p>
            <w:pPr/>
            <w:r>
              <w:t xml:space="preserve">Acemoglu e Robinson: a liberdade exige um Estado forte mas «acorrentado» pela sociedade</w:t>
            </w:r>
          </w:p>
        </w:tc>
        <w:tc>
          <w:tcPr>
            <w:tcW w:w="2488" w:type="dxa"/>
          </w:tcPr>
          <w:p>
            <w:pPr/>
            <w:r>
              <w:t xml:space="preserve">[18]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2024–2026</w:t>
            </w:r>
          </w:p>
        </w:tc>
        <w:tc>
          <w:tcPr>
            <w:tcW w:w="4977" w:type="dxa"/>
          </w:tcPr>
          <w:p>
            <w:pPr/>
            <w:r>
              <w:t xml:space="preserve">Meta-revisões sobre liberdade económica e crescimento; EFW 2026 mostra recuperação pós-pandemia</w:t>
            </w:r>
          </w:p>
        </w:tc>
        <w:tc>
          <w:tcPr>
            <w:tcW w:w="2488" w:type="dxa"/>
          </w:tcPr>
          <w:p>
            <w:pPr/>
            <w:r>
              <w:t xml:space="preserve">[42][70]</w:t>
            </w:r>
          </w:p>
        </w:tc>
      </w:tr>
    </w:tbl>
    <w:p>
      <w:pPr/>
      <w:r>
        <w:t xml:space="preserve">Duas leituras do século XX merecem destaque. Primeiro, Tanzi e Schuknecht documentam que a despesa pública cresceu em todo o mundo industrializado, o que torna o Estado mínimo uma exceção histórica de poucos países e períodos mais do que uma situação de partida generalizada [20]. Segundo, a vaga de privatização foi uma reação política e prática à expansão anterior do Estado empresário, e Megginson e Netter fazem a história da propriedade estatal desde a antiguidade e da nacionalização que precedeu a privatização [23][24].</w:t>
      </w:r>
    </w:p>
    <w:p>
      <w:pPr>
        <w:pStyle w:val="Heading2"/>
      </w:pPr>
      <w:r>
        <w:t xml:space="preserve">3. Países próximos de um Estado mínimo</w:t>
      </w:r>
    </w:p>
    <w:p>
      <w:pPr>
        <w:pStyle w:val="Heading3"/>
      </w:pPr>
      <w:r>
        <w:t xml:space="preserve">3.1 O que dizem os índices</w:t>
      </w:r>
    </w:p>
    <w:p>
      <w:pPr/>
      <w:r>
        <w:rPr>
          <w:b/>
        </w:rPr>
        <w:t xml:space="preserve">Economic Freedom of the World 2026 (Fraser Institute; dados de 2024; 165 jurisdições)</w:t>
      </w:r>
      <w:r>
        <w:t xml:space="preserve"> [70]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49"/>
        <w:gridCol w:w="3716"/>
        <w:gridCol w:w="3695"/>
      </w:tblGrid>
      <w:tr>
        <w:trPr>
          <w:tblHeader/>
        </w:trPr>
        <w:tc>
          <w:tcPr>
            <w:tcW w:w="1949" w:type="dxa"/>
            <w:shd w:val="clear" w:color="auto" w:fill="F2F2F2"/>
          </w:tcPr>
          <w:p>
            <w:pPr/>
            <w:r>
              <w:t xml:space="preserve">Posição</w:t>
            </w:r>
          </w:p>
        </w:tc>
        <w:tc>
          <w:tcPr>
            <w:tcW w:w="3716" w:type="dxa"/>
            <w:shd w:val="clear" w:color="auto" w:fill="F2F2F2"/>
          </w:tcPr>
          <w:p>
            <w:pPr/>
            <w:r>
              <w:t xml:space="preserve">Jurisdição</w:t>
            </w:r>
          </w:p>
        </w:tc>
        <w:tc>
          <w:tcPr>
            <w:tcW w:w="3695" w:type="dxa"/>
            <w:shd w:val="clear" w:color="auto" w:fill="F2F2F2"/>
          </w:tcPr>
          <w:p>
            <w:pPr/>
            <w:r>
              <w:t xml:space="preserve">Observações</w:t>
            </w:r>
          </w:p>
        </w:tc>
      </w:tr>
      <w:tr>
        <w:tc>
          <w:tcPr>
            <w:tcW w:w="1949" w:type="dxa"/>
          </w:tcPr>
          <w:p>
            <w:pPr/>
            <w:r>
              <w:t xml:space="preserve">1.º</w:t>
            </w:r>
          </w:p>
        </w:tc>
        <w:tc>
          <w:tcPr>
            <w:tcW w:w="3716" w:type="dxa"/>
          </w:tcPr>
          <w:p>
            <w:pPr/>
            <w:r>
              <w:t xml:space="preserve">Hong Kong (8,53)</w:t>
            </w:r>
          </w:p>
        </w:tc>
        <w:tc>
          <w:tcPr>
            <w:tcW w:w="3695" w:type="dxa"/>
          </w:tcPr>
          <w:p>
            <w:pPr/>
            <w:r>
              <w:t xml:space="preserve">Lidera em «liberdade de comércio internacional»; pontuação em queda desde 2018</w:t>
            </w:r>
          </w:p>
        </w:tc>
      </w:tr>
      <w:tr>
        <w:tc>
          <w:tcPr>
            <w:tcW w:w="1949" w:type="dxa"/>
          </w:tcPr>
          <w:p>
            <w:pPr/>
            <w:r>
              <w:t xml:space="preserve">2.º</w:t>
            </w:r>
          </w:p>
        </w:tc>
        <w:tc>
          <w:tcPr>
            <w:tcW w:w="3716" w:type="dxa"/>
          </w:tcPr>
          <w:p>
            <w:pPr/>
            <w:r>
              <w:t xml:space="preserve">Suíça (8,45)</w:t>
            </w:r>
          </w:p>
        </w:tc>
        <w:tc>
          <w:tcPr>
            <w:tcW w:w="3695" w:type="dxa"/>
          </w:tcPr>
          <w:p>
            <w:pPr/>
            <w:r>
              <w:t xml:space="preserve">Ultrapassou Singapura</w:t>
            </w:r>
          </w:p>
        </w:tc>
      </w:tr>
      <w:tr>
        <w:tc>
          <w:tcPr>
            <w:tcW w:w="1949" w:type="dxa"/>
          </w:tcPr>
          <w:p>
            <w:pPr/>
            <w:r>
              <w:t xml:space="preserve">3.º</w:t>
            </w:r>
          </w:p>
        </w:tc>
        <w:tc>
          <w:tcPr>
            <w:tcW w:w="3716" w:type="dxa"/>
          </w:tcPr>
          <w:p>
            <w:pPr/>
            <w:r>
              <w:t xml:space="preserve">Singapura (8,43)</w:t>
            </w:r>
          </w:p>
        </w:tc>
        <w:tc>
          <w:tcPr>
            <w:tcW w:w="3695" w:type="dxa"/>
          </w:tcPr>
          <w:p>
            <w:pPr/>
          </w:p>
        </w:tc>
      </w:tr>
      <w:tr>
        <w:tc>
          <w:tcPr>
            <w:tcW w:w="1949" w:type="dxa"/>
          </w:tcPr>
          <w:p>
            <w:pPr/>
            <w:r>
              <w:t xml:space="preserve">4.º / 5.º</w:t>
            </w:r>
          </w:p>
        </w:tc>
        <w:tc>
          <w:tcPr>
            <w:tcW w:w="3716" w:type="dxa"/>
          </w:tcPr>
          <w:p>
            <w:pPr/>
            <w:r>
              <w:t xml:space="preserve">Nova Zelândia / EUA</w:t>
            </w:r>
          </w:p>
        </w:tc>
        <w:tc>
          <w:tcPr>
            <w:tcW w:w="3695" w:type="dxa"/>
          </w:tcPr>
          <w:p>
            <w:pPr/>
          </w:p>
        </w:tc>
      </w:tr>
      <w:tr>
        <w:tc>
          <w:tcPr>
            <w:tcW w:w="1949" w:type="dxa"/>
          </w:tcPr>
          <w:p>
            <w:pPr/>
            <w:r>
              <w:t xml:space="preserve">10.º / 13.º / 18.º / 19.º</w:t>
            </w:r>
          </w:p>
        </w:tc>
        <w:tc>
          <w:tcPr>
            <w:tcW w:w="3716" w:type="dxa"/>
          </w:tcPr>
          <w:p>
            <w:pPr/>
            <w:r>
              <w:t xml:space="preserve">Reino Unido / Japão / Canadá / Alemanha</w:t>
            </w:r>
          </w:p>
        </w:tc>
        <w:tc>
          <w:tcPr>
            <w:tcW w:w="3695" w:type="dxa"/>
          </w:tcPr>
          <w:p>
            <w:pPr/>
          </w:p>
        </w:tc>
      </w:tr>
    </w:tbl>
    <w:p>
      <w:pPr/>
      <w:r>
        <w:rPr>
          <w:b/>
        </w:rPr>
        <w:t xml:space="preserve">Index of Economic Freedom 2026 (Heritage Foundation)</w:t>
      </w:r>
      <w:r>
        <w:t xml:space="preserve"> [69]: Singapura (84,4), Suíça (83,7), Irlanda (83,3), Austrália (80,1), Taiwan (79,8); os EUA ficam em 22.º com 72,8.</w:t>
      </w:r>
    </w:p>
    <w:p>
      <w:pPr/>
      <w:r>
        <w:rPr>
          <w:b/>
        </w:rPr>
        <w:t xml:space="preserve">Avisos importantes.</w:t>
      </w:r>
      <w:r>
        <w:t xml:space="preserve"> Estes índices são produzidos por </w:t>
      </w:r>
      <w:r>
        <w:rPr>
          <w:i/>
        </w:rPr>
        <w:t xml:space="preserve">think tanks</w:t>
      </w:r>
      <w:r>
        <w:t xml:space="preserve"> com orientação pró-mercado, medem «liberdade económica» e não minimalismo do Estado, e incluem componentes (moeda estável, Estado de direito, abertura comercial) que nada dizem sobre a dimensão do Estado. O próprio EFW mostra o contraste: a Dinamarca está em 139.º lugar na área «dimensão do governo» mas em 2.º na área «sistema jurídico e direitos de propriedade» [70, tabelas por país]. Um Estado grande com instituições de mercado sólidas aparece, portanto, entre as economias «livres».</w:t>
      </w:r>
    </w:p>
    <w:p>
      <w:pPr>
        <w:pStyle w:val="Heading3"/>
      </w:pPr>
      <w:r>
        <w:t xml:space="preserve">3.2 Casos</w:t>
      </w:r>
    </w:p>
    <w:p>
      <w:pPr/>
      <w:r>
        <w:rPr>
          <w:b/>
        </w:rPr>
        <w:t xml:space="preserve">Hong Kong.</w:t>
      </w:r>
      <w:r>
        <w:t xml:space="preserve"> O «não intervencionismo positivo» (Cowperthwaite, depois Haddon-Cave) é frequentemente descrito como laissez-faire, mas a literatura mostra que a política foi sempre mais complexa: Haddon-Cave usava o adjetivo «positivo» para legitimar intervenção seletiva, incluindo ensino gratuito, programa de habitação e construção do metro [72]. Schenk documenta que, no setor financeiro, a doutrina evoluiu para «na dúvida, não fazer nada» e que a fraca regulação gerou instabilidade [61]. Huque analisa a intervenção no mercado bolsista em 1998 [62]. Segundo dados de 2019, a despesa pública rondava 20% do PIB e crescia muito mais depressa do que o PIB (fontes compl. D, E). Críticos questionam se a doutrina travou a economia do conhecimento (fonte compl. F).</w:t>
      </w:r>
    </w:p>
    <w:p>
      <w:pPr/>
      <w:r>
        <w:rPr>
          <w:b/>
        </w:rPr>
        <w:t xml:space="preserve">Singapura.</w:t>
      </w:r>
      <w:r>
        <w:t xml:space="preserve"> Despesa pública na ordem dos 17–18% do PIB (fonte compl. G), mas com uma pegada estatal considerável:</w:t>
      </w:r>
    </w:p>
    <w:p>
      <w:pPr>
        <w:pStyle w:val="ListParagraph"/>
        <w:numPr>
          <w:ilvl w:val="0"/>
          <w:numId w:val="5"/>
        </w:numPr>
      </w:pPr>
      <w:r>
        <w:t xml:space="preserve">A Temasek detém participações em empresas ligadas ao Governo (GLC), entre as maiores do país (Singapore Airlines, DBS, SingTel, SMRT) [55][57]. Chen conclui que o modelo Temasek tem governação relativamente boa, mas que a sua transposição para outros países é improvável sem condições institucionais semelhantes [55]. Sim, Thomsen e Yeong descrevem as GLC como bem geridas e rentáveis [56].</w:t>
      </w:r>
    </w:p>
    <w:p>
      <w:pPr>
        <w:pStyle w:val="ListParagraph"/>
        <w:numPr>
          <w:ilvl w:val="0"/>
          <w:numId w:val="5"/>
        </w:numPr>
      </w:pPr>
      <w:r>
        <w:t xml:space="preserve">Mais de 80% dos residentes vivem em apartamentos da HDB, sendo a terra efetivamente nacionalizada e a compra financiada pela poupança compulsória CPF [59][60].</w:t>
      </w:r>
    </w:p>
    <w:p>
      <w:pPr>
        <w:pStyle w:val="ListParagraph"/>
        <w:numPr>
          <w:ilvl w:val="0"/>
          <w:numId w:val="5"/>
        </w:numPr>
      </w:pPr>
      <w:r>
        <w:t xml:space="preserve">Chua descreve um «bem-estar baseado em ativos»: subsídio público que alimenta acumulação privada [59]; Greener e Yeo veem o CPF como mecanismo que reproduz desigualdades [60].</w:t>
      </w:r>
    </w:p>
    <w:p>
      <w:pPr/>
      <w:r>
        <w:t xml:space="preserve">Singapura mostra que </w:t>
      </w:r>
      <w:r>
        <w:rPr>
          <w:b/>
        </w:rPr>
        <w:t xml:space="preserve">baixo orçamento não implica Estado mínimo</w:t>
      </w:r>
      <w:r>
        <w:t xml:space="preserve">.</w:t>
      </w:r>
    </w:p>
    <w:p>
      <w:pPr/>
      <w:r>
        <w:rPr>
          <w:b/>
        </w:rPr>
        <w:t xml:space="preserve">Suíça.</w:t>
      </w:r>
      <w:r>
        <w:t xml:space="preserve"> Despesa pública em torno de 34–35% do PIB (fontes compl. H, I), federalismo fiscal, referendos fiscais e o «travão da dívida» constitucional. Kirchgässner e Feld encontram nos cantões que restrições fiscais reduzem os défices e que a democracia direta reduz a dívida [45]; Danninger analisa a regra federal [46]; Burret e Feld estudam o efeito sobre os municípios [47].</w:t>
      </w:r>
    </w:p>
    <w:p>
      <w:pPr/>
      <w:r>
        <w:rPr>
          <w:b/>
        </w:rPr>
        <w:t xml:space="preserve">Estados reformadores.</w:t>
      </w:r>
      <w:r>
        <w:t xml:space="preserve"> Nova Zelândia [29][30], Estónia e Letónia [31], Geórgia [32][33] e Chile [26][27][28] ilustram liberalizações rápidas, com resultados contestados: no Chile, crescimento elevado após meados dos anos 80, mas também desigualdade e concentração [26]; críticos falam de «custo social» [28]. O estudo de controlo sintético sobre a Geórgia conclui que as reformas favoreceram o desenvolvimento com efeitos adversos temporários [32].</w:t>
      </w:r>
    </w:p>
    <w:p>
      <w:pPr/>
      <w:r>
        <w:rPr>
          <w:b/>
        </w:rPr>
        <w:t xml:space="preserve">Contra-exemplos.</w:t>
      </w:r>
      <w:r>
        <w:t xml:space="preserve"> Na região do Golfo, as empresas públicas representam 20–50% do valor acrescentado, e, segundo a OCDE, cerca de metade da atividade económica no Médio Oriente e Norte de África [74].</w:t>
      </w:r>
    </w:p>
    <w:p>
      <w:pPr>
        <w:pStyle w:val="Heading2"/>
      </w:pPr>
      <w:r>
        <w:t xml:space="preserve">4. Onde a iniciativa privada tem mais peso</w:t>
      </w:r>
    </w:p>
    <w:p>
      <w:pPr>
        <w:pStyle w:val="Heading3"/>
      </w:pPr>
      <w:r>
        <w:t xml:space="preserve">4.1 O problema da medição</w:t>
      </w:r>
    </w:p>
    <w:p>
      <w:pPr/>
      <w:r>
        <w:t xml:space="preserve">Não existe uma série única, atual e comparável da «quota do setor privado no PIB». Os trabalhos disponíveis mostram porquê: a definição de empresa pública difere entre países [52], o setor estatal inclui empresas, administração pública e participações minoritárias de controlo [53][54], e a classificação de «privado» é disputada. Na China, por exemplo, a estimativa oficial de mais de 60% do PIB para o setor privado coexiste com análises que incluem empresas parcialmente estatais e chegam a valores muito diferentes [63][64][65]; a diferença reflete sobretudo definições diferentes de «privado» (fonte compl. J).</w:t>
      </w:r>
    </w:p>
    <w:p>
      <w:pPr>
        <w:pStyle w:val="Heading3"/>
      </w:pPr>
      <w:r>
        <w:t xml:space="preserve">4.2 Evidência disponível por país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4"/>
        <w:gridCol w:w="4920"/>
        <w:gridCol w:w="1786"/>
      </w:tblGrid>
      <w:tr>
        <w:trPr>
          <w:tblHeader/>
        </w:trPr>
        <w:tc>
          <w:tcPr>
            <w:tcW w:w="2654" w:type="dxa"/>
            <w:shd w:val="clear" w:color="auto" w:fill="F2F2F2"/>
          </w:tcPr>
          <w:p>
            <w:pPr/>
            <w:r>
              <w:t xml:space="preserve">País / região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Estimativa de peso do Estado</w:t>
            </w:r>
          </w:p>
        </w:tc>
        <w:tc>
          <w:tcPr>
            <w:tcW w:w="1786" w:type="dxa"/>
            <w:shd w:val="clear" w:color="auto" w:fill="F2F2F2"/>
          </w:tcPr>
          <w:p>
            <w:pPr/>
            <w:r>
              <w:t xml:space="preserve">Fonte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China</w:t>
            </w:r>
          </w:p>
        </w:tc>
        <w:tc>
          <w:tcPr>
            <w:tcW w:w="4920" w:type="dxa"/>
          </w:tcPr>
          <w:p>
            <w:pPr/>
            <w:r>
              <w:t xml:space="preserve">Setor privado «mais de 60% do PIB» (argumento oficial); SOE em ~23% do PIB em 2017 por abordagem residual do Banco Mundial; USCC estima cerca de 50% do PIB sob propriedade e controlo estatal</w:t>
            </w:r>
          </w:p>
        </w:tc>
        <w:tc>
          <w:tcPr>
            <w:tcW w:w="1786" w:type="dxa"/>
          </w:tcPr>
          <w:p>
            <w:pPr/>
            <w:r>
              <w:t xml:space="preserve">[63][64][65]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Rússia</w:t>
            </w:r>
          </w:p>
        </w:tc>
        <w:tc>
          <w:tcPr>
            <w:tcW w:w="4920" w:type="dxa"/>
          </w:tcPr>
          <w:p>
            <w:pPr/>
            <w:r>
              <w:t xml:space="preserve">Setor estatal ~46% do PIB em 2018 (RANEPA); 33–34% segundo estudos citados no FMI; ~40% do valor acrescentado formal</w:t>
            </w:r>
          </w:p>
        </w:tc>
        <w:tc>
          <w:tcPr>
            <w:tcW w:w="1786" w:type="dxa"/>
          </w:tcPr>
          <w:p>
            <w:pPr/>
            <w:r>
              <w:t xml:space="preserve">[53][54]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Golfo</w:t>
            </w:r>
          </w:p>
        </w:tc>
        <w:tc>
          <w:tcPr>
            <w:tcW w:w="4920" w:type="dxa"/>
          </w:tcPr>
          <w:p>
            <w:pPr/>
            <w:r>
              <w:t xml:space="preserve">SOE: 20–50% do valor acrescentado</w:t>
            </w:r>
          </w:p>
        </w:tc>
        <w:tc>
          <w:tcPr>
            <w:tcW w:w="1786" w:type="dxa"/>
          </w:tcPr>
          <w:p>
            <w:pPr/>
            <w:r>
              <w:t xml:space="preserve">[74]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Butão</w:t>
            </w:r>
          </w:p>
        </w:tc>
        <w:tc>
          <w:tcPr>
            <w:tcW w:w="4920" w:type="dxa"/>
          </w:tcPr>
          <w:p>
            <w:pPr/>
            <w:r>
              <w:t xml:space="preserve">SOE: 22% do PIB (2025)</w:t>
            </w:r>
          </w:p>
        </w:tc>
        <w:tc>
          <w:tcPr>
            <w:tcW w:w="1786" w:type="dxa"/>
          </w:tcPr>
          <w:p>
            <w:pPr/>
            <w:r>
              <w:t xml:space="preserve">fonte compl. K</w:t>
            </w:r>
          </w:p>
        </w:tc>
      </w:tr>
      <w:tr>
        <w:tc>
          <w:tcPr>
            <w:tcW w:w="2654" w:type="dxa"/>
          </w:tcPr>
          <w:p>
            <w:pPr/>
            <w:r>
              <w:t xml:space="preserve">OCDE (27 países, 2008–09)</w:t>
            </w:r>
          </w:p>
        </w:tc>
        <w:tc>
          <w:tcPr>
            <w:tcW w:w="4920" w:type="dxa"/>
          </w:tcPr>
          <w:p>
            <w:pPr/>
            <w:r>
              <w:t xml:space="preserve">&gt;6 milhões de empregados em SOE; valor ~2 biliões USD</w:t>
            </w:r>
          </w:p>
        </w:tc>
        <w:tc>
          <w:tcPr>
            <w:tcW w:w="1786" w:type="dxa"/>
          </w:tcPr>
          <w:p>
            <w:pPr/>
            <w:r>
              <w:t xml:space="preserve">[51]</w:t>
            </w:r>
          </w:p>
        </w:tc>
      </w:tr>
    </w:tbl>
    <w:p>
      <w:pPr/>
      <w:r>
        <w:rPr>
          <w:b/>
        </w:rPr>
        <w:t xml:space="preserve">Países onde, por inferência, o peso do privado é maior</w:t>
      </w:r>
      <w:r>
        <w:t xml:space="preserve">: os que combinam baixa despesa pública, baixa presença de empresas públicas e liderança nos índices de liberdade económica (Hong Kong, Suíça, Nova Zelândia, EUA, Irlanda, Austrália, Taiwan, Estónia). Trata-se de </w:t>
      </w:r>
      <w:r>
        <w:rPr>
          <w:b/>
        </w:rPr>
        <w:t xml:space="preserve">inferência a partir de proxies</w:t>
      </w:r>
      <w:r>
        <w:t xml:space="preserve">; Singapura fica de fora desta lista pelas razões da secção 3.2. O dataset da OCDE sobre dimensão das empresas públicas em 40 países [50] seria a fonte primária para fechar esta lacuna, e recomendo extrair os valores por país numa fase seguinte.</w:t>
      </w:r>
    </w:p>
    <w:p>
      <w:pPr>
        <w:pStyle w:val="Heading2"/>
      </w:pPr>
      <w:r>
        <w:t xml:space="preserve">5. Evidência sobre tamanho do Estado, crescimento e bem-estar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6"/>
        <w:gridCol w:w="4920"/>
        <w:gridCol w:w="1424"/>
      </w:tblGrid>
      <w:tr>
        <w:trPr>
          <w:tblHeader/>
        </w:trPr>
        <w:tc>
          <w:tcPr>
            <w:tcW w:w="3016" w:type="dxa"/>
            <w:shd w:val="clear" w:color="auto" w:fill="F2F2F2"/>
          </w:tcPr>
          <w:p>
            <w:pPr/>
            <w:r>
              <w:t xml:space="preserve">Estudo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Ref.</w:t>
            </w:r>
          </w:p>
        </w:tc>
      </w:tr>
      <w:tr>
        <w:tc>
          <w:tcPr>
            <w:tcW w:w="3016" w:type="dxa"/>
          </w:tcPr>
          <w:p>
            <w:pPr/>
            <w:r>
              <w:t xml:space="preserve">Barro (1990)</w:t>
            </w:r>
          </w:p>
        </w:tc>
        <w:tc>
          <w:tcPr>
            <w:tcW w:w="4920" w:type="dxa"/>
          </w:tcPr>
          <w:p>
            <w:pPr/>
            <w:r>
              <w:t xml:space="preserve">Modelo com curva em U invertido: despesa produtiva favorece o crescimento até um ponto, e depois prejudica por via fiscal</w:t>
            </w:r>
          </w:p>
        </w:tc>
        <w:tc>
          <w:tcPr>
            <w:tcW w:w="1424" w:type="dxa"/>
          </w:tcPr>
          <w:p>
            <w:pPr/>
            <w:r>
              <w:t xml:space="preserve">[35]</w:t>
            </w:r>
          </w:p>
        </w:tc>
      </w:tr>
      <w:tr>
        <w:tc>
          <w:tcPr>
            <w:tcW w:w="3016" w:type="dxa"/>
          </w:tcPr>
          <w:p>
            <w:pPr/>
            <w:r>
              <w:t xml:space="preserve">Gwartney, Lawson e Holcombe (1998)</w:t>
            </w:r>
          </w:p>
        </w:tc>
        <w:tc>
          <w:tcPr>
            <w:tcW w:w="4920" w:type="dxa"/>
          </w:tcPr>
          <w:p>
            <w:pPr/>
            <w:r>
              <w:t xml:space="preserve">Relação negativa persistente entre despesa pública e crescimento na OCDE e numa amostra de 60 países</w:t>
            </w:r>
          </w:p>
        </w:tc>
        <w:tc>
          <w:tcPr>
            <w:tcW w:w="1424" w:type="dxa"/>
          </w:tcPr>
          <w:p>
            <w:pPr/>
            <w:r>
              <w:t xml:space="preserve">[36]</w:t>
            </w:r>
          </w:p>
        </w:tc>
      </w:tr>
      <w:tr>
        <w:tc>
          <w:tcPr>
            <w:tcW w:w="3016" w:type="dxa"/>
          </w:tcPr>
          <w:p>
            <w:pPr/>
            <w:r>
              <w:t xml:space="preserve">Bergh e Henrekson (2011)</w:t>
            </w:r>
          </w:p>
        </w:tc>
        <w:tc>
          <w:tcPr>
            <w:tcW w:w="4920" w:type="dxa"/>
          </w:tcPr>
          <w:p>
            <w:pPr/>
            <w:r>
              <w:t xml:space="preserve">Países ricos, painel: +10 p.p. de dimensão do governo associado a −0,5 a −1 p.p. de crescimento anual; cautelas com causalidade; países com impostos altos compensam com políticas de mercado ou confiança social</w:t>
            </w:r>
          </w:p>
        </w:tc>
        <w:tc>
          <w:tcPr>
            <w:tcW w:w="1424" w:type="dxa"/>
          </w:tcPr>
          <w:p>
            <w:pPr/>
            <w:r>
              <w:t xml:space="preserve">[37]</w:t>
            </w:r>
          </w:p>
        </w:tc>
      </w:tr>
      <w:tr>
        <w:tc>
          <w:tcPr>
            <w:tcW w:w="3016" w:type="dxa"/>
          </w:tcPr>
          <w:p>
            <w:pPr/>
            <w:r>
              <w:t xml:space="preserve">Churchill, Ugur e Yew (2017)</w:t>
            </w:r>
          </w:p>
        </w:tc>
        <w:tc>
          <w:tcPr>
            <w:tcW w:w="4920" w:type="dxa"/>
          </w:tcPr>
          <w:p>
            <w:pPr/>
            <w:r>
              <w:t xml:space="preserve">Meta-regressão de 87 estudos (799 estimativas): efeito negativo nos países desenvolvidos, insignificante nos menos desenvolvidos; possível viés de endogeneidade</w:t>
            </w:r>
          </w:p>
        </w:tc>
        <w:tc>
          <w:tcPr>
            <w:tcW w:w="1424" w:type="dxa"/>
          </w:tcPr>
          <w:p>
            <w:pPr/>
            <w:r>
              <w:t xml:space="preserve">[38]</w:t>
            </w:r>
          </w:p>
        </w:tc>
      </w:tr>
      <w:tr>
        <w:tc>
          <w:tcPr>
            <w:tcW w:w="3016" w:type="dxa"/>
          </w:tcPr>
          <w:p>
            <w:pPr/>
            <w:r>
              <w:t xml:space="preserve">Estudo de limiar (</w:t>
            </w:r>
            <w:r>
              <w:rPr>
                <w:i/>
              </w:rPr>
              <w:t xml:space="preserve">Economics Letters</w:t>
            </w:r>
            <w:r>
              <w:t xml:space="preserve">, 2016)</w:t>
            </w:r>
          </w:p>
        </w:tc>
        <w:tc>
          <w:tcPr>
            <w:tcW w:w="4920" w:type="dxa"/>
          </w:tcPr>
          <w:p>
            <w:pPr/>
            <w:r>
              <w:t xml:space="preserve">Limiar ótimo estimado de 18,04% do PIB na amostra completa</w:t>
            </w:r>
          </w:p>
        </w:tc>
        <w:tc>
          <w:tcPr>
            <w:tcW w:w="1424" w:type="dxa"/>
          </w:tcPr>
          <w:p>
            <w:pPr/>
            <w:r>
              <w:t xml:space="preserve">[43]</w:t>
            </w:r>
          </w:p>
        </w:tc>
      </w:tr>
      <w:tr>
        <w:tc>
          <w:tcPr>
            <w:tcW w:w="3016" w:type="dxa"/>
          </w:tcPr>
          <w:p>
            <w:pPr/>
            <w:r>
              <w:t xml:space="preserve">Lindert (2003)</w:t>
            </w:r>
          </w:p>
        </w:tc>
        <w:tc>
          <w:tcPr>
            <w:tcW w:w="4920" w:type="dxa"/>
          </w:tcPr>
          <w:p>
            <w:pPr/>
            <w:r>
              <w:t xml:space="preserve">Não há custo líquido claro em PIB da despesa social financiada por impostos; Bergh contesta o enquadramento no caso sueco</w:t>
            </w:r>
          </w:p>
        </w:tc>
        <w:tc>
          <w:tcPr>
            <w:tcW w:w="1424" w:type="dxa"/>
          </w:tcPr>
          <w:p>
            <w:pPr/>
            <w:r>
              <w:t xml:space="preserve">[39][40][41]</w:t>
            </w:r>
          </w:p>
        </w:tc>
      </w:tr>
      <w:tr>
        <w:tc>
          <w:tcPr>
            <w:tcW w:w="3016" w:type="dxa"/>
          </w:tcPr>
          <w:p>
            <w:pPr/>
            <w:r>
              <w:t xml:space="preserve">Lawson, Miozzi e Tuszynski (2024)</w:t>
            </w:r>
          </w:p>
        </w:tc>
        <w:tc>
          <w:tcPr>
            <w:tcW w:w="4920" w:type="dxa"/>
          </w:tcPr>
          <w:p>
            <w:pPr/>
            <w:r>
              <w:t xml:space="preserve">54 artigos sobre liberdade económica e crescimento: relação positiva com crescimento, rendimento e investimento; nível de liberdade sem relação com desigualdade</w:t>
            </w:r>
          </w:p>
        </w:tc>
        <w:tc>
          <w:tcPr>
            <w:tcW w:w="1424" w:type="dxa"/>
          </w:tcPr>
          <w:p>
            <w:pPr/>
            <w:r>
              <w:t xml:space="preserve">[42]</w:t>
            </w:r>
          </w:p>
        </w:tc>
      </w:tr>
      <w:tr>
        <w:tc>
          <w:tcPr>
            <w:tcW w:w="3016" w:type="dxa"/>
          </w:tcPr>
          <w:p>
            <w:pPr/>
            <w:r>
              <w:t xml:space="preserve">Armey curve — revisão</w:t>
            </w:r>
          </w:p>
        </w:tc>
        <w:tc>
          <w:tcPr>
            <w:tcW w:w="4920" w:type="dxa"/>
          </w:tcPr>
          <w:p>
            <w:pPr/>
            <w:r>
              <w:t xml:space="preserve">Evidência empírica de curva em U invertido, com limiares muito diferentes por país</w:t>
            </w:r>
          </w:p>
        </w:tc>
        <w:tc>
          <w:tcPr>
            <w:tcW w:w="1424" w:type="dxa"/>
          </w:tcPr>
          <w:p>
            <w:pPr/>
            <w:r>
              <w:t xml:space="preserve">[44]</w:t>
            </w:r>
          </w:p>
        </w:tc>
      </w:tr>
    </w:tbl>
    <w:p>
      <w:pPr/>
      <w:r>
        <w:t xml:space="preserve">Tanzi e Schuknecht, segundo uma recensão, defendem que a despesa pública nos países industriais deveria baixar para 25–35% do PIB, valores de 1960 (fonte compl. L) [20].</w:t>
      </w:r>
    </w:p>
    <w:p>
      <w:pPr/>
      <w:r>
        <w:rPr>
          <w:b/>
        </w:rPr>
        <w:t xml:space="preserve">Leitura equilibrada.</w:t>
      </w:r>
      <w:r>
        <w:t xml:space="preserve"> Há consenso razoável de que </w:t>
      </w:r>
      <w:r>
        <w:rPr>
          <w:b/>
        </w:rPr>
        <w:t xml:space="preserve">as instituições</w:t>
      </w:r>
      <w:r>
        <w:t xml:space="preserve"> (Estado de direito, propriedade, moeda estável, abertura) importam mais do que o tamanho em si [37][42]. O efeito do tamanho é mais robusto nos países ricos, é sensível a endogeneidade [38] e depende de como o Estado gasta [37][39]. A afirmação «menos Estado, mais crescimento» é, por isso, mais fraca do que sugerem os </w:t>
      </w:r>
      <w:r>
        <w:rPr>
          <w:i/>
        </w:rPr>
        <w:t xml:space="preserve">think tanks</w:t>
      </w:r>
      <w:r>
        <w:t xml:space="preserve">, e a oposta («mais Estado não custa nada») também não está estabelecida.</w:t>
      </w:r>
    </w:p>
    <w:p>
      <w:pPr>
        <w:pStyle w:val="Heading2"/>
      </w:pPr>
      <w:r>
        <w:t xml:space="preserve">6. Perspetivas críticas e alternativas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Estado empreendedor.</w:t>
      </w:r>
      <w:r>
        <w:t xml:space="preserve"> Mazzucato defende que o setor público assumiu os riscos mais altos em inovação [66]. Mingardi e outros contestam a robustez histórica e apontam a economia política dos subsídios [67][68].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Capitalismo de Estado híbrido.</w:t>
      </w:r>
      <w:r>
        <w:t xml:space="preserve"> Musacchio e Lazzarini mostram, a partir do Brasil, que modelos em que o Estado é acionista maioritário ou minoritário coexistem com propriedade privada, tornando a oposição binária obsoleta [48]. Kowalski et al. documentam implicações comerciais das empresas públicas [49]. Kwiatkowski discute o suposto regresso das empresas públicas [52].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Estado forte e limitado.</w:t>
      </w:r>
      <w:r>
        <w:t xml:space="preserve"> Acemoglu e Robinson veem na capacidade estatal uma condição de liberdade, desde que a sociedade a mantenha «acorrentada» [18]; um teste empírico recente encontra pouca evidência a favor da tese [19].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Neoliberalismo como família.</w:t>
      </w:r>
      <w:r>
        <w:t xml:space="preserve"> Maillet distingue variedades de neoliberalismo (ortodoxa, regulada, emuladora, mista), uma forma de pensar o Estado em mercados que não se reduz ao eixo «mais/menos» [27].</w:t>
      </w:r>
    </w:p>
    <w:p>
      <w:pPr>
        <w:pStyle w:val="Heading2"/>
      </w:pPr>
      <w:r>
        <w:t xml:space="preserve">7. Conclusões</w:t>
      </w:r>
    </w:p>
    <w:p>
      <w:pPr>
        <w:pStyle w:val="ListParagraph"/>
        <w:numPr>
          <w:ilvl w:val="0"/>
          <w:numId w:val="7"/>
        </w:numPr>
      </w:pPr>
      <w:r>
        <w:t xml:space="preserve">O Estado mínimo é, sobretudo, </w:t>
      </w:r>
      <w:r>
        <w:rPr>
          <w:b/>
        </w:rPr>
        <w:t xml:space="preserve">um conceito normativo</w:t>
      </w:r>
      <w:r>
        <w:t xml:space="preserve">. Nenhum país o realiza; mesmo os mais liberais mantêm saúde, educação e habitação públicas em graus diversos.</w:t>
      </w:r>
    </w:p>
    <w:p>
      <w:pPr>
        <w:pStyle w:val="ListParagraph"/>
        <w:numPr>
          <w:ilvl w:val="0"/>
          <w:numId w:val="7"/>
        </w:numPr>
      </w:pPr>
      <w:r>
        <w:t xml:space="preserve">Para comparação empírica, é melhor falar de </w:t>
      </w:r>
      <w:r>
        <w:rPr>
          <w:b/>
        </w:rPr>
        <w:t xml:space="preserve">Estados limitados</w:t>
      </w:r>
      <w:r>
        <w:t xml:space="preserve"> e medir três dimensões separadas: funções, orçamento e pegada empresarial.</w:t>
      </w:r>
    </w:p>
    <w:p>
      <w:pPr>
        <w:pStyle w:val="ListParagraph"/>
        <w:numPr>
          <w:ilvl w:val="0"/>
          <w:numId w:val="7"/>
        </w:numPr>
      </w:pPr>
      <w:r>
        <w:t xml:space="preserve">Os países que lideram a liberdade económica são pequenos e abertos e têm instituições fortes. Parte do seu sucesso pode dever-se a fatores que o tamanho do Estado não explica (portos livres, segurança jurídica, escala), e a transposição para economias maiores é incerta.</w:t>
      </w:r>
    </w:p>
    <w:p>
      <w:pPr>
        <w:pStyle w:val="ListParagraph"/>
        <w:numPr>
          <w:ilvl w:val="0"/>
          <w:numId w:val="7"/>
        </w:numPr>
      </w:pPr>
      <w:r>
        <w:t xml:space="preserve">O peso da iniciativa privada é mais bem aferido com </w:t>
      </w:r>
      <w:r>
        <w:rPr>
          <w:b/>
        </w:rPr>
        <w:t xml:space="preserve">dados de empresas públicas e de despesa</w:t>
      </w:r>
      <w:r>
        <w:t xml:space="preserve">, não com índices de perceção; há uma lacuna de dados comparáveis que vale a pena preencher.</w:t>
      </w:r>
    </w:p>
    <w:p>
      <w:pPr>
        <w:pStyle w:val="ListParagraph"/>
        <w:numPr>
          <w:ilvl w:val="0"/>
          <w:numId w:val="7"/>
        </w:numPr>
      </w:pPr>
      <w:r>
        <w:t xml:space="preserve">A literatura empírica sobre tamanho e crescimento é suficientemente heterogénea para que conclusões categóricas, a favor ou contra, sejam injustificadas.</w:t>
      </w:r>
    </w:p>
    <w:p>
      <w:pPr>
        <w:pStyle w:val="Heading3"/>
      </w:pPr>
      <w:r>
        <w:t xml:space="preserve">Próximos passos sugeridos</w:t>
      </w:r>
    </w:p>
    <w:p>
      <w:pPr>
        <w:pStyle w:val="ListParagraph"/>
        <w:numPr>
          <w:ilvl w:val="0"/>
          <w:numId w:val="8"/>
        </w:numPr>
      </w:pPr>
      <w:r>
        <w:t xml:space="preserve">Extrair do dataset OCDE (2017) a quota de SOE por país e cruzá-la com a despesa pública/PIB atual do FMI.</w:t>
      </w:r>
    </w:p>
    <w:p>
      <w:pPr>
        <w:pStyle w:val="ListParagraph"/>
        <w:numPr>
          <w:ilvl w:val="0"/>
          <w:numId w:val="8"/>
        </w:numPr>
      </w:pPr>
      <w:r>
        <w:t xml:space="preserve">Atualizar os valores de despesa pública de Hong Kong, Singapura e Suíça.</w:t>
      </w:r>
    </w:p>
    <w:p>
      <w:pPr>
        <w:pStyle w:val="ListParagraph"/>
        <w:numPr>
          <w:ilvl w:val="0"/>
          <w:numId w:val="8"/>
        </w:numPr>
      </w:pPr>
      <w:r>
        <w:t xml:space="preserve">Ler integralmente os 10 a 15 artigos centrais (Nozick, Bergh e Henrekson, Churchill et al., Lindert, Musacchio e Lazzarini, Chen, Chua).</w:t>
      </w:r>
    </w:p>
    <w:p>
      <w:pPr>
        <w:pStyle w:val="Heading2"/>
      </w:pPr>
      <w:r>
        <w:t xml:space="preserve">8. Proposta de apresentação visual (14 diapositivos)</w:t>
      </w:r>
    </w:p>
    <w:p>
      <w:pPr/>
      <w:r>
        <w:rPr>
          <w:b/>
        </w:rPr>
        <w:t xml:space="preserve">Conceito visual:</w:t>
      </w:r>
      <w:r>
        <w:t xml:space="preserve"> um «vigia noturno» minimalista como motivo recorrente, que vai ganhando mais elementos (lanterna, chaves, edifícios) à medida que os casos mostram Estados mais complexos. Paleta sóbria (azul-noite, âmbar, branco), um número grande por diapositivo e pouco texto.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Diapositivo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Visual sugerido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«Existe um Estado mínimo?»</w:t>
            </w:r>
          </w:p>
        </w:tc>
        <w:tc>
          <w:tcPr>
            <w:tcW w:w="4920" w:type="dxa"/>
          </w:tcPr>
          <w:p>
            <w:pPr/>
            <w:r>
              <w:t xml:space="preserve">Silhueta do vigia noturno sob um candeeiro; título e pergunta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Definição em três funções</w:t>
            </w:r>
          </w:p>
        </w:tc>
        <w:tc>
          <w:tcPr>
            <w:tcW w:w="4920" w:type="dxa"/>
          </w:tcPr>
          <w:p>
            <w:pPr/>
            <w:r>
              <w:t xml:space="preserve">Três ícones: polícia, tribunal, defesa; ideia central de Nozick parafraseada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De Smith a Nozick</w:t>
            </w:r>
          </w:p>
        </w:tc>
        <w:tc>
          <w:tcPr>
            <w:tcW w:w="4920" w:type="dxa"/>
          </w:tcPr>
          <w:p>
            <w:pPr/>
            <w:r>
              <w:t xml:space="preserve">Linha do tempo horizontal 1776–2026 com 10 marcos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O espectro filosófico</w:t>
            </w:r>
          </w:p>
        </w:tc>
        <w:tc>
          <w:tcPr>
            <w:tcW w:w="4920" w:type="dxa"/>
          </w:tcPr>
          <w:p>
            <w:pPr/>
            <w:r>
              <w:t xml:space="preserve">Barra horizontal: anarquismo — Estado mínimo — liberalismo clássico — Estado social — capitalismo de Estado, com um autor em cada posição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Três dimensões do Estado</w:t>
            </w:r>
          </w:p>
        </w:tc>
        <w:tc>
          <w:tcPr>
            <w:tcW w:w="4920" w:type="dxa"/>
          </w:tcPr>
          <w:p>
            <w:pPr/>
            <w:r>
              <w:t xml:space="preserve">Triângulo/radar: funções, orçamento, pegada empresarial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Mapa-mundo da liberdade económica 2026</w:t>
            </w:r>
          </w:p>
        </w:tc>
        <w:tc>
          <w:tcPr>
            <w:tcW w:w="4920" w:type="dxa"/>
          </w:tcPr>
          <w:p>
            <w:pPr/>
            <w:r>
              <w:t xml:space="preserve">Mapa coroplético EFW com os 10 melhores destacados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Despesa pública/PIB</w:t>
            </w:r>
          </w:p>
        </w:tc>
        <w:tc>
          <w:tcPr>
            <w:tcW w:w="4920" w:type="dxa"/>
          </w:tcPr>
          <w:p>
            <w:pPr/>
            <w:r>
              <w:t xml:space="preserve">Barras horizontais (Singapura, Hong Kong, Suíça, EUA, Alemanha, França) com dados FMI atualizados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Hong Kong: «não intervencionismo positivo»</w:t>
            </w:r>
          </w:p>
        </w:tc>
        <w:tc>
          <w:tcPr>
            <w:tcW w:w="4920" w:type="dxa"/>
          </w:tcPr>
          <w:p>
            <w:pPr/>
            <w:r>
              <w:t xml:space="preserve">Duas colunas: o que se diz vs. o que foi feito (metro, habitação, ensino)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Singapura: o paradoxo</w:t>
            </w:r>
          </w:p>
        </w:tc>
        <w:tc>
          <w:tcPr>
            <w:tcW w:w="4920" w:type="dxa"/>
          </w:tcPr>
          <w:p>
            <w:pPr/>
            <w:r>
              <w:t xml:space="preserve">Barra pequena (orçamento) ao lado de barra grande (Temasek, HDB, CPF)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Reformas em 4 países</w:t>
            </w:r>
          </w:p>
        </w:tc>
        <w:tc>
          <w:tcPr>
            <w:tcW w:w="4920" w:type="dxa"/>
          </w:tcPr>
          <w:p>
            <w:pPr/>
            <w:r>
              <w:t xml:space="preserve">Mini-linhas do tempo: Nova Zelândia, Chile, Estónia, Geórgia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Quanto pesa o Estado?</w:t>
            </w:r>
          </w:p>
        </w:tc>
        <w:tc>
          <w:tcPr>
            <w:tcW w:w="4920" w:type="dxa"/>
          </w:tcPr>
          <w:p>
            <w:pPr/>
            <w:r>
              <w:t xml:space="preserve">Barras com intervalos: China, Rússia, Golfo, Butão; legenda sobre definições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Tamanho e crescimento</w:t>
            </w:r>
          </w:p>
        </w:tc>
        <w:tc>
          <w:tcPr>
            <w:tcW w:w="4920" w:type="dxa"/>
          </w:tcPr>
          <w:p>
            <w:pPr/>
            <w:r>
              <w:t xml:space="preserve">Curva em U invertido (Barro/Armey) com o intervalo de estimativas de limiar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O que a meta-análise diz</w:t>
            </w:r>
          </w:p>
        </w:tc>
        <w:tc>
          <w:tcPr>
            <w:tcW w:w="4920" w:type="dxa"/>
          </w:tcPr>
          <w:p>
            <w:pPr/>
            <w:r>
              <w:rPr>
                <w:i/>
              </w:rPr>
              <w:t xml:space="preserve">Forest plot</w:t>
            </w:r>
            <w:r>
              <w:t xml:space="preserve"> simplificado: países ricos vs. países em desenvolvimento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Três mensagens e perguntas em aberto</w:t>
            </w:r>
          </w:p>
        </w:tc>
        <w:tc>
          <w:tcPr>
            <w:tcW w:w="4920" w:type="dxa"/>
          </w:tcPr>
          <w:p>
            <w:pPr/>
            <w:r>
              <w:t xml:space="preserve">Três números-chave e uma pergunta final</w:t>
            </w:r>
          </w:p>
        </w:tc>
      </w:tr>
    </w:tbl>
    <w:p>
      <w:pPr>
        <w:pStyle w:val="Heading2"/>
      </w:pPr>
      <w:r>
        <w:t xml:space="preserve">Bibliografia</w:t>
      </w:r>
    </w:p>
    <w:p>
      <w:pPr/>
      <w:r>
        <w:rPr>
          <w:b/>
        </w:rPr>
        <w:t xml:space="preserve">Legenda:</w:t>
      </w:r>
      <w:r>
        <w:t xml:space="preserve"> [A] artigo, capítulo ou </w:t>
      </w:r>
      <w:r>
        <w:rPr>
          <w:i/>
        </w:rPr>
        <w:t xml:space="preserve">working paper</w:t>
      </w:r>
      <w:r>
        <w:t xml:space="preserve"> académico · [L] livro · [R] relatório ou ensaio institucional. Resumos e excertos consultados online; texto integral não lido, salvo indicação.</w:t>
      </w:r>
    </w:p>
    <w:p>
      <w:pPr>
        <w:pStyle w:val="Heading3"/>
      </w:pPr>
      <w:r>
        <w:t xml:space="preserve">Conceito e filosofia política</w:t>
      </w:r>
    </w:p>
    <w:p>
      <w:pPr>
        <w:pStyle w:val="ListParagraph"/>
        <w:numPr>
          <w:ilvl w:val="0"/>
          <w:numId w:val="9"/>
        </w:numPr>
      </w:pPr>
      <w:r>
        <w:t xml:space="preserve">[L] Nozick, R. (1974). </w:t>
      </w:r>
      <w:r>
        <w:rPr>
          <w:i/>
        </w:rPr>
        <w:t xml:space="preserve">Anarchy, State, and Utopia</w:t>
      </w:r>
      <w:r>
        <w:t xml:space="preserve">. Basic Books.</w:t>
      </w:r>
    </w:p>
    <w:p>
      <w:pPr>
        <w:pStyle w:val="ListParagraph"/>
        <w:numPr>
          <w:ilvl w:val="0"/>
          <w:numId w:val="9"/>
        </w:numPr>
      </w:pPr>
      <w:r>
        <w:t xml:space="preserve">[A] Rothbard, M. N. (1977). Robert Nozick and the Immaculate Conception of the State. </w:t>
      </w:r>
      <w:r>
        <w:rPr>
          <w:i/>
        </w:rPr>
        <w:t xml:space="preserve">Journal of Libertarian Studies</w:t>
      </w:r>
      <w:r>
        <w:t xml:space="preserve">, 1(1), 45–57. https://mises.org/journal-libertarian-studies/robert-nozick-and-immaculate-conception-state</w:t>
      </w:r>
    </w:p>
    <w:p>
      <w:pPr>
        <w:pStyle w:val="ListParagraph"/>
        <w:numPr>
          <w:ilvl w:val="0"/>
          <w:numId w:val="9"/>
        </w:numPr>
      </w:pPr>
      <w:r>
        <w:t xml:space="preserve">[A] Warren, J. (2026). The Background, Failure, and Aftermath of Nozick's Attempt to Justify the State. </w:t>
      </w:r>
      <w:r>
        <w:rPr>
          <w:i/>
        </w:rPr>
        <w:t xml:space="preserve">Journal of Libertarian Studies</w:t>
      </w:r>
      <w:r>
        <w:t xml:space="preserve">, 30(1), 103–132. https://mises.org/journal-libertarian-studies/background-failure-and-aftermath-nozicks-attempt-justify-state</w:t>
      </w:r>
    </w:p>
    <w:p>
      <w:pPr>
        <w:pStyle w:val="ListParagraph"/>
        <w:numPr>
          <w:ilvl w:val="0"/>
          <w:numId w:val="9"/>
        </w:numPr>
      </w:pPr>
      <w:r>
        <w:t xml:space="preserve">[A] Block, W. E. (2002). The Libertarian Minimal State? A Critique of the Views of Nozick, Levin and Rand. </w:t>
      </w:r>
      <w:r>
        <w:rPr>
          <w:i/>
        </w:rPr>
        <w:t xml:space="preserve">Journal of Ayn Rand Studies</w:t>
      </w:r>
      <w:r>
        <w:t xml:space="preserve">. https://papers.ssrn.com/sol3/papers.cfm?abstract_id=1881074</w:t>
      </w:r>
    </w:p>
    <w:p>
      <w:pPr>
        <w:pStyle w:val="ListParagraph"/>
        <w:numPr>
          <w:ilvl w:val="0"/>
          <w:numId w:val="9"/>
        </w:numPr>
      </w:pPr>
      <w:r>
        <w:t xml:space="preserve">[A] Salahuddin, A. (2018). Robert Nozick's Entitlement Theory of Justice, Libertarian Rights and the Minimal State: A Critical Evaluation. </w:t>
      </w:r>
      <w:r>
        <w:rPr>
          <w:i/>
        </w:rPr>
        <w:t xml:space="preserve">Journal of Civil &amp; Legal Sciences</w:t>
      </w:r>
      <w:r>
        <w:t xml:space="preserve">, 7(1), 234. https://www.omicsonline.org/open-access/robert-nozick8217s-entitlement-theory-of-justice-libertarian-rights-and-the-minimal-state-a-critical-evaluation-2169-0170-1000234-97787.html</w:t>
      </w:r>
    </w:p>
    <w:p>
      <w:pPr>
        <w:pStyle w:val="ListParagraph"/>
        <w:numPr>
          <w:ilvl w:val="0"/>
          <w:numId w:val="9"/>
        </w:numPr>
      </w:pPr>
      <w:r>
        <w:t xml:space="preserve">[A] Sampson, G. Liberalism and Nozick's 'Minimal State'. https://grsampson.net/ALan.pdf</w:t>
      </w:r>
    </w:p>
    <w:p>
      <w:pPr>
        <w:pStyle w:val="ListParagraph"/>
        <w:numPr>
          <w:ilvl w:val="0"/>
          <w:numId w:val="9"/>
        </w:numPr>
      </w:pPr>
      <w:r>
        <w:t xml:space="preserve">[A] Pettit, P. (2015). Freedom and the state: Nanny or nightwatchman? </w:t>
      </w:r>
      <w:r>
        <w:rPr>
          <w:i/>
        </w:rPr>
        <w:t xml:space="preserve">Public Health</w:t>
      </w:r>
      <w:r>
        <w:t xml:space="preserve">, 129(8), 1055–1060. https://researchportalplus.anu.edu.au/en/publications/freedom-and-the-state-nanny-or-nightwatchman/</w:t>
      </w:r>
    </w:p>
    <w:p>
      <w:pPr>
        <w:pStyle w:val="ListParagraph"/>
        <w:numPr>
          <w:ilvl w:val="0"/>
          <w:numId w:val="9"/>
        </w:numPr>
      </w:pPr>
      <w:r>
        <w:t xml:space="preserve">[L] Cohen, G. A. (1995). </w:t>
      </w:r>
      <w:r>
        <w:rPr>
          <w:i/>
        </w:rPr>
        <w:t xml:space="preserve">Self-Ownership, Freedom and Equality</w:t>
      </w:r>
      <w:r>
        <w:t xml:space="preserve">. Cambridge University Press. Recensão: https://www.lrb.co.uk/v18/n21/david-miller/my-body-is-my-own</w:t>
      </w:r>
    </w:p>
    <w:p>
      <w:pPr>
        <w:pStyle w:val="ListParagraph"/>
        <w:numPr>
          <w:ilvl w:val="0"/>
          <w:numId w:val="9"/>
        </w:numPr>
      </w:pPr>
      <w:r>
        <w:t xml:space="preserve">[A] Cohen, G. A. Self-Ownership, World Ownership, and Equality: Part II. </w:t>
      </w:r>
      <w:r>
        <w:rPr>
          <w:i/>
        </w:rPr>
        <w:t xml:space="preserve">Social Philosophy and Policy</w:t>
      </w:r>
      <w:r>
        <w:t xml:space="preserve">. https://www.cambridge.org/core/journals/social-philosophy-and-policy/article/abs/selfownership-world-ownership-and-equality-part-ii/705C107C90B22CCF37234C4215AF395E</w:t>
      </w:r>
    </w:p>
    <w:p>
      <w:pPr>
        <w:pStyle w:val="ListParagraph"/>
        <w:numPr>
          <w:ilvl w:val="0"/>
          <w:numId w:val="9"/>
        </w:numPr>
      </w:pPr>
      <w:r>
        <w:t xml:space="preserve">[A] Rogers, T. Self-Ownership, World-Ownership, and Initial Acquisition. </w:t>
      </w:r>
      <w:r>
        <w:rPr>
          <w:i/>
        </w:rPr>
        <w:t xml:space="preserve">Libertarian Papers</w:t>
      </w:r>
      <w:r>
        <w:t xml:space="preserve">. https://mises.org/libertarian-papers/self-ownership-world-ownership-and-initial-acquisition</w:t>
      </w:r>
    </w:p>
    <w:p>
      <w:pPr>
        <w:pStyle w:val="ListParagraph"/>
        <w:numPr>
          <w:ilvl w:val="0"/>
          <w:numId w:val="9"/>
        </w:numPr>
      </w:pPr>
      <w:r>
        <w:t xml:space="preserve">[L] Wolff, J. (1991). </w:t>
      </w:r>
      <w:r>
        <w:rPr>
          <w:i/>
        </w:rPr>
        <w:t xml:space="preserve">Robert Nozick: Property, Justice and the Minimal State</w:t>
      </w:r>
      <w:r>
        <w:t xml:space="preserve">. Stanford University Press. Recensão: https://mises.org/online-book/review-austrian-economics/robert-nozick-property-justice-and-minimal-state-jonathan-wolff-stanford-university-press-1991</w:t>
      </w:r>
    </w:p>
    <w:p>
      <w:pPr>
        <w:pStyle w:val="ListParagraph"/>
        <w:numPr>
          <w:ilvl w:val="0"/>
          <w:numId w:val="9"/>
        </w:numPr>
      </w:pPr>
      <w:r>
        <w:t xml:space="preserve">[A] Vanberg, V. J. (2016). Constitutionalism, Federalism, and Limited Government: Hayekian Arguments in Political Scientists' Perspective. </w:t>
      </w:r>
      <w:r>
        <w:rPr>
          <w:i/>
        </w:rPr>
        <w:t xml:space="preserve">Advances in Austrian Economics</w:t>
      </w:r>
      <w:r>
        <w:t xml:space="preserve">, 21, 123–143. https://ideas.repec.org/h/eme/aaeczz/s1529-213420160000021004.html</w:t>
      </w:r>
    </w:p>
    <w:p>
      <w:pPr>
        <w:pStyle w:val="ListParagraph"/>
        <w:numPr>
          <w:ilvl w:val="0"/>
          <w:numId w:val="9"/>
        </w:numPr>
      </w:pPr>
      <w:r>
        <w:t xml:space="preserve">[A] Milton Friedman, James Buchanan, and Constitutional Political Economy (capítulo). Mercatus / Oxford. https://ppe.mercatus.org/publication/milton-friedman-james-buchanan-and-constitutional-political-economy</w:t>
      </w:r>
    </w:p>
    <w:p>
      <w:pPr>
        <w:pStyle w:val="ListParagraph"/>
        <w:numPr>
          <w:ilvl w:val="0"/>
          <w:numId w:val="9"/>
        </w:numPr>
      </w:pPr>
      <w:r>
        <w:t xml:space="preserve">[A] Hayek, Friedman, and Buchanan: On Public Life, Chile, and the Relationship between Liberty and Democracy. </w:t>
      </w:r>
      <w:r>
        <w:rPr>
          <w:i/>
        </w:rPr>
        <w:t xml:space="preserve">Review of Political Economy</w:t>
      </w:r>
      <w:r>
        <w:t xml:space="preserve">, 26(3), 358–367 (2014). https://ideas.repec.org/a/taf/revpoe/v26y2014i3p358-367.html</w:t>
      </w:r>
    </w:p>
    <w:p>
      <w:pPr>
        <w:pStyle w:val="ListParagraph"/>
        <w:numPr>
          <w:ilvl w:val="0"/>
          <w:numId w:val="9"/>
        </w:numPr>
      </w:pPr>
      <w:r>
        <w:t xml:space="preserve">[A] Coutinho, M. C. Adam Smith on Public Expenditure and Taxation. </w:t>
      </w:r>
      <w:r>
        <w:rPr>
          <w:i/>
        </w:rPr>
        <w:t xml:space="preserve">Nova Economia</w:t>
      </w:r>
      <w:r>
        <w:t xml:space="preserve"> (UFMG). https://revistas.face.ufmg.br/index.php/novaeconomia/article/download/386/393/1174</w:t>
      </w:r>
    </w:p>
    <w:p>
      <w:pPr>
        <w:pStyle w:val="ListParagraph"/>
        <w:numPr>
          <w:ilvl w:val="0"/>
          <w:numId w:val="9"/>
        </w:numPr>
      </w:pPr>
      <w:r>
        <w:t xml:space="preserve">[A] Donoghue, M. (2020). Adam Smith and the Honourable East India Company, 77(1), 1–19. https://ideas.repec.org/a/taf/rherxx/v77y2020i1p1-19.html</w:t>
      </w:r>
    </w:p>
    <w:p>
      <w:pPr>
        <w:pStyle w:val="ListParagraph"/>
        <w:numPr>
          <w:ilvl w:val="0"/>
          <w:numId w:val="9"/>
        </w:numPr>
      </w:pPr>
      <w:r>
        <w:t xml:space="preserve">[A] Evensky, J. (2015). The Wealth of Nations: Book V. Cambridge University Press (capítulo). https://www.cambridge.org/core/books/adam-smiths-wealth-of-nations/wealth-of-nations-book-v/9F28C9734ECE502B20646949B26BA037</w:t>
      </w:r>
    </w:p>
    <w:p>
      <w:pPr>
        <w:pStyle w:val="ListParagraph"/>
        <w:numPr>
          <w:ilvl w:val="0"/>
          <w:numId w:val="9"/>
        </w:numPr>
      </w:pPr>
      <w:r>
        <w:t xml:space="preserve">[L] Acemoglu, D., &amp; Robinson, J. A. (2019). </w:t>
      </w:r>
      <w:r>
        <w:rPr>
          <w:i/>
        </w:rPr>
        <w:t xml:space="preserve">The Narrow Corridor: States, Societies, and the Fate of Liberty</w:t>
      </w:r>
      <w:r>
        <w:t xml:space="preserve">. Penguin.</w:t>
      </w:r>
    </w:p>
    <w:p>
      <w:pPr>
        <w:pStyle w:val="ListParagraph"/>
        <w:numPr>
          <w:ilvl w:val="0"/>
          <w:numId w:val="9"/>
        </w:numPr>
      </w:pPr>
      <w:r>
        <w:t xml:space="preserve">[A] The Expansive Corridor: Testing Acemoglu and Robinson (artigo). https://researchworks.creighton.edu/esploro/outputs/journalArticle/The-Expansive-Corridor-Testing-Acemoglu-and/991005972540402656</w:t>
      </w:r>
    </w:p>
    <w:p>
      <w:pPr>
        <w:pStyle w:val="Heading3"/>
      </w:pPr>
      <w:r>
        <w:t xml:space="preserve">História do tamanho do Estado, privatização e reformas</w:t>
      </w:r>
    </w:p>
    <w:p>
      <w:pPr>
        <w:pStyle w:val="ListParagraph"/>
        <w:numPr>
          <w:ilvl w:val="0"/>
          <w:numId w:val="10"/>
        </w:numPr>
      </w:pPr>
      <w:r>
        <w:t xml:space="preserve">[L] Tanzi, V., &amp; Schuknecht, L. (2000). </w:t>
      </w:r>
      <w:r>
        <w:rPr>
          <w:i/>
        </w:rPr>
        <w:t xml:space="preserve">Public Spending in the 20th Century: A Global Perspective</w:t>
      </w:r>
      <w:r>
        <w:t xml:space="preserve">. Cambridge University Press.</w:t>
      </w:r>
    </w:p>
    <w:p>
      <w:pPr>
        <w:pStyle w:val="ListParagraph"/>
        <w:numPr>
          <w:ilvl w:val="0"/>
          <w:numId w:val="10"/>
        </w:numPr>
      </w:pPr>
      <w:r>
        <w:t xml:space="preserve">[A] Paparas, D., &amp; Richter, C. (2019). A synthesis of empirical research on the validity of Wagner's Law. </w:t>
      </w:r>
      <w:r>
        <w:rPr>
          <w:i/>
        </w:rPr>
        <w:t xml:space="preserve">International Journal of Business and Globalisation</w:t>
      </w:r>
      <w:r>
        <w:t xml:space="preserve">, 22(4), 555–583. https://ideas.repec.org/a/ids/ijbglo/v22y2019i4p555-583.html</w:t>
      </w:r>
    </w:p>
    <w:p>
      <w:pPr>
        <w:pStyle w:val="ListParagraph"/>
        <w:numPr>
          <w:ilvl w:val="0"/>
          <w:numId w:val="10"/>
        </w:numPr>
      </w:pPr>
      <w:r>
        <w:t xml:space="preserve">[A] Afonso, A., &amp; Alves, J. (2017). Reconsidering Wagner's law: evidence from the functions of the government. https://repositorio.ulisboa.pt/bitstreams/75c77762-51b4-4f8a-b83b-c4fd7108bfb3/download</w:t>
      </w:r>
    </w:p>
    <w:p>
      <w:pPr>
        <w:pStyle w:val="ListParagraph"/>
        <w:numPr>
          <w:ilvl w:val="0"/>
          <w:numId w:val="10"/>
        </w:numPr>
      </w:pPr>
      <w:r>
        <w:t xml:space="preserve">[A] Megginson, W. L., &amp; Netter, J. M. (2001). From State to Market: A Survey of Empirical Studies on Privatization. </w:t>
      </w:r>
      <w:r>
        <w:rPr>
          <w:i/>
        </w:rPr>
        <w:t xml:space="preserve">Journal of Economic Literature</w:t>
      </w:r>
      <w:r>
        <w:t xml:space="preserve">. https://www.terry.uga.edu/wp-content/uploads/stateToMarket_1.pdf</w:t>
      </w:r>
    </w:p>
    <w:p>
      <w:pPr>
        <w:pStyle w:val="ListParagraph"/>
        <w:numPr>
          <w:ilvl w:val="0"/>
          <w:numId w:val="10"/>
        </w:numPr>
      </w:pPr>
      <w:r>
        <w:t xml:space="preserve">[L] Megginson, W. L. (2005). </w:t>
      </w:r>
      <w:r>
        <w:rPr>
          <w:i/>
        </w:rPr>
        <w:t xml:space="preserve">The Financial Economics of Privatization</w:t>
      </w:r>
      <w:r>
        <w:t xml:space="preserve">. Oxford University Press. https://academic.oup.com/book/10902/chapter/159148472</w:t>
      </w:r>
    </w:p>
    <w:p>
      <w:pPr>
        <w:pStyle w:val="ListParagraph"/>
        <w:numPr>
          <w:ilvl w:val="0"/>
          <w:numId w:val="10"/>
        </w:numPr>
      </w:pPr>
      <w:r>
        <w:t xml:space="preserve">[A] Parker, D. (2004). Lessons from privatisation (editorial). </w:t>
      </w:r>
      <w:r>
        <w:rPr>
          <w:i/>
        </w:rPr>
        <w:t xml:space="preserve">Economic Affairs</w:t>
      </w:r>
      <w:r>
        <w:t xml:space="preserve">. https://iea.org.uk/wp-content/uploads/2016/07/PARKER_PRIVATISATION_EDITORIAL.pdf</w:t>
      </w:r>
    </w:p>
    <w:p>
      <w:pPr>
        <w:pStyle w:val="ListParagraph"/>
        <w:numPr>
          <w:ilvl w:val="0"/>
          <w:numId w:val="10"/>
        </w:numPr>
      </w:pPr>
      <w:r>
        <w:t xml:space="preserve">[A] Guajardo Soto, G. (2019). Neoliberalism as a capitalist revolution in Chile: Antecedents and irreversibility. </w:t>
      </w:r>
      <w:r>
        <w:rPr>
          <w:i/>
        </w:rPr>
        <w:t xml:space="preserve">PSL Quarterly Review</w:t>
      </w:r>
      <w:r>
        <w:t xml:space="preserve">, 72(289). https://doi.org/10.13133/2037-3643/15524</w:t>
      </w:r>
    </w:p>
    <w:p>
      <w:pPr>
        <w:pStyle w:val="ListParagraph"/>
        <w:numPr>
          <w:ilvl w:val="0"/>
          <w:numId w:val="10"/>
        </w:numPr>
      </w:pPr>
      <w:r>
        <w:t xml:space="preserve">[A] Maillet, A. (2015). Variedades de neoliberalismo. </w:t>
      </w:r>
      <w:r>
        <w:rPr>
          <w:i/>
        </w:rPr>
        <w:t xml:space="preserve">Revista de Estudios Políticos</w:t>
      </w:r>
      <w:r>
        <w:t xml:space="preserve">, 169, 109–136. https://repositorio.uchile.cl/handle/2250/135696</w:t>
      </w:r>
    </w:p>
    <w:p>
      <w:pPr>
        <w:pStyle w:val="ListParagraph"/>
        <w:numPr>
          <w:ilvl w:val="0"/>
          <w:numId w:val="10"/>
        </w:numPr>
      </w:pPr>
      <w:r>
        <w:t xml:space="preserve">[A] Daemane, M. M. M., Daemane, M. S. R., &amp; Nyawo-Shava, V. Z. (2010). Critical exposure of successes of neoliberal reforms: the 'renown' case of Chile. </w:t>
      </w:r>
      <w:r>
        <w:rPr>
          <w:i/>
        </w:rPr>
        <w:t xml:space="preserve">Annals of Humanities and Development Studies</w:t>
      </w:r>
      <w:r>
        <w:t xml:space="preserve">. https://www.ajol.info/index.php/ahds/article/view/98053</w:t>
      </w:r>
    </w:p>
    <w:p>
      <w:pPr>
        <w:pStyle w:val="ListParagraph"/>
        <w:numPr>
          <w:ilvl w:val="0"/>
          <w:numId w:val="10"/>
        </w:numPr>
      </w:pPr>
      <w:r>
        <w:t xml:space="preserve">[A] Bollard, A., &amp; Mayes, D. G. (1993). Lessons for Europe from New Zealand's Liberalisation Experience. </w:t>
      </w:r>
      <w:r>
        <w:rPr>
          <w:i/>
        </w:rPr>
        <w:t xml:space="preserve">National Institute Economic Review</w:t>
      </w:r>
      <w:r>
        <w:t xml:space="preserve">, 143, 81–97. https://ideas.repec.org/a/cup/nierev/v143y1993ip81-97_6.html</w:t>
      </w:r>
    </w:p>
    <w:p>
      <w:pPr>
        <w:pStyle w:val="ListParagraph"/>
        <w:numPr>
          <w:ilvl w:val="0"/>
          <w:numId w:val="10"/>
        </w:numPr>
      </w:pPr>
      <w:r>
        <w:t xml:space="preserve">[R] Henderson, D. (1996). Economic Reform: New Zealand in an International Perspective. NZ Business Roundtable. https://www.nzinitiative.org.nz/reports-and-media/reports/economic-reform-new-zealand-in-an-international-perspective</w:t>
      </w:r>
    </w:p>
    <w:p>
      <w:pPr>
        <w:pStyle w:val="ListParagraph"/>
        <w:numPr>
          <w:ilvl w:val="0"/>
          <w:numId w:val="10"/>
        </w:numPr>
      </w:pPr>
      <w:r>
        <w:t xml:space="preserve">[A] The Fast Track from the Soviet Union to the World Economy: External Liberalization in Estonia and Latvia. </w:t>
      </w:r>
      <w:r>
        <w:rPr>
          <w:i/>
        </w:rPr>
        <w:t xml:space="preserve">Government and Opposition</w:t>
      </w:r>
      <w:r>
        <w:t xml:space="preserve"> (2014). https://www.cambridge.org/core/journals/government-and-opposition/article/fast-track-from-the-soviet-union-to-the-world-economy-external-liberalization-in-estonia-and-latvia/B9CFB2E3C8F979F6BE948829D7A4443A</w:t>
      </w:r>
    </w:p>
    <w:p>
      <w:pPr>
        <w:pStyle w:val="ListParagraph"/>
        <w:numPr>
          <w:ilvl w:val="0"/>
          <w:numId w:val="10"/>
        </w:numPr>
      </w:pPr>
      <w:r>
        <w:t xml:space="preserve">[A] The Effects of Georgia's 2004 Market Reforms (estudo de controlo sintético, working paper). https://belkcollegeofbusiness.charlotte.edu/economicsseminar/wp-content/uploads/sites/885/2017/10/YouSayYouWantARoseRevolution_Merge5-2_rev.pdf</w:t>
      </w:r>
    </w:p>
    <w:p>
      <w:pPr>
        <w:pStyle w:val="ListParagraph"/>
        <w:numPr>
          <w:ilvl w:val="0"/>
          <w:numId w:val="10"/>
        </w:numPr>
      </w:pPr>
      <w:r>
        <w:t xml:space="preserve">[L] Economic Transformation and Government Reform in Georgia 2004–2012. https://library.oapen.org/bitstream/id/8d1287b9-ed07-4d77-8ea3-099ac884dd63/1002123.pdf</w:t>
      </w:r>
    </w:p>
    <w:p>
      <w:pPr>
        <w:pStyle w:val="ListParagraph"/>
        <w:numPr>
          <w:ilvl w:val="0"/>
          <w:numId w:val="10"/>
        </w:numPr>
      </w:pPr>
      <w:r>
        <w:t xml:space="preserve">[R] Montenegro: The Challenges of a Newborn State. Mercatus Policy Series, Country Brief No. 2. https://www.mercatus.org/publications/international-comparisons/montenegro-challenges-newborn-state</w:t>
      </w:r>
    </w:p>
    <w:p>
      <w:pPr>
        <w:pStyle w:val="Heading3"/>
      </w:pPr>
      <w:r>
        <w:t xml:space="preserve">Tamanho do Estado, crescimento e bem-estar</w:t>
      </w:r>
    </w:p>
    <w:p>
      <w:pPr>
        <w:pStyle w:val="ListParagraph"/>
        <w:numPr>
          <w:ilvl w:val="0"/>
          <w:numId w:val="11"/>
        </w:numPr>
      </w:pPr>
      <w:r>
        <w:t xml:space="preserve">[A] Barro, R. J. (1990). Government Spending in a Simple Model of Endogenous Growth. </w:t>
      </w:r>
      <w:r>
        <w:rPr>
          <w:i/>
        </w:rPr>
        <w:t xml:space="preserve">Journal of Political Economy</w:t>
      </w:r>
      <w:r>
        <w:t xml:space="preserve">, 98(5), S103–S125. https://www.nber.org/papers/w2588</w:t>
      </w:r>
    </w:p>
    <w:p>
      <w:pPr>
        <w:pStyle w:val="ListParagraph"/>
        <w:numPr>
          <w:ilvl w:val="0"/>
          <w:numId w:val="11"/>
        </w:numPr>
      </w:pPr>
      <w:r>
        <w:t xml:space="preserve">[A] Gwartney, J., Lawson, R., &amp; Holcombe, R. (1998). The Size and Functions of Government and Economic Growth. Joint Economic Committee. https://www.jec.senate.gov/public/_cache/files/9a2dfb15-fccf-44d6-afa4-efa08a89ffcb/the-size-and-functions-of-government-and-economic-growth---april-1998.pdf</w:t>
      </w:r>
    </w:p>
    <w:p>
      <w:pPr>
        <w:pStyle w:val="ListParagraph"/>
        <w:numPr>
          <w:ilvl w:val="0"/>
          <w:numId w:val="11"/>
        </w:numPr>
      </w:pPr>
      <w:r>
        <w:t xml:space="preserve">[A] Bergh, A., &amp; Henrekson, M. (2011). Government Size and Growth: A Survey and Interpretation of the Evidence. </w:t>
      </w:r>
      <w:r>
        <w:rPr>
          <w:i/>
        </w:rPr>
        <w:t xml:space="preserve">Journal of Economic Surveys</w:t>
      </w:r>
      <w:r>
        <w:t xml:space="preserve">, 25(5), 872–897. https://ifn.se/publikationer/tidskriftsartiklar/2010-2019/2011/2011-36/</w:t>
      </w:r>
    </w:p>
    <w:p>
      <w:pPr>
        <w:pStyle w:val="ListParagraph"/>
        <w:numPr>
          <w:ilvl w:val="0"/>
          <w:numId w:val="11"/>
        </w:numPr>
      </w:pPr>
      <w:r>
        <w:t xml:space="preserve">[A] Churchill, S. A., Ugur, M., &amp; Yew, S. L. (2017). Does Government Size Affect Per-Capita Income Growth? A Hierarchical Meta-Regression Analysis. </w:t>
      </w:r>
      <w:r>
        <w:rPr>
          <w:i/>
        </w:rPr>
        <w:t xml:space="preserve">Economic Record</w:t>
      </w:r>
      <w:r>
        <w:t xml:space="preserve">, 93, 142–171. https://gala.gre.ac.uk/id/eprint/16016/</w:t>
      </w:r>
    </w:p>
    <w:p>
      <w:pPr>
        <w:pStyle w:val="ListParagraph"/>
        <w:numPr>
          <w:ilvl w:val="0"/>
          <w:numId w:val="11"/>
        </w:numPr>
      </w:pPr>
      <w:r>
        <w:t xml:space="preserve">[A] Lindert, P. H. (2003). Why the Welfare State Looks Like a Free Lunch. NBER Working Paper 9869. https://www.nber.org/papers/w9869.pdf</w:t>
      </w:r>
    </w:p>
    <w:p>
      <w:pPr>
        <w:pStyle w:val="ListParagraph"/>
        <w:numPr>
          <w:ilvl w:val="0"/>
          <w:numId w:val="11"/>
        </w:numPr>
      </w:pPr>
      <w:r>
        <w:t xml:space="preserve">[A] Bergh, A. (2006). Is the Swedish Welfare State a Free Lunch? </w:t>
      </w:r>
      <w:r>
        <w:rPr>
          <w:i/>
        </w:rPr>
        <w:t xml:space="preserve">Econ Journal Watch</w:t>
      </w:r>
      <w:r>
        <w:t xml:space="preserve">. https://econjwatch.org/file_download/288/ejw_com_may06_bergh.pdf</w:t>
      </w:r>
    </w:p>
    <w:p>
      <w:pPr>
        <w:pStyle w:val="ListParagraph"/>
        <w:numPr>
          <w:ilvl w:val="0"/>
          <w:numId w:val="11"/>
        </w:numPr>
      </w:pPr>
      <w:r>
        <w:t xml:space="preserve">[A] Lindert, P. H. (2006). The Welfare State Is the Wrong Target: A Reply to Bergh. </w:t>
      </w:r>
      <w:r>
        <w:rPr>
          <w:i/>
        </w:rPr>
        <w:t xml:space="preserve">Econ Journal Watch</w:t>
      </w:r>
      <w:r>
        <w:t xml:space="preserve">. https://econjwatch.org/file_download/110/2006-05-lindert-com.pdf</w:t>
      </w:r>
    </w:p>
    <w:p>
      <w:pPr>
        <w:pStyle w:val="ListParagraph"/>
        <w:numPr>
          <w:ilvl w:val="0"/>
          <w:numId w:val="11"/>
        </w:numPr>
      </w:pPr>
      <w:r>
        <w:t xml:space="preserve">[A] Lawson, R., Miozzi, V., &amp; Tuszynski, M. (2024). Economic freedom and growth, income, investment, and inequality: A quantitative summary of the literature. </w:t>
      </w:r>
      <w:r>
        <w:rPr>
          <w:i/>
        </w:rPr>
        <w:t xml:space="preserve">Southern Economic Journal</w:t>
      </w:r>
      <w:r>
        <w:t xml:space="preserve">, 90(4), 1099–1135. https://doi.org/10.1002/soej.12680</w:t>
      </w:r>
    </w:p>
    <w:p>
      <w:pPr>
        <w:pStyle w:val="ListParagraph"/>
        <w:numPr>
          <w:ilvl w:val="0"/>
          <w:numId w:val="11"/>
        </w:numPr>
      </w:pPr>
      <w:r>
        <w:t xml:space="preserve">[A] The impact of government size on economic growth: a threshold analysis. </w:t>
      </w:r>
      <w:r>
        <w:rPr>
          <w:i/>
        </w:rPr>
        <w:t xml:space="preserve">Economics Letters</w:t>
      </w:r>
      <w:r>
        <w:t xml:space="preserve">, 139, 65–68 (2016). https://research.birmingham.ac.uk/en/publications/the-impact-of-government-size-on-economic-growth-a-threshold-anal/</w:t>
      </w:r>
    </w:p>
    <w:p>
      <w:pPr>
        <w:pStyle w:val="ListParagraph"/>
        <w:numPr>
          <w:ilvl w:val="0"/>
          <w:numId w:val="11"/>
        </w:numPr>
      </w:pPr>
      <w:r>
        <w:t xml:space="preserve">[A] The Optimal Size of Government and the Armey Curve: A Review of Empirical Evidence. </w:t>
      </w:r>
      <w:r>
        <w:rPr>
          <w:i/>
        </w:rPr>
        <w:t xml:space="preserve">Asian Journal of Applied Economics</w:t>
      </w:r>
      <w:r>
        <w:t xml:space="preserve">, 28(1), 121–137. https://ideas.repec.org/a/ags/thkase/334655.html</w:t>
      </w:r>
    </w:p>
    <w:p>
      <w:pPr>
        <w:pStyle w:val="ListParagraph"/>
        <w:numPr>
          <w:ilvl w:val="0"/>
          <w:numId w:val="11"/>
        </w:numPr>
      </w:pPr>
      <w:r>
        <w:t xml:space="preserve">[A] Kirchgässner, G., &amp; Feld, L. P. (2006). On the Effectiveness of Debt Brakes: The Swiss Experience. https://www.crema-research.ch/publication/on-the-effectiveness-of-debt-brakes-the-swiss-experience/</w:t>
      </w:r>
    </w:p>
    <w:p>
      <w:pPr>
        <w:pStyle w:val="ListParagraph"/>
        <w:numPr>
          <w:ilvl w:val="0"/>
          <w:numId w:val="11"/>
        </w:numPr>
      </w:pPr>
      <w:r>
        <w:t xml:space="preserve">[A] Danninger, S. (2002). A New Rule: The Swiss Debt Brake. IMF Working Paper 02/18. https://www.imf.org/en/Publications/WP/Issues/2016/12/30/A-New-Rule-The-Swiss-Debt-Brake-15577</w:t>
      </w:r>
    </w:p>
    <w:p>
      <w:pPr>
        <w:pStyle w:val="ListParagraph"/>
        <w:numPr>
          <w:ilvl w:val="0"/>
          <w:numId w:val="11"/>
        </w:numPr>
      </w:pPr>
      <w:r>
        <w:t xml:space="preserve">[A] Burret, H. T., &amp; Feld, L. P. Shift of Public Expenditures Through Debt Brakes: the Swiss Experience. https://papers.sioe.org/paper/1011.html</w:t>
      </w:r>
    </w:p>
    <w:p>
      <w:pPr>
        <w:pStyle w:val="Heading3"/>
      </w:pPr>
      <w:r>
        <w:t xml:space="preserve">Estado empresário, países e peso do setor privado</w:t>
      </w:r>
    </w:p>
    <w:p>
      <w:pPr>
        <w:pStyle w:val="ListParagraph"/>
        <w:numPr>
          <w:ilvl w:val="0"/>
          <w:numId w:val="12"/>
        </w:numPr>
      </w:pPr>
      <w:r>
        <w:t xml:space="preserve">[L] Musacchio, A., &amp; Lazzarini, S. G. (2014). </w:t>
      </w:r>
      <w:r>
        <w:rPr>
          <w:i/>
        </w:rPr>
        <w:t xml:space="preserve">Reinventing State Capitalism: Leviathan in Business, Brazil and Beyond</w:t>
      </w:r>
      <w:r>
        <w:t xml:space="preserve">. Harvard University Press.</w:t>
      </w:r>
    </w:p>
    <w:p>
      <w:pPr>
        <w:pStyle w:val="ListParagraph"/>
        <w:numPr>
          <w:ilvl w:val="0"/>
          <w:numId w:val="12"/>
        </w:numPr>
      </w:pPr>
      <w:r>
        <w:t xml:space="preserve">[R] Kowalski, P., Büge, M., Sztajerowska, M., &amp; Egeland, M. (2013). State-Owned Enterprises: Trade Effects and Policy Implications. OECD Trade Policy Paper 147. https://state-owned-enterprises.worldbank.org/sites/default/files/reports/State-Owned%20Enterprises%20Trade%20Effects%20and%20Policy%20Implications.pdf</w:t>
      </w:r>
    </w:p>
    <w:p>
      <w:pPr>
        <w:pStyle w:val="ListParagraph"/>
        <w:numPr>
          <w:ilvl w:val="0"/>
          <w:numId w:val="12"/>
        </w:numPr>
      </w:pPr>
      <w:r>
        <w:t xml:space="preserve">[R] OECD (2017). The Size and Sectoral Distribution of State-Owned Enterprises (40 países). https://www.oecd.org/en/publications/the-size-and-sectoral-distribution-of-state-owned-enterprises_9789264280663-en.html</w:t>
      </w:r>
    </w:p>
    <w:p>
      <w:pPr>
        <w:pStyle w:val="ListParagraph"/>
        <w:numPr>
          <w:ilvl w:val="0"/>
          <w:numId w:val="12"/>
        </w:numPr>
      </w:pPr>
      <w:r>
        <w:t xml:space="preserve">[R] OECD. The Size and Composition of the SOE Sector in OECD Countries (dados 2008–2009). https://www.oecd.org/en/publications/the-size-and-composition-of-the-soe-sector-in-oecd-countries_5kg54cwps0s3-en.html</w:t>
      </w:r>
    </w:p>
    <w:p>
      <w:pPr>
        <w:pStyle w:val="ListParagraph"/>
        <w:numPr>
          <w:ilvl w:val="0"/>
          <w:numId w:val="12"/>
        </w:numPr>
      </w:pPr>
      <w:r>
        <w:t xml:space="preserve">[A] Kwiatkowski, G. Are state-owned enterprises really gaining in importance? Universidade de Szeged. https://eco.u-szeged.hu/english/research/scientific-publications/crisis-management-and-the-changing-role-of-the-state/grzegorz-kwiatkowski</w:t>
      </w:r>
    </w:p>
    <w:p>
      <w:pPr>
        <w:pStyle w:val="ListParagraph"/>
        <w:numPr>
          <w:ilvl w:val="0"/>
          <w:numId w:val="12"/>
        </w:numPr>
      </w:pPr>
      <w:r>
        <w:t xml:space="preserve">[R] Radygin, A., Abramov, A., Entov, R., Chernova, M., &amp; Malginov, G. (2019). The Size and Effectiveness of the State Sector. RANEPA. https://ipei.ranepa.ru/en/soe</w:t>
      </w:r>
    </w:p>
    <w:p>
      <w:pPr>
        <w:pStyle w:val="ListParagraph"/>
        <w:numPr>
          <w:ilvl w:val="0"/>
          <w:numId w:val="12"/>
        </w:numPr>
      </w:pPr>
      <w:r>
        <w:t xml:space="preserve">[A] IMF Working Paper (2019), secção «The Size of the Russian State». https://www.imf.org/-/media/files/publications/wp/2019/wpiea2019053.pdf.md</w:t>
      </w:r>
    </w:p>
    <w:p>
      <w:pPr>
        <w:pStyle w:val="ListParagraph"/>
        <w:numPr>
          <w:ilvl w:val="0"/>
          <w:numId w:val="12"/>
        </w:numPr>
      </w:pPr>
      <w:r>
        <w:t xml:space="preserve">[A] Chen, C. (2016). Solving the Puzzle of Corporate Governance of State-Owned Enterprises: The Path of the Temasek Model in Singapore and Lessons for China. </w:t>
      </w:r>
      <w:r>
        <w:rPr>
          <w:i/>
        </w:rPr>
        <w:t xml:space="preserve">Northwestern Journal of International Law &amp; Business</w:t>
      </w:r>
      <w:r>
        <w:t xml:space="preserve">, 36, 303. https://scholarlycommons.law.northwestern.edu/njilb/vol36/iss2/2</w:t>
      </w:r>
    </w:p>
    <w:p>
      <w:pPr>
        <w:pStyle w:val="ListParagraph"/>
        <w:numPr>
          <w:ilvl w:val="0"/>
          <w:numId w:val="12"/>
        </w:numPr>
      </w:pPr>
      <w:r>
        <w:t xml:space="preserve">[R] Sim, I., Thomsen, S., &amp; Yeong, G. The State as Shareholder: The Case of Singapore. https://state-owned-enterprises.worldbank.org/report/state-shareholder-case-singapore</w:t>
      </w:r>
    </w:p>
    <w:p>
      <w:pPr>
        <w:pStyle w:val="ListParagraph"/>
        <w:numPr>
          <w:ilvl w:val="0"/>
          <w:numId w:val="12"/>
        </w:numPr>
      </w:pPr>
      <w:r>
        <w:t xml:space="preserve">[A] Do government-linked companies underperform? (estudo de 30 GLC de Singapura). https://state-owned-enterprises.worldbank.org/sites/default/files/reports/Do%20government-linked%20companies%20underperform.pdf</w:t>
      </w:r>
    </w:p>
    <w:p>
      <w:pPr>
        <w:pStyle w:val="ListParagraph"/>
        <w:numPr>
          <w:ilvl w:val="0"/>
          <w:numId w:val="12"/>
        </w:numPr>
      </w:pPr>
      <w:r>
        <w:t xml:space="preserve">[A] Shome, T. (2006). State-guided entrepreneurship: A case study. Massey University WP 2006/4. https://mro.massey.ac.nz/handle/10179/630</w:t>
      </w:r>
    </w:p>
    <w:p>
      <w:pPr>
        <w:pStyle w:val="ListParagraph"/>
        <w:numPr>
          <w:ilvl w:val="0"/>
          <w:numId w:val="12"/>
        </w:numPr>
      </w:pPr>
      <w:r>
        <w:t xml:space="preserve">[L] Chua, B. H. (2024). </w:t>
      </w:r>
      <w:r>
        <w:rPr>
          <w:i/>
        </w:rPr>
        <w:t xml:space="preserve">Public Subsidy, Private Accumulation: The Political Economy of Singapore's Public Housing</w:t>
      </w:r>
      <w:r>
        <w:t xml:space="preserve">. NUS Press. Ensaio do autor: https://www.academia.sg/?p=4422</w:t>
      </w:r>
    </w:p>
    <w:p>
      <w:pPr>
        <w:pStyle w:val="ListParagraph"/>
        <w:numPr>
          <w:ilvl w:val="0"/>
          <w:numId w:val="12"/>
        </w:numPr>
      </w:pPr>
      <w:r>
        <w:t xml:space="preserve">[A] Greener, J., &amp; Yeo, E. (2022). Reproduction, discipline, inequality: Critiquing East-Asian developmentalism through a strategic-relational examination of Singapore's Central Provident Fund. </w:t>
      </w:r>
      <w:r>
        <w:rPr>
          <w:i/>
        </w:rPr>
        <w:t xml:space="preserve">Global Social Policy</w:t>
      </w:r>
      <w:r>
        <w:t xml:space="preserve">, 22(3). https://livrepository.liverpool.ac.uk/id/eprint/3150151</w:t>
      </w:r>
    </w:p>
    <w:p>
      <w:pPr>
        <w:pStyle w:val="ListParagraph"/>
        <w:numPr>
          <w:ilvl w:val="0"/>
          <w:numId w:val="12"/>
        </w:numPr>
      </w:pPr>
      <w:r>
        <w:t xml:space="preserve">[A] Schenk, C. R. (2017). Negotiating positive non-interventionism: regulating Hong Kong's finance companies, 1976–86. </w:t>
      </w:r>
      <w:r>
        <w:rPr>
          <w:i/>
        </w:rPr>
        <w:t xml:space="preserve">The China Quarterly</w:t>
      </w:r>
      <w:r>
        <w:t xml:space="preserve">, 230, 348–370. https://eprints.gla.ac.uk/120818</w:t>
      </w:r>
    </w:p>
    <w:p>
      <w:pPr>
        <w:pStyle w:val="ListParagraph"/>
        <w:numPr>
          <w:ilvl w:val="0"/>
          <w:numId w:val="12"/>
        </w:numPr>
      </w:pPr>
      <w:r>
        <w:t xml:space="preserve">[A] Huque, A. S. (1999). Hong Kong's Policy of Positive Nonintervention: A Critical Appraisal of the 1998 Stock Market Intervention. </w:t>
      </w:r>
      <w:r>
        <w:rPr>
          <w:i/>
        </w:rPr>
        <w:t xml:space="preserve">Issues &amp; Studies</w:t>
      </w:r>
      <w:r>
        <w:t xml:space="preserve">, 35(2), 152–173. https://experts.mcmaster.ca/scholarly-works/399828</w:t>
      </w:r>
    </w:p>
    <w:p>
      <w:pPr>
        <w:pStyle w:val="ListParagraph"/>
        <w:numPr>
          <w:ilvl w:val="0"/>
          <w:numId w:val="12"/>
        </w:numPr>
      </w:pPr>
      <w:r>
        <w:t xml:space="preserve">[A] Song, L. State and non-state enterprises in China's economic transition (capítulo). ANU. https://researchportalplus.anu.edu.au/en/publications/state-and-non-state-enterprises-in-chinas-economic-transition/</w:t>
      </w:r>
    </w:p>
    <w:p>
      <w:pPr>
        <w:pStyle w:val="ListParagraph"/>
        <w:numPr>
          <w:ilvl w:val="0"/>
          <w:numId w:val="12"/>
        </w:numPr>
      </w:pPr>
      <w:r>
        <w:t xml:space="preserve">[R] World Bank. How Much Do State-Owned Enterprises Contribute to China's GDP and Employment? https://openknowledge.worldbank.org/bitstreams/da909176-8e54-5e8e-9660-8feca18af0d2/download</w:t>
      </w:r>
    </w:p>
    <w:p>
      <w:pPr>
        <w:pStyle w:val="ListParagraph"/>
        <w:numPr>
          <w:ilvl w:val="0"/>
          <w:numId w:val="12"/>
        </w:numPr>
      </w:pPr>
      <w:r>
        <w:t xml:space="preserve">[R] USCC. An Analysis of State-owned Enterprises and State Capitalism in China. https://www.uscc.gov/sites/default/files/USCC%20Report%20-%20An%20Analysis%20of%20State-owned%20Enterprises%20and%20State%20Capitalism%20in%20China.pdf</w:t>
      </w:r>
    </w:p>
    <w:p>
      <w:pPr>
        <w:pStyle w:val="ListParagraph"/>
        <w:numPr>
          <w:ilvl w:val="0"/>
          <w:numId w:val="12"/>
        </w:numPr>
      </w:pPr>
      <w:r>
        <w:t xml:space="preserve">[A] Mazzucato, M. (2011). The entrepreneurial state. </w:t>
      </w:r>
      <w:r>
        <w:rPr>
          <w:i/>
        </w:rPr>
        <w:t xml:space="preserve">Soundings</w:t>
      </w:r>
      <w:r>
        <w:t xml:space="preserve">, 49. https://journals.lwbooks.co.uk/soundings/vol-2011-issue-49/abstract-7336/</w:t>
      </w:r>
    </w:p>
    <w:p>
      <w:pPr>
        <w:pStyle w:val="ListParagraph"/>
        <w:numPr>
          <w:ilvl w:val="0"/>
          <w:numId w:val="12"/>
        </w:numPr>
      </w:pPr>
      <w:r>
        <w:t xml:space="preserve">[A] Mingardi, A. (2015). A Critique of Mazzucato's Entrepreneurial State. </w:t>
      </w:r>
      <w:r>
        <w:rPr>
          <w:i/>
        </w:rPr>
        <w:t xml:space="preserve">Cato Journal</w:t>
      </w:r>
      <w:r>
        <w:t xml:space="preserve">. Resumo: https://nintil.com/mingardi-contra-mazzucato/</w:t>
      </w:r>
    </w:p>
    <w:p>
      <w:pPr>
        <w:pStyle w:val="ListParagraph"/>
        <w:numPr>
          <w:ilvl w:val="0"/>
          <w:numId w:val="12"/>
        </w:numPr>
      </w:pPr>
      <w:r>
        <w:t xml:space="preserve">[A] A wrong but seductive idea: Public choice and the entrepreneurial state. </w:t>
      </w:r>
      <w:r>
        <w:rPr>
          <w:i/>
        </w:rPr>
        <w:t xml:space="preserve">Journal of the International Council for Small Business</w:t>
      </w:r>
      <w:r>
        <w:t xml:space="preserve">, 4(4), 351–361 (2023). https://ideas.repec.org/a/taf/ucsbxx/v4y2023i4p351-361.html</w:t>
      </w:r>
    </w:p>
    <w:p>
      <w:pPr>
        <w:pStyle w:val="ListParagraph"/>
        <w:numPr>
          <w:ilvl w:val="0"/>
          <w:numId w:val="12"/>
        </w:numPr>
      </w:pPr>
      <w:r>
        <w:t xml:space="preserve">[R] Heritage Foundation (2026). Index of Economic Freedom. https://economicfreedom.heritage.org/pages/report</w:t>
      </w:r>
    </w:p>
    <w:p>
      <w:pPr>
        <w:pStyle w:val="ListParagraph"/>
        <w:numPr>
          <w:ilvl w:val="0"/>
          <w:numId w:val="12"/>
        </w:numPr>
      </w:pPr>
      <w:r>
        <w:t xml:space="preserve">[R] Fraser Institute (2026). Economic Freedom of the World: 2026 Annual Report. https://www.fraserinstitute.org/studies/economic-freedom-world-2026-annual-report ; tabelas por país em https://www.cato.org/sites/cato.org/files/2026-10/Economic-Freedom-of-the-World-2026.pdf</w:t>
      </w:r>
    </w:p>
    <w:p>
      <w:pPr>
        <w:pStyle w:val="ListParagraph"/>
        <w:numPr>
          <w:ilvl w:val="0"/>
          <w:numId w:val="12"/>
        </w:numPr>
      </w:pPr>
      <w:r>
        <w:t xml:space="preserve">[R] Lawson, R. (2022). Economic Freedom in the Literature: What Is It Good (Bad) For? (721 artigos). https://efotw.org/sites/default/files/economic-freedom-in-the-literature-newsrelease.pdf</w:t>
      </w:r>
    </w:p>
    <w:p>
      <w:pPr>
        <w:pStyle w:val="ListParagraph"/>
        <w:numPr>
          <w:ilvl w:val="0"/>
          <w:numId w:val="12"/>
        </w:numPr>
      </w:pPr>
      <w:r>
        <w:t xml:space="preserve">[R] Wong, Y. C. R. (2015). Positive Non-interventionism as Governance Strategy. </w:t>
      </w:r>
      <w:r>
        <w:rPr>
          <w:i/>
        </w:rPr>
        <w:t xml:space="preserve">Hong Kong Economic Journal</w:t>
      </w:r>
      <w:r>
        <w:t xml:space="preserve">. https://www.academia.edu/45046795</w:t>
      </w:r>
    </w:p>
    <w:p>
      <w:pPr>
        <w:pStyle w:val="ListParagraph"/>
        <w:numPr>
          <w:ilvl w:val="0"/>
          <w:numId w:val="12"/>
        </w:numPr>
      </w:pPr>
      <w:r>
        <w:t xml:space="preserve">[R] Hayek's 'Serfdom' Revisited. Centre for Independent Studies. https://www.cis.org.au/?p=8586</w:t>
      </w:r>
    </w:p>
    <w:p>
      <w:pPr>
        <w:pStyle w:val="ListParagraph"/>
        <w:numPr>
          <w:ilvl w:val="0"/>
          <w:numId w:val="12"/>
        </w:numPr>
      </w:pPr>
      <w:r>
        <w:t xml:space="preserve">[R] OECD, via Gulf News: Better governed state-owned enterprises to drive Gulf growth. https://gulfnews.com/amp/story/business%2Fbanking%2Fbetter-governed-state-owned-enterprises-to-drive-gulf-growth-1.1006936</w:t>
      </w:r>
    </w:p>
    <w:p>
      <w:pPr>
        <w:pStyle w:val="Heading3"/>
      </w:pPr>
      <w:r>
        <w:t xml:space="preserve">Fontes complementares (não académicas, usadas para factos pontuais)</w:t>
      </w:r>
    </w:p>
    <w:p>
      <w:pPr/>
      <w:r>
        <w:t xml:space="preserve">A. Night-watchman state (glossário). https://modeldiplomat.com/learn/glossary/night-watchman-state · B. Minarquia (Wikipédia). https://pt.wikipedia.com/wiki/Minarquia · C. Kim, A. How Tiny Estonia Became an Outsized Partner for Economic Freedom. https://www.dailysignal.com/?p=45644 · D. China Daily HK (2019), orçamento de Hong Kong. https://www.pressreader.com/china/china-daily-hong-kong/20190228/281913069403519 · E. Wong, R. (2001), Hong Kong's Fiscal Issues. https://hkcer.hku.hk/Letters/v64/rwong.htm · F. Innovation Policy and the Limits of Laissez-faire. https://research.cbs.dk/en/publications/introduction-choosing-to-lose-hong-kongs-tradition-of-positive-no/ · G. Pirie, M. Singapore on Thames. https://www.adamsmith.org/blog/singapore-on-thames-madsen-pirie · H. Cato: What's better role model, France or Switzerland. https://www.cato.org/blog/whats-better-role-model-france-or-switzerland · I. Exploring Swiss island of liquidity. https://beta3.law.asia/?p=52830 · J. East Asia Forum: China's SOE sector is bigger than some would have us think. https://eastasiaforum.org/?p=50602 · K. Ministério das Finanças do Butão (2025). https://mof.gov.bt/wp-content/uploads/2026/05/Share-of-SOE-in-the-Bhutanese-Economy.pdf · L. Åslund, A. (Carnegie, 2000), recensão de Tanzi e Schuknecht. https://carnegieendowment.org/posts/2000/09/sag-adjo-till-hogskattestaten-bid-farewell-to-the-high-tax-society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20"/>
    </w:lvlOverride>
  </w:num>
  <w:num w:numId="11">
    <w:abstractNumId w:val="1"/>
    <w:lvlOverride w:ilvl="0">
      <w:startOverride w:val="35"/>
    </w:lvlOverride>
  </w:num>
  <w:num w:numId="12">
    <w:abstractNumId w:val="1"/>
    <w:lvlOverride w:ilvl="0">
      <w:startOverride w:val="48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 Estado Mínimo conceito, história e peso da iniciativa privada</dc:title>
  <dc:description>Claude Docs node/d7464b68-dd80@2 docx-w7</dc:description>
  <cp:revision>2</cp:revision>
</cp:coreProperties>
</file>