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i w:val="false"/>
          <w:iCs w:val="false"/>
          <w:sz w:val="24"/>
          <w:szCs w:val="24"/>
          <w:rFonts w:ascii="Calibri" w:cs="Calibri" w:eastAsia="Calibri" w:hAnsi="Calibri"/>
        </w:rPr>
        <w:t xml:space="preserve">Relatório de Planejamento e Engenharia: Projeto PCA (Planejamento de Contratações Assistido)</w:t>
      </w:r>
    </w:p>
    <w:p>
      <w:pPr>
        <w:spacing w:after="120" w:before="0"/>
        <w:jc w:val="center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Tribunal Regional do Trabalho da 17ª Região – SIMS – CMOPE</w:t>
      </w:r>
    </w:p>
    <w:p>
      <w:pPr>
        <w:spacing w:after="240" w:before="120"/>
        <w:jc w:val="center"/>
      </w:pPr>
      <w:r>
        <w:rPr>
          <w:b/>
          <w:bCs/>
          <w:i w:val="false"/>
          <w:iCs w:val="false"/>
          <w:sz w:val="26"/>
          <w:szCs w:val="26"/>
          <w:rFonts w:ascii="Calibri" w:cs="Calibri" w:eastAsia="Calibri" w:hAnsi="Calibri"/>
        </w:rPr>
        <w:t xml:space="preserve">ANEXO 1 – SCHEMA DE DADOS: ETP, TR e Mapa de Riscos · versão 2 (corrigida)</w:t>
      </w:r>
    </w:p>
    <w:p>
      <w:pPr>
        <w:spacing w:before="280" w:after="120"/>
      </w:pPr>
      <w:r>
        <w:rPr>
          <w:b/>
          <w:bCs/>
          <w:i w:val="false"/>
          <w:iCs w:val="false"/>
          <w:sz w:val="26"/>
          <w:szCs w:val="26"/>
          <w:rFonts w:ascii="Calibri" w:cs="Calibri" w:eastAsia="Calibri" w:hAnsi="Calibri"/>
        </w:rPr>
        <w:t xml:space="preserve">Registro de alterações em relação à versão 1</w:t>
      </w:r>
    </w:p>
    <w:p>
      <w:pPr>
        <w:spacing w:after="120" w:before="0"/>
        <w:jc w:val="both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Versão 2, de 23/10/2026. Esta versão corrige a numeração dos incisos do ETP e a localização de campos do TR, conferidas no texto da Lei nº 14.133/2021. As linhas alteradas aparecem destacadas nas tabelas e a coluna “Alteração” indica o que mudou.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ETP: a versão 1 tinha 11 seções; o art. 18, §1º tem 13 incisos. Foram trocados os incisos IV e V, incluídos os incisos IX e X e renumerados os seguintes.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ETP, modo simplificado: o art. 18, §2º exige no mínimo os incisos I, IV, VI, VIII e XIII. A versão 1 indicava “I, IV, VI, IX e XI”.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TR: a especificação do produto passou da alínea i) para o art. 40, §1º, I, que trata do termo de referência para compras. A alínea i) do art. 6º, XXIII trata apenas das estimativas do valor.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TR: incluídos os incisos II e III do art. 40, §1º (locais de entrega e garantia).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TR, alínea d): habilitação jurídica é o art. 66; o art. 68 trata das habilitações fiscal, social e trabalhista.</w:t>
      </w:r>
    </w:p>
    <w:p>
      <w:pPr>
        <w:spacing w:before="280" w:after="120"/>
      </w:pPr>
      <w:r>
        <w:rPr>
          <w:b/>
          <w:bCs/>
          <w:i w:val="false"/>
          <w:iCs w:val="false"/>
          <w:sz w:val="26"/>
          <w:szCs w:val="26"/>
          <w:rFonts w:ascii="Calibri" w:cs="Calibri" w:eastAsia="Calibri" w:hAnsi="Calibri"/>
        </w:rPr>
        <w:t xml:space="preserve">Observação</w:t>
      </w:r>
    </w:p>
    <w:p>
      <w:pPr>
        <w:spacing w:after="120" w:before="0"/>
        <w:jc w:val="both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Esta especificação traduz as regras de negócio da Lei nº 14.133/2021 e as diretrizes do TRT-17 levantadas nas reuniões do projeto.</w:t>
      </w:r>
    </w:p>
    <w:p>
      <w:pPr>
        <w:spacing w:before="280" w:after="120"/>
      </w:pPr>
      <w:r>
        <w:rPr>
          <w:b/>
          <w:bCs/>
          <w:i w:val="false"/>
          <w:iCs w:val="false"/>
          <w:sz w:val="26"/>
          <w:szCs w:val="26"/>
          <w:rFonts w:ascii="Calibri" w:cs="Calibri" w:eastAsia="Calibri" w:hAnsi="Calibri"/>
        </w:rPr>
        <w:t xml:space="preserve">1. Schema de dados: Estudo Técnico Preliminar (ETP)</w:t>
      </w:r>
    </w:p>
    <w:p>
      <w:pPr>
        <w:spacing w:after="120" w:before="0"/>
        <w:jc w:val="both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O ETP no PCA é estruturado sobre os 13 incisos do art. 18, §1º da Lei nº 14.133/2021, na ordem da lei. O sistema oferece o Modo Completo e o Modo Simplificado. No Modo Simplificado (art. 18, §2º), o ETP contém no mínimo os incisos I, IV, VI, VIII e XIII; a ausência dos demais exige justificativa.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1"/>
        <w:gridCol w:w="2040"/>
        <w:gridCol w:w="6119"/>
        <w:gridCol w:w="2040"/>
      </w:tblGrid>
      <w:tr>
        <w:trPr>
          <w:tblHeader/>
        </w:trPr>
        <w:tc>
          <w:tcPr>
            <w:tcW w:type="dxa" w:w="4371"/>
            <w:shd w:fill="D9E2EC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Inciso do ETP (art. 18, §1º)</w:t>
            </w:r>
          </w:p>
        </w:tc>
        <w:tc>
          <w:tcPr>
            <w:tcW w:type="dxa" w:w="2040"/>
            <w:shd w:fill="D9E2EC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6119"/>
            <w:shd w:fill="D9E2EC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Origem / regra de negócio / comportamento da IA</w:t>
            </w:r>
          </w:p>
        </w:tc>
        <w:tc>
          <w:tcPr>
            <w:tcW w:type="dxa" w:w="2040"/>
            <w:shd w:fill="D9E2EC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Alteração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Cabeçalho (identificação do processo)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HERDADO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Número do processo SEI e unidade requisitante herdados do DFD.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 – Descrição da necessidade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HERDADO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Importa a caracterização da demanda do DFD. A IA ajusta a redação somente se o usuário solicitar.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II – Demonstração da previsão no plano de contratações anual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HERDADO / FIXO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Verifica se o objeto consta do plano anual do TRT-17. Se sim, herda o código; se não, sugere justificativa padrão.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III – Requisitos da contratação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USUÁRIO / FIXO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Padrões de conformidade técnica, garantia mínima (ex.: 12 meses), tratamento de ME/EPP.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IV – Estimativa das quantidades, com memórias de cálculo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USUÁRIO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Entrada manual do quantitativo. A IA pode sugerir a redação da memória de cálculo com base no histórico do órgão.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Era “V”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V – Levantamento de mercado e justificativa técnica e econômica da escolha da solução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BUSCA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1ª busca externa da IA: soluções que atendam à necessidade, com fontes citadas. O usuário escolhe a alternativa.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Era “IV”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VI – Estimativa do valor da contratação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BUSCA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Estimativa com preços unitários referenciais e memórias de cálculo; fontes citadas.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VII – Descrição da solução como um todo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USUÁRIO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O usuário seleciona a alternativa do inciso V; a IA redige a justificativa da escolha.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VIII – Justificativas para o parcelamento ou não da contratação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FIXO / USUÁRIO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Para materiais homogêneos ou indivisíveis, texto padrão para lote único.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IX – Demonstrativo dos resultados pretendidos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USUÁRIO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Resultados em termos de economicidade e de melhor aproveitamento dos recursos.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Incluído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X – Providências a serem adotadas previamente à celebração do contrato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USUÁRIO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Inclui a capacitação de servidores para fiscalização e gestão contratual, quando cabível.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Incluído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XI – Contratações correlatas e/ou interdependentes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USUÁRIO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Contratos vinculados (ex.: contrato vigente de manutenção dos nobreaks).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Era “IX”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XII – Descrição de possíveis impactos ambientais e medidas mitigadoras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FIXO / USUÁRIO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Regras do Guia de Contratações Sustentáveis da Justiça do Trabalho (ex.: logística reversa de baterias).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Era “X”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XIII – Posicionamento conclusivo sobre a adequação da contratação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FIXO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Declaração de viabilidade para assinatura do responsável.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Era “XI”</w:t>
            </w:r>
          </w:p>
        </w:tc>
      </w:tr>
    </w:tbl>
    <w:p>
      <w:pPr>
        <w:spacing w:before="280" w:after="120"/>
      </w:pPr>
      <w:r>
        <w:rPr>
          <w:b/>
          <w:bCs/>
          <w:i w:val="false"/>
          <w:iCs w:val="false"/>
          <w:sz w:val="26"/>
          <w:szCs w:val="26"/>
          <w:rFonts w:ascii="Calibri" w:cs="Calibri" w:eastAsia="Calibri" w:hAnsi="Calibri"/>
        </w:rPr>
        <w:t xml:space="preserve">2. Schema de dados: Termo de Referência (TR)</w:t>
      </w:r>
    </w:p>
    <w:p>
      <w:pPr>
        <w:spacing w:after="120" w:before="0"/>
        <w:jc w:val="both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O TR herda o ETP e se concentra na execução. Para compras, contém os elementos do art. 6º, XXIII e as informações do art. 40, §1º da Lei nº 14.133/2021. As únicas entradas manuais do usuário são prazos e forma de fornecimento; o restante é herdado ou institucional.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1"/>
        <w:gridCol w:w="2040"/>
        <w:gridCol w:w="6119"/>
        <w:gridCol w:w="2040"/>
      </w:tblGrid>
      <w:tr>
        <w:trPr>
          <w:tblHeader/>
        </w:trPr>
        <w:tc>
          <w:tcPr>
            <w:tcW w:type="dxa" w:w="4371"/>
            <w:shd w:fill="D9E2EC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Elemento do TR</w:t>
            </w:r>
          </w:p>
        </w:tc>
        <w:tc>
          <w:tcPr>
            <w:tcW w:type="dxa" w:w="2040"/>
            <w:shd w:fill="D9E2EC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6119"/>
            <w:shd w:fill="D9E2EC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Origem / regra de negócio / comportamento da IA</w:t>
            </w:r>
          </w:p>
        </w:tc>
        <w:tc>
          <w:tcPr>
            <w:tcW w:type="dxa" w:w="2040"/>
            <w:shd w:fill="D9E2EC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Alteração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a) Definição do objeto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HERDADO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Objeto e quantidades aprovados no DFD e no ETP; natureza, prazo do contrato e possibilidade de prorrogação.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b) Fundamentação da contratação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HERDADO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Remissão ao ETP correspondente.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c) Descrição da solução como um todo (ciclo de vida)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HERDADO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Diretrizes do ETP, com obrigações de descarte de resíduos e embalagens.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d) Requisitos da contratação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FIXO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Habilitação jurídica (art. 66) e habilitações fiscal, social e trabalhista (art. 68) da Lei 14.133/2021.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Era “art. 68” para todas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e) Modelo de execução do objeto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USUÁRIO / FIXO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Prazo e forma de fornecimento (USUÁRIO); local e horário de recebimento (FIXO). Ver nota sobre local e horário.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f) Modelo de gestão do contrato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FIXO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Recebimento provisório e definitivo, conforme clausulado padrão do TRT-17.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g) Critérios de medição e de pagamento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FIXO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Faturamento via SIGEO-JT e pagamento em até 30 dias.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h) Forma e critérios de seleção do fornecedor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FIXO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Pregão eletrônico por lote único ou item; menor preço global ou unitário.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i) Estimativas do valor da contratação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BUSCA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Pesquisa em cascata: PNCP → bancos de preços → lojas especializadas; mínimo de 5 preços por item, média, mediana e descarte de discrepantes.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Era “i.2”</w:t>
            </w:r>
          </w:p>
        </w:tc>
      </w:tr>
      <w:tr>
        <w:tc>
          <w:tcPr>
            <w:tcW w:type="dxa" w:w="4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j) Adequação orçamentária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HERDADO</w:t>
            </w:r>
          </w:p>
        </w:tc>
        <w:tc>
          <w:tcPr>
            <w:tcW w:type="dxa" w:w="6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Vínculo com a dotação orçamentária autorizada.</w:t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Art. 40, §1º, I – Especificação do produto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BUSCA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Busca restrita a catálogos de fabricantes; bloqueio de e-commerce geral.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Era “i.1”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Art. 40, §1º, II – Locais de entrega e regras de recebimento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HERDADO / FIXO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 as definições das alíneas e) e f).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Incluído</w:t>
            </w:r>
          </w:p>
        </w:tc>
      </w:tr>
      <w:tr>
        <w:tc>
          <w:tcPr>
            <w:tcW w:type="dxa" w:w="4371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Art. 40, §1º, III – Garantia exigida e condições de manutenção e assistência técnica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HERDADO</w:t>
            </w:r>
          </w:p>
        </w:tc>
        <w:tc>
          <w:tcPr>
            <w:tcW w:type="dxa" w:w="6119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Herda a garantia definida no ETP (inciso III).</w:t>
            </w:r>
          </w:p>
        </w:tc>
        <w:tc>
          <w:tcPr>
            <w:tcW w:type="dxa" w:w="2040"/>
            <w:shd w:fill="FFF4D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  <w:rFonts w:ascii="Calibri" w:cs="Calibri" w:eastAsia="Calibri" w:hAnsi="Calibri"/>
              </w:rPr>
              <w:t xml:space="preserve">Incluído</w:t>
            </w:r>
          </w:p>
        </w:tc>
      </w:tr>
    </w:tbl>
    <w:p>
      <w:pPr>
        <w:spacing w:after="120" w:before="120"/>
        <w:jc w:val="both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Nota sobre a alínea e): 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a versão 1 indicava entrega no Almoxarifado do TRT-17, das 12h às 18h. O TR real do processo das baterias (2025) indica entrega no Edifício Sede, das 12h às 19h. O padrão institucional deve ser confirmado com o coordenador antes da construção.</w:t>
      </w:r>
    </w:p>
    <w:p>
      <w:pPr>
        <w:spacing w:before="280" w:after="120"/>
      </w:pPr>
      <w:r>
        <w:rPr>
          <w:b/>
          <w:bCs/>
          <w:i w:val="false"/>
          <w:iCs w:val="false"/>
          <w:sz w:val="26"/>
          <w:szCs w:val="26"/>
          <w:rFonts w:ascii="Calibri" w:cs="Calibri" w:eastAsia="Calibri" w:hAnsi="Calibri"/>
        </w:rPr>
        <w:t xml:space="preserve">3. Mapa de Risco por fases (integrado ao ETP)</w:t>
      </w:r>
    </w:p>
    <w:p>
      <w:pPr>
        <w:spacing w:after="120" w:before="0"/>
        <w:jc w:val="both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Sem alterações em relação à versão 1. O PCA usa uma matriz base estruturada por fase do processo, multiplicando probabilidade (0,1 a 1,0) por impacto (1 a 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Fase de Planejamento: 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risco de especificação restritiva ou orçamentos superestimados por falta de cotações robustas. Mitigação: busca em cascata de preços e validação contra catálogos oficiais de fabricantes.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Fase de Licitação (Seleção): 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risco de impugnações de edital, lances de empresas inidôneas ou deserção. Mitigação: minutas padronizadas de edital da AGU e cruzamento prévio das restrições com a base do SICAF.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Fase de Gestão Contratual (Execução): 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risco de atraso logístico, entrega de material recondicionado ou ausência de logística reversa. Mitigação: garantia mínima de 12 meses e notificação de multas por dia de atraso (ex.: 0,5% do valor contratado).</w:t>
      </w:r>
    </w:p>
    <w:p>
      <w:pPr>
        <w:spacing w:before="280" w:after="120"/>
      </w:pPr>
      <w:r>
        <w:rPr>
          <w:b/>
          <w:bCs/>
          <w:i w:val="false"/>
          <w:iCs w:val="false"/>
          <w:sz w:val="26"/>
          <w:szCs w:val="26"/>
          <w:rFonts w:ascii="Calibri" w:cs="Calibri" w:eastAsia="Calibri" w:hAnsi="Calibri"/>
        </w:rPr>
        <w:t xml:space="preserve">Como o agente de IA atuará na prototipagem</w:t>
      </w:r>
    </w:p>
    <w:p>
      <w:pPr>
        <w:spacing w:after="120" w:before="0"/>
        <w:jc w:val="both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Durante o desenvolvimento do protótipo, o agente de IA executará rotinas automatizadas de busca de preços e dados técnicos. Quando houver mais de uma especificação compatível ou múltiplos preços levantados, o agente gerará uma tabela comparativa no navegador, na qual o servidor revisa os valores, desmarca cotações atípicas e aciona a exportação em arquivo .docx editável, conforme os padrões do TRT-ES.</w:t>
      </w:r>
    </w:p>
    <w:p>
      <w:pPr>
        <w:spacing w:before="280" w:after="120"/>
      </w:pPr>
      <w:r>
        <w:rPr>
          <w:b/>
          <w:bCs/>
          <w:i w:val="false"/>
          <w:iCs w:val="false"/>
          <w:sz w:val="26"/>
          <w:szCs w:val="26"/>
          <w:rFonts w:ascii="Calibri" w:cs="Calibri" w:eastAsia="Calibri" w:hAnsi="Calibri"/>
        </w:rPr>
        <w:t xml:space="preserve">Fontes da correção</w:t>
      </w:r>
    </w:p>
    <w:p>
      <w:pPr>
        <w:spacing w:after="120" w:before="0"/>
        <w:jc w:val="both"/>
      </w:pP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Lei nº 14.133/2021, art. 6º, XXIII; art. 18, §§1º e 2º; art. 40, §1º; arts. 66 e 68 — texto consultado em legjur.com.br em 23/10/2026. Recomenda-se conferência final no Planalto.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1 – Schema de dados (v2)</dc:title>
  <dc:creator>PCA</dc:creator>
  <cp:lastModifiedBy>Un-named</cp:lastModifiedBy>
  <cp:revision>1</cp:revision>
  <dcterms:created xsi:type="dcterms:W3CDTF">2026-10-23T20:20:43.787Z</dcterms:created>
  <dcterms:modified xsi:type="dcterms:W3CDTF">2026-10-23T20:20:43.787Z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