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B49F3" w14:textId="77777777" w:rsidR="001357CD" w:rsidRDefault="001357CD" w:rsidP="001357CD">
      <w:pPr>
        <w:jc w:val="center"/>
        <w:rPr>
          <w:b/>
        </w:rPr>
      </w:pPr>
    </w:p>
    <w:p w14:paraId="1A00E225" w14:textId="77777777" w:rsidR="001357CD" w:rsidRPr="00805C16" w:rsidRDefault="001357CD" w:rsidP="001357CD">
      <w:pPr>
        <w:jc w:val="center"/>
        <w:rPr>
          <w:b/>
        </w:rPr>
      </w:pPr>
      <w:r w:rsidRPr="00805C16">
        <w:rPr>
          <w:b/>
        </w:rPr>
        <w:t>Quantifying the Value to the Farmer of Adopting Climate Change Resilient Technologies: Evidence from the Agricultural Sector in Uruguay.</w:t>
      </w:r>
    </w:p>
    <w:p w14:paraId="640E197D" w14:textId="77777777" w:rsidR="001357CD" w:rsidRPr="00944B82" w:rsidRDefault="001357CD" w:rsidP="001357CD">
      <w:pPr>
        <w:pStyle w:val="Author"/>
        <w:spacing w:before="0" w:after="0"/>
        <w:rPr>
          <w:sz w:val="24"/>
          <w:szCs w:val="24"/>
        </w:rPr>
      </w:pPr>
    </w:p>
    <w:p w14:paraId="2EF06A60" w14:textId="60562674" w:rsidR="001357CD" w:rsidRPr="00766A4A" w:rsidRDefault="001357CD" w:rsidP="001357CD">
      <w:pPr>
        <w:pStyle w:val="Author"/>
        <w:spacing w:before="0" w:after="0"/>
        <w:rPr>
          <w:sz w:val="24"/>
          <w:szCs w:val="24"/>
          <w:lang w:val="es-UY"/>
        </w:rPr>
      </w:pPr>
      <w:r w:rsidRPr="00766A4A">
        <w:rPr>
          <w:sz w:val="24"/>
          <w:szCs w:val="24"/>
          <w:lang w:val="es-UY"/>
        </w:rPr>
        <w:t>Francisco Rosas</w:t>
      </w:r>
      <w:r w:rsidRPr="00766A4A">
        <w:rPr>
          <w:sz w:val="24"/>
          <w:szCs w:val="24"/>
          <w:vertAlign w:val="superscript"/>
          <w:lang w:val="es-UY"/>
        </w:rPr>
        <w:t xml:space="preserve">1 </w:t>
      </w:r>
      <w:r w:rsidRPr="00766A4A">
        <w:rPr>
          <w:sz w:val="24"/>
          <w:szCs w:val="24"/>
          <w:lang w:val="es-UY"/>
        </w:rPr>
        <w:t xml:space="preserve"> - Mariana Sans</w:t>
      </w:r>
      <w:r w:rsidRPr="00766A4A">
        <w:rPr>
          <w:sz w:val="24"/>
          <w:szCs w:val="24"/>
          <w:vertAlign w:val="superscript"/>
          <w:lang w:val="es-UY"/>
        </w:rPr>
        <w:t>2</w:t>
      </w:r>
    </w:p>
    <w:p w14:paraId="582DC2E9" w14:textId="77777777" w:rsidR="001357CD" w:rsidRPr="00766A4A" w:rsidRDefault="001357CD" w:rsidP="001357CD">
      <w:pPr>
        <w:pStyle w:val="Author"/>
        <w:spacing w:before="0" w:after="0"/>
        <w:jc w:val="left"/>
        <w:rPr>
          <w:sz w:val="24"/>
          <w:szCs w:val="24"/>
          <w:lang w:val="es-UY"/>
        </w:rPr>
      </w:pPr>
    </w:p>
    <w:p w14:paraId="6E9B3CE8" w14:textId="77777777" w:rsidR="001357CD" w:rsidRPr="00766A4A" w:rsidRDefault="001357CD" w:rsidP="001357CD">
      <w:pPr>
        <w:spacing w:line="240" w:lineRule="auto"/>
        <w:ind w:firstLine="0"/>
        <w:jc w:val="both"/>
        <w:rPr>
          <w:b/>
          <w:lang w:val="es-UY"/>
        </w:rPr>
      </w:pPr>
    </w:p>
    <w:p w14:paraId="547C8F6F" w14:textId="035A2F34" w:rsidR="001357CD" w:rsidRDefault="001357CD" w:rsidP="001357CD">
      <w:pPr>
        <w:spacing w:line="240" w:lineRule="auto"/>
        <w:ind w:firstLine="0"/>
        <w:jc w:val="both"/>
        <w:rPr>
          <w:rFonts w:eastAsiaTheme="minorEastAsia"/>
        </w:rPr>
      </w:pPr>
      <w:proofErr w:type="spellStart"/>
      <w:r w:rsidRPr="00766A4A">
        <w:rPr>
          <w:b/>
          <w:lang w:val="es-UY"/>
        </w:rPr>
        <w:t>Abstract</w:t>
      </w:r>
      <w:proofErr w:type="spellEnd"/>
      <w:r w:rsidRPr="00766A4A">
        <w:rPr>
          <w:lang w:val="es-UY"/>
        </w:rPr>
        <w:t>.</w:t>
      </w:r>
      <w:r w:rsidR="00B0334B" w:rsidRPr="00766A4A">
        <w:rPr>
          <w:lang w:val="es-UY"/>
        </w:rPr>
        <w:t xml:space="preserve"> </w:t>
      </w:r>
      <w:r w:rsidR="00B0334B" w:rsidRPr="00B0334B">
        <w:t>Technology adoption and innovation are some of the alternatives firms have to adapt to variability and climate change. In the agricultural sector, for example, farmers seek to generate climate resilient production systems by innovating in input-based or process-based technologies, which impacts on productivity and production costs. Of significant interest, are those technologies inducing a reduction in variability of productivity. However, typical feasibility analyses do not consider the economic benefits arising from the higher revenue stability. We evaluate adaptation technologies for two agricultural activities, summer crops and livestock production in Uruguay, using an expected utility approach, and monetarily quantify the value to the farmer of the induced average revenue increase, but also of the productivity variability reduction. We find there is a relatively high value a risk adverse farmer assigns to the lower volatility, amounting to 7%-39% of the total value assigned to the use of the corresponding adaptation technology.</w:t>
      </w:r>
    </w:p>
    <w:p w14:paraId="4997789B" w14:textId="77777777" w:rsidR="001357CD" w:rsidRDefault="001357CD" w:rsidP="001357CD">
      <w:pPr>
        <w:spacing w:after="120" w:line="240" w:lineRule="auto"/>
        <w:ind w:firstLine="706"/>
      </w:pPr>
    </w:p>
    <w:p w14:paraId="52FA9FA2" w14:textId="77777777" w:rsidR="001357CD" w:rsidRDefault="001357CD" w:rsidP="001357CD">
      <w:pPr>
        <w:spacing w:after="120" w:line="240" w:lineRule="auto"/>
        <w:ind w:firstLine="0"/>
      </w:pPr>
      <w:r>
        <w:t xml:space="preserve">Key words: </w:t>
      </w:r>
      <w:r w:rsidRPr="00DE5EFE">
        <w:rPr>
          <w:i/>
        </w:rPr>
        <w:t xml:space="preserve">Adaptation, expected utility, crop production, irrigation, livestock production, </w:t>
      </w:r>
      <w:proofErr w:type="gramStart"/>
      <w:r w:rsidRPr="00DE5EFE">
        <w:rPr>
          <w:i/>
        </w:rPr>
        <w:t>natural</w:t>
      </w:r>
      <w:proofErr w:type="gramEnd"/>
      <w:r w:rsidRPr="00DE5EFE">
        <w:rPr>
          <w:i/>
        </w:rPr>
        <w:t xml:space="preserve"> rangelands</w:t>
      </w:r>
    </w:p>
    <w:p w14:paraId="73CAF512" w14:textId="0BF4B917" w:rsidR="001357CD" w:rsidRDefault="001357CD" w:rsidP="001357CD">
      <w:pPr>
        <w:spacing w:after="120" w:line="240" w:lineRule="auto"/>
        <w:ind w:firstLine="0"/>
      </w:pPr>
    </w:p>
    <w:p w14:paraId="466D5151" w14:textId="6AD55F79" w:rsidR="001357CD" w:rsidRDefault="001357CD" w:rsidP="001357CD">
      <w:pPr>
        <w:spacing w:after="120" w:line="240" w:lineRule="auto"/>
        <w:ind w:firstLine="0"/>
      </w:pPr>
    </w:p>
    <w:p w14:paraId="16BC9700" w14:textId="77777777" w:rsidR="001357CD" w:rsidRDefault="001357CD" w:rsidP="001357CD">
      <w:pPr>
        <w:spacing w:after="120" w:line="240" w:lineRule="auto"/>
        <w:ind w:firstLine="0"/>
      </w:pPr>
    </w:p>
    <w:p w14:paraId="4C28B0F8" w14:textId="77777777" w:rsidR="001357CD" w:rsidRPr="007A49D1" w:rsidRDefault="001357CD" w:rsidP="001357CD">
      <w:pPr>
        <w:spacing w:line="240" w:lineRule="auto"/>
        <w:ind w:firstLine="0"/>
        <w:rPr>
          <w:lang w:val="es-UY"/>
        </w:rPr>
      </w:pPr>
      <w:r w:rsidRPr="00766A4A">
        <w:rPr>
          <w:rFonts w:ascii="MS Gothic" w:eastAsia="MS Gothic" w:hAnsi="MS Gothic" w:cs="MS Gothic" w:hint="eastAsia"/>
          <w:lang w:val="es-UY"/>
        </w:rPr>
        <w:t>✉</w:t>
      </w:r>
      <w:r w:rsidRPr="00766A4A">
        <w:rPr>
          <w:rFonts w:ascii="MS Gothic" w:eastAsia="MS Gothic" w:hAnsi="MS Gothic" w:cs="MS Gothic"/>
          <w:lang w:val="es-UY"/>
        </w:rPr>
        <w:t xml:space="preserve"> </w:t>
      </w:r>
      <w:r w:rsidRPr="00766A4A">
        <w:rPr>
          <w:lang w:val="es-UY"/>
        </w:rPr>
        <w:t xml:space="preserve">Francisco </w:t>
      </w:r>
      <w:r w:rsidRPr="007A49D1">
        <w:rPr>
          <w:lang w:val="es-UY"/>
        </w:rPr>
        <w:t>Rosas</w:t>
      </w:r>
    </w:p>
    <w:p w14:paraId="5019F6A1" w14:textId="77777777" w:rsidR="001357CD" w:rsidRPr="00274F69" w:rsidRDefault="001357CD" w:rsidP="001357CD">
      <w:pPr>
        <w:spacing w:after="240" w:line="240" w:lineRule="auto"/>
        <w:ind w:firstLine="0"/>
        <w:rPr>
          <w:szCs w:val="24"/>
          <w:lang w:val="es-UY"/>
        </w:rPr>
      </w:pPr>
      <w:r w:rsidRPr="00274F69">
        <w:rPr>
          <w:szCs w:val="24"/>
          <w:lang w:val="es-UY"/>
        </w:rPr>
        <w:t xml:space="preserve">      </w:t>
      </w:r>
      <w:hyperlink r:id="rId8" w:history="1">
        <w:r w:rsidRPr="00274F69">
          <w:rPr>
            <w:rStyle w:val="Hipervnculo"/>
            <w:szCs w:val="24"/>
            <w:lang w:val="es-UY"/>
          </w:rPr>
          <w:t>frosas@ort.edu.uy</w:t>
        </w:r>
      </w:hyperlink>
    </w:p>
    <w:p w14:paraId="0F1764D8" w14:textId="77777777" w:rsidR="001357CD" w:rsidRPr="00D12F59" w:rsidRDefault="001357CD" w:rsidP="001357CD">
      <w:pPr>
        <w:spacing w:line="240" w:lineRule="auto"/>
        <w:ind w:firstLine="0"/>
        <w:rPr>
          <w:lang w:val="es-UY"/>
        </w:rPr>
      </w:pPr>
      <w:r w:rsidRPr="00D12F59">
        <w:rPr>
          <w:lang w:val="es-UY"/>
        </w:rPr>
        <w:t xml:space="preserve">      Mariana Sans</w:t>
      </w:r>
    </w:p>
    <w:p w14:paraId="0F846A98" w14:textId="77777777" w:rsidR="001357CD" w:rsidRPr="00D12F59" w:rsidRDefault="001357CD" w:rsidP="001357CD">
      <w:pPr>
        <w:spacing w:after="240" w:line="240" w:lineRule="auto"/>
        <w:ind w:firstLine="0"/>
        <w:rPr>
          <w:lang w:val="es-UY"/>
        </w:rPr>
      </w:pPr>
      <w:r w:rsidRPr="00D12F59">
        <w:rPr>
          <w:lang w:val="es-UY"/>
        </w:rPr>
        <w:t xml:space="preserve">      </w:t>
      </w:r>
      <w:hyperlink r:id="rId9" w:history="1">
        <w:r w:rsidRPr="00C35C3D">
          <w:rPr>
            <w:rStyle w:val="Hipervnculo"/>
            <w:lang w:val="es-UY"/>
          </w:rPr>
          <w:t>msans@worldbank.org</w:t>
        </w:r>
      </w:hyperlink>
      <w:r>
        <w:rPr>
          <w:lang w:val="es-UY"/>
        </w:rPr>
        <w:t xml:space="preserve"> </w:t>
      </w:r>
    </w:p>
    <w:p w14:paraId="65F9FE91" w14:textId="77777777" w:rsidR="001357CD" w:rsidRPr="0079711F" w:rsidRDefault="001357CD" w:rsidP="001357CD">
      <w:pPr>
        <w:pStyle w:val="Author"/>
        <w:spacing w:before="0" w:after="240"/>
        <w:jc w:val="left"/>
        <w:rPr>
          <w:sz w:val="24"/>
          <w:szCs w:val="24"/>
        </w:rPr>
      </w:pPr>
      <w:r w:rsidRPr="00274F69">
        <w:rPr>
          <w:sz w:val="24"/>
          <w:szCs w:val="24"/>
          <w:vertAlign w:val="superscript"/>
          <w:lang w:val="es-UY"/>
        </w:rPr>
        <w:t>1</w:t>
      </w:r>
      <w:r w:rsidRPr="00274F69">
        <w:rPr>
          <w:sz w:val="24"/>
          <w:szCs w:val="24"/>
          <w:lang w:val="es-UY"/>
        </w:rPr>
        <w:t xml:space="preserve"> Department of Economics, Universidad ORT Uruguay</w:t>
      </w:r>
      <w:r>
        <w:rPr>
          <w:sz w:val="24"/>
          <w:szCs w:val="24"/>
          <w:lang w:val="es-UY"/>
        </w:rPr>
        <w:t>,</w:t>
      </w:r>
      <w:r w:rsidRPr="00274F69">
        <w:rPr>
          <w:sz w:val="24"/>
          <w:szCs w:val="24"/>
          <w:lang w:val="es-UY"/>
        </w:rPr>
        <w:t xml:space="preserve"> and Centro de Investigaciones Económicas (cinve), </w:t>
      </w:r>
      <w:r>
        <w:rPr>
          <w:sz w:val="24"/>
          <w:szCs w:val="24"/>
          <w:lang w:val="es-UY"/>
        </w:rPr>
        <w:t xml:space="preserve">Bvar. </w:t>
      </w:r>
      <w:r w:rsidRPr="0079711F">
        <w:rPr>
          <w:sz w:val="24"/>
          <w:szCs w:val="24"/>
        </w:rPr>
        <w:t>España 2633, Montevideo 11300, Uruguay</w:t>
      </w:r>
    </w:p>
    <w:p w14:paraId="42A7E71A" w14:textId="77777777" w:rsidR="001357CD" w:rsidRDefault="001357CD" w:rsidP="001357CD">
      <w:pPr>
        <w:pStyle w:val="Author"/>
        <w:spacing w:before="0" w:after="120"/>
        <w:jc w:val="left"/>
        <w:rPr>
          <w:sz w:val="24"/>
        </w:rPr>
      </w:pPr>
      <w:r w:rsidRPr="00274F69">
        <w:rPr>
          <w:sz w:val="24"/>
          <w:vertAlign w:val="superscript"/>
        </w:rPr>
        <w:t xml:space="preserve">2 </w:t>
      </w:r>
      <w:r w:rsidRPr="00274F69">
        <w:rPr>
          <w:sz w:val="24"/>
        </w:rPr>
        <w:t>Development Economics Unit</w:t>
      </w:r>
      <w:r>
        <w:rPr>
          <w:sz w:val="24"/>
        </w:rPr>
        <w:t xml:space="preserve"> </w:t>
      </w:r>
      <w:r w:rsidRPr="00274F69">
        <w:rPr>
          <w:sz w:val="24"/>
        </w:rPr>
        <w:t>(DEC)</w:t>
      </w:r>
      <w:r>
        <w:rPr>
          <w:sz w:val="24"/>
        </w:rPr>
        <w:t xml:space="preserve">, </w:t>
      </w:r>
      <w:r w:rsidRPr="00274F69">
        <w:rPr>
          <w:sz w:val="24"/>
        </w:rPr>
        <w:t>World Bank Group, Washington, DC 20433, USA</w:t>
      </w:r>
      <w:r>
        <w:rPr>
          <w:sz w:val="24"/>
        </w:rPr>
        <w:t xml:space="preserve">. </w:t>
      </w:r>
      <w:r w:rsidRPr="00805C16">
        <w:rPr>
          <w:sz w:val="24"/>
        </w:rPr>
        <w:t xml:space="preserve">The findings and proposals of this paper do not necessarily reflect the views of The World Bank, its executive directors or the countries they represent. </w:t>
      </w:r>
      <w:r>
        <w:rPr>
          <w:sz w:val="24"/>
        </w:rPr>
        <w:t xml:space="preserve"> </w:t>
      </w:r>
    </w:p>
    <w:p w14:paraId="12A41026" w14:textId="77777777" w:rsidR="001357CD" w:rsidRDefault="001357CD">
      <w:pPr>
        <w:spacing w:after="200" w:line="276" w:lineRule="auto"/>
        <w:ind w:firstLine="0"/>
        <w:rPr>
          <w:highlight w:val="yellow"/>
        </w:rPr>
      </w:pPr>
      <w:r>
        <w:rPr>
          <w:highlight w:val="yellow"/>
        </w:rPr>
        <w:br w:type="page"/>
      </w:r>
    </w:p>
    <w:p w14:paraId="5E323E13" w14:textId="13312652" w:rsidR="00805C16" w:rsidRPr="001E4747" w:rsidRDefault="00805C16" w:rsidP="000E744C">
      <w:pPr>
        <w:jc w:val="center"/>
        <w:rPr>
          <w:b/>
        </w:rPr>
      </w:pPr>
      <w:r w:rsidRPr="001E4747">
        <w:rPr>
          <w:b/>
        </w:rPr>
        <w:lastRenderedPageBreak/>
        <w:t>Quantifying the Value to the Farmer of Adopting Climate Change Resilient Technologies: Evidence from the Agricultural Sector in Uruguay.</w:t>
      </w:r>
    </w:p>
    <w:p w14:paraId="5F97CB1D" w14:textId="77777777" w:rsidR="00805C16" w:rsidRDefault="00805C16" w:rsidP="00805C16">
      <w:pPr>
        <w:pStyle w:val="Prrafodelista"/>
        <w:ind w:left="1080" w:firstLine="0"/>
      </w:pPr>
    </w:p>
    <w:p w14:paraId="26BD6267" w14:textId="3751F509" w:rsidR="00975C56" w:rsidRPr="001A2C1B" w:rsidRDefault="00975C56" w:rsidP="00BC5BB2">
      <w:pPr>
        <w:pStyle w:val="Prrafodelista"/>
        <w:numPr>
          <w:ilvl w:val="0"/>
          <w:numId w:val="14"/>
        </w:numPr>
      </w:pPr>
      <w:r w:rsidRPr="001A2C1B">
        <w:t>Introduction</w:t>
      </w:r>
    </w:p>
    <w:p w14:paraId="4A74BF24" w14:textId="77777777" w:rsidR="00C6707E" w:rsidRPr="00BC5BB2" w:rsidRDefault="00A72B88" w:rsidP="00A14DE4">
      <w:pPr>
        <w:ind w:firstLine="0"/>
      </w:pPr>
      <w:r w:rsidRPr="00BC5BB2">
        <w:t>Climate conditions play</w:t>
      </w:r>
      <w:r w:rsidR="00D62B0F" w:rsidRPr="00BC5BB2">
        <w:t xml:space="preserve"> a salient role in agricultural production due to its high dependence on weather </w:t>
      </w:r>
      <w:r w:rsidRPr="00BC5BB2">
        <w:t>variables</w:t>
      </w:r>
      <w:r w:rsidR="00D62B0F" w:rsidRPr="00BC5BB2">
        <w:t xml:space="preserve">. </w:t>
      </w:r>
      <w:r w:rsidR="00EB22E0" w:rsidRPr="00BC5BB2">
        <w:t>F</w:t>
      </w:r>
      <w:r w:rsidR="00D62B0F" w:rsidRPr="00BC5BB2">
        <w:t xml:space="preserve">armers and policy makers seek to develop strategies for adaptation to </w:t>
      </w:r>
      <w:r w:rsidRPr="00BC5BB2">
        <w:t>climate change</w:t>
      </w:r>
      <w:r w:rsidR="0092271D" w:rsidRPr="00BC5BB2">
        <w:t xml:space="preserve"> and variability</w:t>
      </w:r>
      <w:r w:rsidR="00D62B0F" w:rsidRPr="00BC5BB2">
        <w:t xml:space="preserve">. </w:t>
      </w:r>
      <w:r w:rsidR="00BC5BB2" w:rsidRPr="00BC5BB2">
        <w:t xml:space="preserve">Their objective is </w:t>
      </w:r>
      <w:r w:rsidR="00CA74F7" w:rsidRPr="00BC5BB2">
        <w:t>the development, promotion</w:t>
      </w:r>
      <w:r w:rsidR="0092271D" w:rsidRPr="00BC5BB2">
        <w:t>,</w:t>
      </w:r>
      <w:r w:rsidR="00CA74F7" w:rsidRPr="00BC5BB2">
        <w:t xml:space="preserve"> and adoption of </w:t>
      </w:r>
      <w:r w:rsidR="00D62B0F" w:rsidRPr="00BC5BB2">
        <w:t>production technologies and innovations</w:t>
      </w:r>
      <w:r w:rsidR="00040116" w:rsidRPr="00BC5BB2">
        <w:t xml:space="preserve"> that</w:t>
      </w:r>
      <w:r w:rsidR="000C026B" w:rsidRPr="00BC5BB2">
        <w:t xml:space="preserve"> </w:t>
      </w:r>
      <w:r w:rsidR="00D62B0F" w:rsidRPr="00BC5BB2">
        <w:t xml:space="preserve">reduce the </w:t>
      </w:r>
      <w:r w:rsidR="008A74EC" w:rsidRPr="00BC5BB2">
        <w:t xml:space="preserve">annual </w:t>
      </w:r>
      <w:r w:rsidR="000C026B" w:rsidRPr="00BC5BB2">
        <w:t>variability of</w:t>
      </w:r>
      <w:r w:rsidR="00954CC4" w:rsidRPr="00BC5BB2">
        <w:t xml:space="preserve"> </w:t>
      </w:r>
      <w:r w:rsidR="00360D4B" w:rsidRPr="00BC5BB2">
        <w:t xml:space="preserve">physical </w:t>
      </w:r>
      <w:r w:rsidR="00D62B0F" w:rsidRPr="00BC5BB2">
        <w:t>productivity</w:t>
      </w:r>
      <w:r w:rsidR="00BC5BB2" w:rsidRPr="00BC5BB2">
        <w:t xml:space="preserve">, resulting in </w:t>
      </w:r>
      <w:r w:rsidRPr="00BC5BB2">
        <w:t xml:space="preserve">more </w:t>
      </w:r>
      <w:r w:rsidR="000C026B" w:rsidRPr="00BC5BB2">
        <w:t>resilient production systems</w:t>
      </w:r>
      <w:r w:rsidR="00CA74F7" w:rsidRPr="00BC5BB2">
        <w:t>.</w:t>
      </w:r>
    </w:p>
    <w:p w14:paraId="7BD5AAFB" w14:textId="6C93119B" w:rsidR="008B66AD" w:rsidRDefault="00AC67F5" w:rsidP="00A14DE4">
      <w:pPr>
        <w:ind w:firstLine="708"/>
      </w:pPr>
      <w:r>
        <w:t>The income (annual)</w:t>
      </w:r>
      <w:r w:rsidR="00390047">
        <w:t xml:space="preserve"> </w:t>
      </w:r>
      <w:r>
        <w:t>volatility</w:t>
      </w:r>
      <w:r w:rsidR="00954CC4">
        <w:t xml:space="preserve">, which is a </w:t>
      </w:r>
      <w:r w:rsidR="00D44338">
        <w:t>result</w:t>
      </w:r>
      <w:r w:rsidR="00954CC4">
        <w:t xml:space="preserve"> of the </w:t>
      </w:r>
      <w:r>
        <w:t xml:space="preserve">exposition of </w:t>
      </w:r>
      <w:r w:rsidR="00CA74F7">
        <w:t>production</w:t>
      </w:r>
      <w:r>
        <w:t xml:space="preserve"> systems </w:t>
      </w:r>
      <w:r w:rsidR="00954CC4">
        <w:t xml:space="preserve">to </w:t>
      </w:r>
      <w:r w:rsidR="0092271D">
        <w:t>volatile</w:t>
      </w:r>
      <w:r w:rsidR="00954CC4">
        <w:t xml:space="preserve"> factors such as c</w:t>
      </w:r>
      <w:r>
        <w:t>limate</w:t>
      </w:r>
      <w:r w:rsidR="00CA74F7">
        <w:t>, pests and prices,</w:t>
      </w:r>
      <w:r w:rsidR="00954CC4">
        <w:t xml:space="preserve"> </w:t>
      </w:r>
      <w:r>
        <w:t xml:space="preserve">create an </w:t>
      </w:r>
      <w:r w:rsidR="00CA74F7">
        <w:t xml:space="preserve">uncertain </w:t>
      </w:r>
      <w:r>
        <w:t xml:space="preserve">environment </w:t>
      </w:r>
      <w:r w:rsidR="0092271D">
        <w:t>to</w:t>
      </w:r>
      <w:r w:rsidR="00954CC4">
        <w:t xml:space="preserve"> the</w:t>
      </w:r>
      <w:r>
        <w:t xml:space="preserve"> farmers that negatively affect their production and investment decisions. Behind this statement </w:t>
      </w:r>
      <w:r w:rsidR="005E6DF6">
        <w:t>lies</w:t>
      </w:r>
      <w:r>
        <w:t xml:space="preserve"> the perception that farmers dislike risk (</w:t>
      </w:r>
      <w:r w:rsidR="00BC5BB2">
        <w:t xml:space="preserve">i.e., </w:t>
      </w:r>
      <w:r w:rsidR="00390047">
        <w:t xml:space="preserve">are </w:t>
      </w:r>
      <w:r>
        <w:t>risk averse)</w:t>
      </w:r>
      <w:r w:rsidR="00BC5BB2">
        <w:t xml:space="preserve"> </w:t>
      </w:r>
      <w:r w:rsidR="00630C5B">
        <w:t xml:space="preserve">as </w:t>
      </w:r>
      <w:r w:rsidR="00BC5BB2">
        <w:t xml:space="preserve">shown by early </w:t>
      </w:r>
      <w:r w:rsidR="00416D26">
        <w:t xml:space="preserve">studies </w:t>
      </w:r>
      <w:r w:rsidR="00BC5BB2">
        <w:t>(</w:t>
      </w:r>
      <w:r w:rsidR="00630C5B" w:rsidRPr="00837C30">
        <w:rPr>
          <w:szCs w:val="24"/>
          <w:lang w:val="en-GB"/>
        </w:rPr>
        <w:t>Binswanger</w:t>
      </w:r>
      <w:r w:rsidR="00630C5B" w:rsidRPr="00837C30">
        <w:rPr>
          <w:szCs w:val="24"/>
        </w:rPr>
        <w:t xml:space="preserve"> 1980</w:t>
      </w:r>
      <w:r w:rsidR="00630C5B" w:rsidRPr="00837C30">
        <w:t>)</w:t>
      </w:r>
      <w:r w:rsidR="00390047">
        <w:t>.</w:t>
      </w:r>
      <w:r w:rsidR="0092271D">
        <w:t xml:space="preserve"> T</w:t>
      </w:r>
      <w:r>
        <w:t xml:space="preserve">he introduction of </w:t>
      </w:r>
      <w:r w:rsidR="00CA74F7">
        <w:t xml:space="preserve">production </w:t>
      </w:r>
      <w:r>
        <w:t xml:space="preserve">practices </w:t>
      </w:r>
      <w:r w:rsidR="00D0324C">
        <w:t xml:space="preserve">that </w:t>
      </w:r>
      <w:r w:rsidR="00BC5BB2">
        <w:t xml:space="preserve">turn production systems </w:t>
      </w:r>
      <w:r w:rsidR="00D12F59">
        <w:t xml:space="preserve">more resilient to </w:t>
      </w:r>
      <w:r w:rsidR="00BC5BB2">
        <w:t xml:space="preserve">variability and </w:t>
      </w:r>
      <w:r>
        <w:t xml:space="preserve">climate </w:t>
      </w:r>
      <w:r w:rsidR="005E6DF6">
        <w:t>change</w:t>
      </w:r>
      <w:r w:rsidR="002A1AE7">
        <w:t>,</w:t>
      </w:r>
      <w:r>
        <w:t xml:space="preserve"> </w:t>
      </w:r>
      <w:r w:rsidR="0075140A">
        <w:t xml:space="preserve">have </w:t>
      </w:r>
      <w:r w:rsidR="0092271D">
        <w:t>a</w:t>
      </w:r>
      <w:r w:rsidR="0075140A">
        <w:t xml:space="preserve"> direct and positive impact on expectations </w:t>
      </w:r>
      <w:r w:rsidR="00BC5BB2">
        <w:t xml:space="preserve">and generate </w:t>
      </w:r>
      <w:r>
        <w:t xml:space="preserve">a </w:t>
      </w:r>
      <w:r w:rsidR="002A1AE7">
        <w:t>preferable</w:t>
      </w:r>
      <w:r w:rsidR="008B66AD">
        <w:t xml:space="preserve"> </w:t>
      </w:r>
      <w:r>
        <w:t>business environment.</w:t>
      </w:r>
      <w:r w:rsidR="00250FB7">
        <w:t xml:space="preserve"> </w:t>
      </w:r>
      <w:r w:rsidR="00954CC4">
        <w:t xml:space="preserve">In some cases, the benefits of these technologies are not restricted to the reduction in </w:t>
      </w:r>
      <w:r w:rsidR="008B66AD">
        <w:t xml:space="preserve">the </w:t>
      </w:r>
      <w:r w:rsidR="00BC5BB2">
        <w:t xml:space="preserve">volatility of the </w:t>
      </w:r>
      <w:r w:rsidR="008B66AD">
        <w:t>productivity;</w:t>
      </w:r>
      <w:r w:rsidR="00954CC4">
        <w:t xml:space="preserve"> they also induce an increase </w:t>
      </w:r>
      <w:r w:rsidR="00086868">
        <w:t>in</w:t>
      </w:r>
      <w:r w:rsidR="00954CC4">
        <w:t xml:space="preserve"> </w:t>
      </w:r>
      <w:r w:rsidR="009F6DD3">
        <w:t xml:space="preserve">its </w:t>
      </w:r>
      <w:r w:rsidR="00954CC4">
        <w:t>average</w:t>
      </w:r>
      <w:r w:rsidR="00A14DE4">
        <w:t xml:space="preserve"> value</w:t>
      </w:r>
      <w:r w:rsidR="00954CC4">
        <w:t xml:space="preserve">. </w:t>
      </w:r>
    </w:p>
    <w:p w14:paraId="4F0D5665" w14:textId="25D14076" w:rsidR="00954CC4" w:rsidRDefault="0092271D" w:rsidP="00A14DE4">
      <w:pPr>
        <w:ind w:firstLine="708"/>
      </w:pPr>
      <w:r>
        <w:t xml:space="preserve">While it seems </w:t>
      </w:r>
      <w:r w:rsidR="00A14DE4">
        <w:t>straightforward</w:t>
      </w:r>
      <w:r w:rsidR="008C5098">
        <w:t xml:space="preserve"> to evaluate and observe the monetary benefits associated to the higher average productivity, </w:t>
      </w:r>
      <w:r w:rsidR="00A14DE4">
        <w:t>it is</w:t>
      </w:r>
      <w:r w:rsidR="0079711F">
        <w:t xml:space="preserve"> more</w:t>
      </w:r>
      <w:r w:rsidR="00A14DE4">
        <w:t xml:space="preserve"> difficult to document </w:t>
      </w:r>
      <w:r w:rsidR="008C5098">
        <w:t>the benefits associated to the</w:t>
      </w:r>
      <w:r w:rsidR="00A14DE4">
        <w:t>ir</w:t>
      </w:r>
      <w:r w:rsidR="008C5098">
        <w:t xml:space="preserve"> lower volatility.</w:t>
      </w:r>
      <w:r w:rsidR="004E39A1">
        <w:t xml:space="preserve"> We argue that efforts </w:t>
      </w:r>
      <w:r w:rsidR="002E56CF">
        <w:t xml:space="preserve">focused on </w:t>
      </w:r>
      <w:r w:rsidR="00A14DE4">
        <w:t xml:space="preserve">quantifying </w:t>
      </w:r>
      <w:r w:rsidR="002E56CF">
        <w:t>the latter</w:t>
      </w:r>
      <w:r w:rsidR="00630C5B">
        <w:t>,</w:t>
      </w:r>
      <w:r w:rsidR="002E56CF">
        <w:t xml:space="preserve"> </w:t>
      </w:r>
      <w:r w:rsidR="00A14DE4">
        <w:t xml:space="preserve">positively </w:t>
      </w:r>
      <w:r w:rsidR="00D038B3">
        <w:t xml:space="preserve">impact </w:t>
      </w:r>
      <w:r w:rsidR="002E56CF">
        <w:t>the adoption of these type</w:t>
      </w:r>
      <w:r w:rsidR="00360D4B">
        <w:t>s</w:t>
      </w:r>
      <w:r w:rsidR="002E56CF">
        <w:t xml:space="preserve"> of technologies, </w:t>
      </w:r>
      <w:r w:rsidR="00A14DE4">
        <w:t>for example</w:t>
      </w:r>
      <w:r w:rsidR="002D3709">
        <w:t>,</w:t>
      </w:r>
      <w:r w:rsidR="00A14DE4">
        <w:t xml:space="preserve"> by </w:t>
      </w:r>
      <w:r w:rsidR="008B66AD">
        <w:t>inform</w:t>
      </w:r>
      <w:r w:rsidR="00A14DE4">
        <w:t xml:space="preserve">ing </w:t>
      </w:r>
      <w:r w:rsidR="008B66AD">
        <w:t>and</w:t>
      </w:r>
      <w:r w:rsidR="002E56CF">
        <w:t xml:space="preserve"> </w:t>
      </w:r>
      <w:r w:rsidR="00D53600">
        <w:t>support</w:t>
      </w:r>
      <w:r w:rsidR="00A14DE4">
        <w:t>ing</w:t>
      </w:r>
      <w:r w:rsidR="00D53600">
        <w:t xml:space="preserve"> </w:t>
      </w:r>
      <w:r w:rsidR="002E56CF">
        <w:t>promotion and extension activities.</w:t>
      </w:r>
      <w:r w:rsidR="008C5098">
        <w:t xml:space="preserve"> </w:t>
      </w:r>
      <w:r w:rsidR="00954CC4">
        <w:t xml:space="preserve"> </w:t>
      </w:r>
    </w:p>
    <w:p w14:paraId="4DB83A3B" w14:textId="3263086D" w:rsidR="00AC6ABE" w:rsidRDefault="00A14DE4" w:rsidP="00A14DE4">
      <w:pPr>
        <w:ind w:firstLine="708"/>
      </w:pPr>
      <w:r>
        <w:lastRenderedPageBreak/>
        <w:t>A</w:t>
      </w:r>
      <w:r w:rsidR="00360D4B">
        <w:t xml:space="preserve"> vast </w:t>
      </w:r>
      <w:r w:rsidR="00AC6ABE">
        <w:t>literature on economic decisions under uncertainty</w:t>
      </w:r>
      <w:r w:rsidR="00360D4B">
        <w:t xml:space="preserve"> can be </w:t>
      </w:r>
      <w:r w:rsidR="008B66AD">
        <w:t xml:space="preserve">applied </w:t>
      </w:r>
      <w:r>
        <w:t>to this context</w:t>
      </w:r>
      <w:r w:rsidR="00D038B3">
        <w:t xml:space="preserve">, </w:t>
      </w:r>
      <w:r w:rsidR="00D12F59">
        <w:t>in particular</w:t>
      </w:r>
      <w:r>
        <w:t>,</w:t>
      </w:r>
      <w:r w:rsidR="00D038B3">
        <w:t xml:space="preserve"> the seminal work </w:t>
      </w:r>
      <w:r>
        <w:t>in agricultural and resource economics by</w:t>
      </w:r>
      <w:r w:rsidR="00D038B3">
        <w:t xml:space="preserve"> </w:t>
      </w:r>
      <w:r w:rsidR="00630C5B">
        <w:t>Dillon (1971)</w:t>
      </w:r>
      <w:r>
        <w:t xml:space="preserve"> and</w:t>
      </w:r>
      <w:r w:rsidR="00630C5B">
        <w:t xml:space="preserve"> </w:t>
      </w:r>
      <w:r w:rsidR="00630C5B" w:rsidRPr="00630C5B">
        <w:t>Just and Pope (1978)</w:t>
      </w:r>
      <w:r w:rsidR="00630C5B">
        <w:t>, and more recently</w:t>
      </w:r>
      <w:r>
        <w:t xml:space="preserve"> by</w:t>
      </w:r>
      <w:r w:rsidR="00630C5B">
        <w:t xml:space="preserve"> </w:t>
      </w:r>
      <w:proofErr w:type="spellStart"/>
      <w:r w:rsidR="00630C5B" w:rsidRPr="00630C5B">
        <w:t>Moschini</w:t>
      </w:r>
      <w:proofErr w:type="spellEnd"/>
      <w:r w:rsidR="00630C5B" w:rsidRPr="00630C5B">
        <w:t xml:space="preserve"> and Hennessy (2001), Quiggin and Chambers (2006)</w:t>
      </w:r>
      <w:r w:rsidR="00630C5B">
        <w:t xml:space="preserve">, </w:t>
      </w:r>
      <w:r>
        <w:t xml:space="preserve">and </w:t>
      </w:r>
      <w:proofErr w:type="spellStart"/>
      <w:r w:rsidR="00630C5B" w:rsidRPr="00630C5B">
        <w:t>Bocquého</w:t>
      </w:r>
      <w:proofErr w:type="spellEnd"/>
      <w:r w:rsidR="00630C5B" w:rsidRPr="00630C5B">
        <w:t xml:space="preserve"> et al</w:t>
      </w:r>
      <w:r>
        <w:t>.</w:t>
      </w:r>
      <w:r w:rsidR="00630C5B" w:rsidRPr="00630C5B">
        <w:t xml:space="preserve"> (2013)</w:t>
      </w:r>
      <w:r w:rsidR="00D038B3">
        <w:t xml:space="preserve">. </w:t>
      </w:r>
      <w:r w:rsidR="000A095A">
        <w:t xml:space="preserve">In general, </w:t>
      </w:r>
      <w:r w:rsidR="00D038B3">
        <w:t xml:space="preserve">these </w:t>
      </w:r>
      <w:r w:rsidR="002A1AE7">
        <w:t>methodologies</w:t>
      </w:r>
      <w:r w:rsidR="00D038B3">
        <w:t xml:space="preserve"> </w:t>
      </w:r>
      <w:r w:rsidR="000A095A">
        <w:t xml:space="preserve">allow </w:t>
      </w:r>
      <w:r w:rsidR="002A1AE7">
        <w:t xml:space="preserve">the </w:t>
      </w:r>
      <w:r w:rsidR="00D038B3">
        <w:t>evaluat</w:t>
      </w:r>
      <w:r w:rsidR="002A1AE7">
        <w:t>ion of</w:t>
      </w:r>
      <w:r w:rsidR="00D038B3">
        <w:t xml:space="preserve"> </w:t>
      </w:r>
      <w:r w:rsidR="00D038B3" w:rsidRPr="00F52B7C">
        <w:t>competing</w:t>
      </w:r>
      <w:r w:rsidR="002A1AE7">
        <w:t xml:space="preserve"> risky activities</w:t>
      </w:r>
      <w:r w:rsidR="00844EB2">
        <w:t xml:space="preserve">, </w:t>
      </w:r>
      <w:r w:rsidR="00D038B3">
        <w:t xml:space="preserve">by </w:t>
      </w:r>
      <w:r w:rsidR="00844EB2">
        <w:t xml:space="preserve">factoring into the </w:t>
      </w:r>
      <w:r w:rsidR="00BD7FB3">
        <w:t xml:space="preserve">farmer´s </w:t>
      </w:r>
      <w:r w:rsidR="00844EB2">
        <w:t>decision</w:t>
      </w:r>
      <w:r w:rsidR="002A1AE7">
        <w:t xml:space="preserve"> </w:t>
      </w:r>
      <w:r w:rsidR="00D038B3">
        <w:t xml:space="preserve">both the risk embedded and </w:t>
      </w:r>
      <w:r w:rsidR="00BD7FB3">
        <w:t xml:space="preserve">the </w:t>
      </w:r>
      <w:r w:rsidR="004E4E30">
        <w:t>potential</w:t>
      </w:r>
      <w:r w:rsidR="00844EB2">
        <w:t xml:space="preserve"> average </w:t>
      </w:r>
      <w:r w:rsidR="00BD7FB3">
        <w:t>values of the productivity</w:t>
      </w:r>
      <w:r w:rsidR="00257C2C">
        <w:t>.</w:t>
      </w:r>
    </w:p>
    <w:p w14:paraId="2F9EC599" w14:textId="7BD4DD3A" w:rsidR="0098431A" w:rsidRDefault="008A581D" w:rsidP="00BC5BB2">
      <w:r>
        <w:t xml:space="preserve">The key contribution of </w:t>
      </w:r>
      <w:r w:rsidR="0098431A">
        <w:t>our</w:t>
      </w:r>
      <w:r>
        <w:t xml:space="preserve"> study is to show how these </w:t>
      </w:r>
      <w:r w:rsidR="007465FB">
        <w:t xml:space="preserve">methodologies </w:t>
      </w:r>
      <w:r>
        <w:t xml:space="preserve">can be applied </w:t>
      </w:r>
      <w:r w:rsidR="00802F57">
        <w:t>in</w:t>
      </w:r>
      <w:r w:rsidR="009D4D4B">
        <w:t xml:space="preserve"> the context of </w:t>
      </w:r>
      <w:r>
        <w:t>technologies</w:t>
      </w:r>
      <w:r w:rsidR="00802F57">
        <w:t xml:space="preserve"> </w:t>
      </w:r>
      <w:r w:rsidR="00BD7FB3">
        <w:t xml:space="preserve">for adaptation to variability and </w:t>
      </w:r>
      <w:r w:rsidR="00802F57">
        <w:t xml:space="preserve">climate change. </w:t>
      </w:r>
      <w:r w:rsidR="00802F57" w:rsidRPr="00802F57">
        <w:t xml:space="preserve">We compare the risky profits of </w:t>
      </w:r>
      <w:r w:rsidR="00802F57">
        <w:t>an</w:t>
      </w:r>
      <w:r w:rsidR="00802F57" w:rsidRPr="00802F57">
        <w:t xml:space="preserve"> activity with and without </w:t>
      </w:r>
      <w:r w:rsidR="00BD7FB3">
        <w:t xml:space="preserve">the adoption of </w:t>
      </w:r>
      <w:r w:rsidR="00802F57">
        <w:t xml:space="preserve">the </w:t>
      </w:r>
      <w:r w:rsidR="00802F57" w:rsidRPr="00802F57">
        <w:t>adaptation technology</w:t>
      </w:r>
      <w:r w:rsidR="00802F57">
        <w:t xml:space="preserve"> of interest</w:t>
      </w:r>
      <w:r w:rsidR="00BD7FB3">
        <w:t xml:space="preserve">. We </w:t>
      </w:r>
      <w:r w:rsidR="00802F57" w:rsidRPr="00802F57">
        <w:t>apply</w:t>
      </w:r>
      <w:r w:rsidR="00BD7FB3">
        <w:t xml:space="preserve"> </w:t>
      </w:r>
      <w:r w:rsidR="00802F57" w:rsidRPr="00802F57">
        <w:t xml:space="preserve">the </w:t>
      </w:r>
      <w:r w:rsidR="00636297">
        <w:t>E</w:t>
      </w:r>
      <w:r w:rsidR="00802F57" w:rsidRPr="00802F57">
        <w:t xml:space="preserve">xpected </w:t>
      </w:r>
      <w:r w:rsidR="00636297">
        <w:t>U</w:t>
      </w:r>
      <w:r w:rsidR="00802F57" w:rsidRPr="00802F57">
        <w:t xml:space="preserve">tility </w:t>
      </w:r>
      <w:r w:rsidR="00802F57">
        <w:t xml:space="preserve">framework </w:t>
      </w:r>
      <w:r w:rsidR="00802F57" w:rsidRPr="00802F57">
        <w:t>(von Neumann and Morgenstern</w:t>
      </w:r>
      <w:r w:rsidR="00134A25">
        <w:t>,</w:t>
      </w:r>
      <w:r w:rsidR="00802F57" w:rsidRPr="00802F57">
        <w:t xml:space="preserve"> 1944) using a Constant Absolute Risk Aversion (CARA) utility </w:t>
      </w:r>
      <w:r w:rsidR="00BD7FB3" w:rsidRPr="00802F57">
        <w:t>function</w:t>
      </w:r>
      <w:r w:rsidR="00BD7FB3">
        <w:t xml:space="preserve"> and</w:t>
      </w:r>
      <w:r w:rsidR="00802F57">
        <w:t xml:space="preserve"> </w:t>
      </w:r>
      <w:r w:rsidR="00802F57" w:rsidRPr="00802F57">
        <w:t>rely</w:t>
      </w:r>
      <w:r w:rsidR="00802F57">
        <w:t xml:space="preserve"> </w:t>
      </w:r>
      <w:r w:rsidR="00802F57" w:rsidRPr="00802F57">
        <w:t xml:space="preserve">on the </w:t>
      </w:r>
      <w:r w:rsidR="00636297">
        <w:t>concept of certainty equivalent</w:t>
      </w:r>
      <w:r w:rsidR="00802F57" w:rsidRPr="00802F57">
        <w:t xml:space="preserve"> to </w:t>
      </w:r>
      <w:r w:rsidR="00802F57">
        <w:t xml:space="preserve">quantify the value to the farmer </w:t>
      </w:r>
      <w:r w:rsidR="00BD7FB3">
        <w:t xml:space="preserve">of producing with and without the technology. Finally, by </w:t>
      </w:r>
      <w:r w:rsidR="00802F57">
        <w:t>compar</w:t>
      </w:r>
      <w:r w:rsidR="00BD7FB3">
        <w:t>ing</w:t>
      </w:r>
      <w:r w:rsidR="00802F57">
        <w:t xml:space="preserve"> </w:t>
      </w:r>
      <w:r w:rsidR="00BD7FB3">
        <w:t xml:space="preserve">the results of both </w:t>
      </w:r>
      <w:r w:rsidR="00D44338">
        <w:t>states</w:t>
      </w:r>
      <w:r w:rsidR="00BD7FB3">
        <w:t>, we conclude about the degree to which such adoption is more or less valued by the farmer</w:t>
      </w:r>
      <w:r w:rsidR="002D3709">
        <w:t>, distinguishing the value due to the higher mean productivity from that one coming from its lower volatility</w:t>
      </w:r>
      <w:r w:rsidR="00802F57">
        <w:t>.</w:t>
      </w:r>
    </w:p>
    <w:p w14:paraId="790F4217" w14:textId="290C2F90" w:rsidR="00036A87" w:rsidRPr="00282BCC" w:rsidRDefault="0098431A" w:rsidP="007465FB">
      <w:pPr>
        <w:pStyle w:val="Default"/>
        <w:spacing w:after="160" w:line="600" w:lineRule="exact"/>
        <w:ind w:firstLine="708"/>
        <w:rPr>
          <w:lang w:val="en-US"/>
        </w:rPr>
      </w:pPr>
      <w:r>
        <w:rPr>
          <w:color w:val="auto"/>
          <w:szCs w:val="22"/>
          <w:lang w:val="en-US"/>
        </w:rPr>
        <w:t>W</w:t>
      </w:r>
      <w:r w:rsidR="004C2DDD" w:rsidRPr="0098431A">
        <w:rPr>
          <w:lang w:val="en-US"/>
        </w:rPr>
        <w:t xml:space="preserve">e show an application to two </w:t>
      </w:r>
      <w:r w:rsidR="00636297">
        <w:rPr>
          <w:lang w:val="en-US"/>
        </w:rPr>
        <w:t xml:space="preserve">agricultural </w:t>
      </w:r>
      <w:r w:rsidR="004C2DDD" w:rsidRPr="0098431A">
        <w:rPr>
          <w:lang w:val="en-US"/>
        </w:rPr>
        <w:t xml:space="preserve">production </w:t>
      </w:r>
      <w:r w:rsidR="00802F57">
        <w:rPr>
          <w:lang w:val="en-US"/>
        </w:rPr>
        <w:t xml:space="preserve">activities for which adoption of adaptation technologies are currently being promoted </w:t>
      </w:r>
      <w:r w:rsidR="00EA28FA">
        <w:rPr>
          <w:lang w:val="en-US"/>
        </w:rPr>
        <w:t>by</w:t>
      </w:r>
      <w:r w:rsidR="00F7705B">
        <w:rPr>
          <w:lang w:val="en-US"/>
        </w:rPr>
        <w:t xml:space="preserve"> the</w:t>
      </w:r>
      <w:r w:rsidR="00EA28FA">
        <w:rPr>
          <w:lang w:val="en-US"/>
        </w:rPr>
        <w:t xml:space="preserve"> </w:t>
      </w:r>
      <w:r w:rsidR="00257C2C">
        <w:rPr>
          <w:lang w:val="en-US"/>
        </w:rPr>
        <w:t xml:space="preserve">Uruguayan </w:t>
      </w:r>
      <w:r w:rsidR="00F7705B">
        <w:rPr>
          <w:lang w:val="en-US"/>
        </w:rPr>
        <w:t>government and private organizations.</w:t>
      </w:r>
      <w:r w:rsidR="004C2DDD" w:rsidRPr="0098431A">
        <w:rPr>
          <w:lang w:val="en-US"/>
        </w:rPr>
        <w:t xml:space="preserve"> </w:t>
      </w:r>
      <w:r w:rsidR="00C6707E" w:rsidRPr="00282BCC">
        <w:rPr>
          <w:lang w:val="en-US"/>
        </w:rPr>
        <w:t xml:space="preserve">The first </w:t>
      </w:r>
      <w:r w:rsidR="00220148" w:rsidRPr="00282BCC">
        <w:rPr>
          <w:lang w:val="en-US"/>
        </w:rPr>
        <w:t>application</w:t>
      </w:r>
      <w:r w:rsidR="00C6707E" w:rsidRPr="00282BCC">
        <w:rPr>
          <w:lang w:val="en-US"/>
        </w:rPr>
        <w:t xml:space="preserve"> </w:t>
      </w:r>
      <w:r w:rsidR="00F7705B">
        <w:rPr>
          <w:lang w:val="en-US"/>
        </w:rPr>
        <w:t xml:space="preserve">is </w:t>
      </w:r>
      <w:r w:rsidR="00F6054F" w:rsidRPr="00282BCC">
        <w:rPr>
          <w:lang w:val="en-US"/>
        </w:rPr>
        <w:t xml:space="preserve">the </w:t>
      </w:r>
      <w:r w:rsidR="004C2DDD" w:rsidRPr="00282BCC">
        <w:rPr>
          <w:lang w:val="en-US"/>
        </w:rPr>
        <w:t xml:space="preserve">use </w:t>
      </w:r>
      <w:r w:rsidR="00F6054F" w:rsidRPr="00282BCC">
        <w:rPr>
          <w:lang w:val="en-US"/>
        </w:rPr>
        <w:t xml:space="preserve">of </w:t>
      </w:r>
      <w:r w:rsidR="005D1FCB" w:rsidRPr="00282BCC">
        <w:rPr>
          <w:lang w:val="en-US"/>
        </w:rPr>
        <w:t>supplemented</w:t>
      </w:r>
      <w:r w:rsidR="00C6707E" w:rsidRPr="00282BCC">
        <w:rPr>
          <w:lang w:val="en-US"/>
        </w:rPr>
        <w:t xml:space="preserve"> irrigation </w:t>
      </w:r>
      <w:r w:rsidR="00220148" w:rsidRPr="00282BCC">
        <w:rPr>
          <w:lang w:val="en-US"/>
        </w:rPr>
        <w:t>in</w:t>
      </w:r>
      <w:r w:rsidR="00C6707E" w:rsidRPr="00282BCC">
        <w:rPr>
          <w:lang w:val="en-US"/>
        </w:rPr>
        <w:t xml:space="preserve"> </w:t>
      </w:r>
      <w:r w:rsidR="004E4EF0" w:rsidRPr="00282BCC">
        <w:rPr>
          <w:lang w:val="en-US"/>
        </w:rPr>
        <w:t xml:space="preserve">summer </w:t>
      </w:r>
      <w:r w:rsidR="00C6707E" w:rsidRPr="00282BCC">
        <w:rPr>
          <w:lang w:val="en-US"/>
        </w:rPr>
        <w:t>crop</w:t>
      </w:r>
      <w:r w:rsidR="004E4EF0" w:rsidRPr="00282BCC">
        <w:rPr>
          <w:lang w:val="en-US"/>
        </w:rPr>
        <w:t>s</w:t>
      </w:r>
      <w:r w:rsidR="00820200">
        <w:rPr>
          <w:lang w:val="en-US"/>
        </w:rPr>
        <w:t xml:space="preserve">. While </w:t>
      </w:r>
      <w:r w:rsidR="00215787">
        <w:rPr>
          <w:lang w:val="en-US"/>
        </w:rPr>
        <w:t xml:space="preserve">Uruguay has an annual rainfall of </w:t>
      </w:r>
      <w:r w:rsidR="00820200">
        <w:rPr>
          <w:lang w:val="en-US"/>
        </w:rPr>
        <w:t xml:space="preserve">about </w:t>
      </w:r>
      <w:r w:rsidR="00215787">
        <w:rPr>
          <w:lang w:val="en-US"/>
        </w:rPr>
        <w:t>1100 mm</w:t>
      </w:r>
      <w:r w:rsidR="00820200">
        <w:rPr>
          <w:lang w:val="en-US"/>
        </w:rPr>
        <w:t xml:space="preserve"> in average, allowing to </w:t>
      </w:r>
      <w:r w:rsidR="006E7AC2">
        <w:rPr>
          <w:lang w:val="en-US"/>
        </w:rPr>
        <w:t>grow</w:t>
      </w:r>
      <w:r w:rsidR="00820200">
        <w:rPr>
          <w:lang w:val="en-US"/>
        </w:rPr>
        <w:t xml:space="preserve"> </w:t>
      </w:r>
      <w:proofErr w:type="spellStart"/>
      <w:r w:rsidR="006E7AC2">
        <w:rPr>
          <w:lang w:val="en-US"/>
        </w:rPr>
        <w:t>rainfed</w:t>
      </w:r>
      <w:proofErr w:type="spellEnd"/>
      <w:r w:rsidR="006E7AC2">
        <w:rPr>
          <w:lang w:val="en-US"/>
        </w:rPr>
        <w:t xml:space="preserve"> crops, it has a significant inter-annual variability and an important uncertainty on rainfall levels during the summer</w:t>
      </w:r>
      <w:r w:rsidR="00C6707E" w:rsidRPr="00282BCC">
        <w:rPr>
          <w:lang w:val="en-US"/>
        </w:rPr>
        <w:t xml:space="preserve">. </w:t>
      </w:r>
      <w:r w:rsidR="00820200" w:rsidRPr="00282BCC">
        <w:rPr>
          <w:lang w:val="en-US"/>
        </w:rPr>
        <w:t>When</w:t>
      </w:r>
      <w:r w:rsidR="00820200">
        <w:rPr>
          <w:lang w:val="en-US"/>
        </w:rPr>
        <w:t xml:space="preserve"> supplemented</w:t>
      </w:r>
      <w:r w:rsidR="00820200" w:rsidRPr="00282BCC">
        <w:rPr>
          <w:lang w:val="en-US"/>
        </w:rPr>
        <w:t xml:space="preserve"> irrigation is introduced, a </w:t>
      </w:r>
      <w:r w:rsidR="00820200" w:rsidRPr="00282BCC">
        <w:rPr>
          <w:lang w:val="en-US"/>
        </w:rPr>
        <w:lastRenderedPageBreak/>
        <w:t xml:space="preserve">significant increase in </w:t>
      </w:r>
      <w:r w:rsidR="00820200">
        <w:rPr>
          <w:lang w:val="en-US"/>
        </w:rPr>
        <w:t xml:space="preserve">average </w:t>
      </w:r>
      <w:r w:rsidR="00820200" w:rsidRPr="00282BCC">
        <w:rPr>
          <w:lang w:val="en-US"/>
        </w:rPr>
        <w:t xml:space="preserve">yields and </w:t>
      </w:r>
      <w:r w:rsidR="00820200">
        <w:rPr>
          <w:lang w:val="en-US"/>
        </w:rPr>
        <w:t>a reduction in their annual volatility is expected</w:t>
      </w:r>
      <w:r w:rsidR="00820200" w:rsidRPr="00282BCC">
        <w:rPr>
          <w:lang w:val="en-US"/>
        </w:rPr>
        <w:t>, with a direct impact on the economic profitability of the crop.</w:t>
      </w:r>
      <w:r w:rsidR="00820200">
        <w:rPr>
          <w:lang w:val="en-US"/>
        </w:rPr>
        <w:t xml:space="preserve"> </w:t>
      </w:r>
      <w:r w:rsidR="006E7AC2">
        <w:rPr>
          <w:lang w:val="en-US"/>
        </w:rPr>
        <w:t xml:space="preserve">As a </w:t>
      </w:r>
      <w:r w:rsidR="00D44338">
        <w:rPr>
          <w:lang w:val="en-US"/>
        </w:rPr>
        <w:t>result</w:t>
      </w:r>
      <w:r w:rsidR="006E7AC2">
        <w:rPr>
          <w:lang w:val="en-US"/>
        </w:rPr>
        <w:t xml:space="preserve">, </w:t>
      </w:r>
      <w:r w:rsidR="00496D27">
        <w:rPr>
          <w:lang w:val="en-US"/>
        </w:rPr>
        <w:t xml:space="preserve">the </w:t>
      </w:r>
      <w:r w:rsidR="006E7AC2">
        <w:rPr>
          <w:lang w:val="en-US"/>
        </w:rPr>
        <w:t xml:space="preserve">area of supplemented irrigation has been increasing since the mid-2000´s. For example, irrigated area of soybeans, corn, and sorghum doubled between 2017 and 2011. </w:t>
      </w:r>
      <w:r w:rsidR="00183A48">
        <w:rPr>
          <w:lang w:val="en-US"/>
        </w:rPr>
        <w:t>T</w:t>
      </w:r>
      <w:r w:rsidR="006E7AC2">
        <w:rPr>
          <w:lang w:val="en-US"/>
        </w:rPr>
        <w:t xml:space="preserve">hey account for only 2% </w:t>
      </w:r>
      <w:r w:rsidR="00496D27">
        <w:rPr>
          <w:lang w:val="en-US"/>
        </w:rPr>
        <w:t>of the total area of these crops, implying that there is a significant room for expansion. Most of this expansion comes from pressure</w:t>
      </w:r>
      <w:r w:rsidR="00820200">
        <w:rPr>
          <w:lang w:val="en-US"/>
        </w:rPr>
        <w:t>d</w:t>
      </w:r>
      <w:r w:rsidR="00496D27">
        <w:rPr>
          <w:lang w:val="en-US"/>
        </w:rPr>
        <w:t xml:space="preserve"> irrigation, </w:t>
      </w:r>
      <w:r w:rsidR="00D44338">
        <w:rPr>
          <w:lang w:val="en-US"/>
        </w:rPr>
        <w:t xml:space="preserve">particularly </w:t>
      </w:r>
      <w:r w:rsidR="00183A48">
        <w:rPr>
          <w:lang w:val="en-US"/>
        </w:rPr>
        <w:t>pivots. For example, before 2006 there were only 12 pivots registered in the country, but they increased to 166 in 2011 (irrigating about 10,300 ha) and to 411 in 2017 (irrigating about 25,590 ha), according to official statistics (MGAP</w:t>
      </w:r>
      <w:r w:rsidR="00820200">
        <w:rPr>
          <w:lang w:val="en-US"/>
        </w:rPr>
        <w:t>-DIEA</w:t>
      </w:r>
      <w:r w:rsidR="00183A48">
        <w:rPr>
          <w:lang w:val="en-US"/>
        </w:rPr>
        <w:t xml:space="preserve"> 2018). </w:t>
      </w:r>
    </w:p>
    <w:p w14:paraId="59675F72" w14:textId="291DA3A7" w:rsidR="00427B06" w:rsidRPr="00BE463E" w:rsidRDefault="004E72AF" w:rsidP="007465FB">
      <w:pPr>
        <w:pStyle w:val="Default"/>
        <w:spacing w:after="160" w:line="600" w:lineRule="exact"/>
        <w:ind w:firstLine="708"/>
        <w:rPr>
          <w:lang w:val="en-US"/>
        </w:rPr>
      </w:pPr>
      <w:r>
        <w:rPr>
          <w:lang w:val="en-US"/>
        </w:rPr>
        <w:t>T</w:t>
      </w:r>
      <w:r w:rsidR="00636297">
        <w:rPr>
          <w:lang w:val="en-US"/>
        </w:rPr>
        <w:t xml:space="preserve">ypical </w:t>
      </w:r>
      <w:r w:rsidR="00DF1857" w:rsidRPr="00DF1857">
        <w:rPr>
          <w:lang w:val="en-US"/>
        </w:rPr>
        <w:t>methodologies</w:t>
      </w:r>
      <w:r w:rsidR="00AA6D29">
        <w:rPr>
          <w:lang w:val="en-US"/>
        </w:rPr>
        <w:t xml:space="preserve"> used to assess the </w:t>
      </w:r>
      <w:r w:rsidR="00636297">
        <w:rPr>
          <w:lang w:val="en-US"/>
        </w:rPr>
        <w:t>feasibility</w:t>
      </w:r>
      <w:r w:rsidR="00AA6D29">
        <w:rPr>
          <w:lang w:val="en-US"/>
        </w:rPr>
        <w:t xml:space="preserve"> of </w:t>
      </w:r>
      <w:r w:rsidR="00892055">
        <w:rPr>
          <w:lang w:val="en-US"/>
        </w:rPr>
        <w:t>irrigation</w:t>
      </w:r>
      <w:r w:rsidR="00AA6D29">
        <w:rPr>
          <w:lang w:val="en-US"/>
        </w:rPr>
        <w:t xml:space="preserve"> technology at the farm level</w:t>
      </w:r>
      <w:r w:rsidR="00AC67F5">
        <w:rPr>
          <w:lang w:val="en-US"/>
        </w:rPr>
        <w:t xml:space="preserve">, such as </w:t>
      </w:r>
      <w:r w:rsidR="00DF1857" w:rsidRPr="00DF1857">
        <w:rPr>
          <w:lang w:val="en-US"/>
        </w:rPr>
        <w:t>net present value and internal rate of return</w:t>
      </w:r>
      <w:r w:rsidR="00AC67F5">
        <w:rPr>
          <w:lang w:val="en-US"/>
        </w:rPr>
        <w:t xml:space="preserve">, only consider the benefits </w:t>
      </w:r>
      <w:r w:rsidR="00F7705B">
        <w:rPr>
          <w:lang w:val="en-US"/>
        </w:rPr>
        <w:t xml:space="preserve">arising </w:t>
      </w:r>
      <w:r w:rsidR="00AC67F5">
        <w:rPr>
          <w:lang w:val="en-US"/>
        </w:rPr>
        <w:t>from</w:t>
      </w:r>
      <w:r w:rsidR="00B13745">
        <w:rPr>
          <w:lang w:val="en-US"/>
        </w:rPr>
        <w:t xml:space="preserve"> the</w:t>
      </w:r>
      <w:r w:rsidR="00AC67F5">
        <w:rPr>
          <w:lang w:val="en-US"/>
        </w:rPr>
        <w:t xml:space="preserve"> higher average</w:t>
      </w:r>
      <w:r w:rsidR="00F52B7C">
        <w:rPr>
          <w:lang w:val="en-US"/>
        </w:rPr>
        <w:t>, but they leave</w:t>
      </w:r>
      <w:r w:rsidR="00636297">
        <w:rPr>
          <w:lang w:val="en-US"/>
        </w:rPr>
        <w:t xml:space="preserve"> the </w:t>
      </w:r>
      <w:r w:rsidR="00DF1857" w:rsidRPr="00DF1857">
        <w:rPr>
          <w:lang w:val="en-US"/>
        </w:rPr>
        <w:t>reduction in their volatility</w:t>
      </w:r>
      <w:r w:rsidR="00F52B7C">
        <w:rPr>
          <w:lang w:val="en-US"/>
        </w:rPr>
        <w:t xml:space="preserve"> unconsidered</w:t>
      </w:r>
      <w:r w:rsidR="00DF1857" w:rsidRPr="00DF1857">
        <w:rPr>
          <w:lang w:val="en-US"/>
        </w:rPr>
        <w:t xml:space="preserve">. </w:t>
      </w:r>
      <w:r w:rsidR="00C95364">
        <w:rPr>
          <w:lang w:val="en-US"/>
        </w:rPr>
        <w:t xml:space="preserve">Some studies are </w:t>
      </w:r>
      <w:proofErr w:type="spellStart"/>
      <w:r w:rsidR="00F52B7C" w:rsidRPr="00DF1857">
        <w:rPr>
          <w:lang w:val="en-US"/>
        </w:rPr>
        <w:t>Tavakoli</w:t>
      </w:r>
      <w:proofErr w:type="spellEnd"/>
      <w:r w:rsidR="00F52B7C" w:rsidRPr="00DF1857">
        <w:rPr>
          <w:lang w:val="en-US"/>
        </w:rPr>
        <w:t xml:space="preserve"> et al. </w:t>
      </w:r>
      <w:r w:rsidR="00F52B7C">
        <w:rPr>
          <w:lang w:val="en-US"/>
        </w:rPr>
        <w:t>(</w:t>
      </w:r>
      <w:r w:rsidR="00F52B7C" w:rsidRPr="0031461E">
        <w:rPr>
          <w:lang w:val="en-GB"/>
        </w:rPr>
        <w:t>2010</w:t>
      </w:r>
      <w:r w:rsidR="00F52B7C">
        <w:rPr>
          <w:lang w:val="en-GB"/>
        </w:rPr>
        <w:t>) for Iran,</w:t>
      </w:r>
      <w:r w:rsidR="00F52B7C" w:rsidRPr="0031461E">
        <w:rPr>
          <w:lang w:val="en-GB"/>
        </w:rPr>
        <w:t xml:space="preserve"> Yuan et al</w:t>
      </w:r>
      <w:r w:rsidR="00F52B7C">
        <w:rPr>
          <w:lang w:val="en-GB"/>
        </w:rPr>
        <w:t>. (</w:t>
      </w:r>
      <w:r w:rsidR="00F52B7C" w:rsidRPr="0031461E">
        <w:rPr>
          <w:lang w:val="en-GB"/>
        </w:rPr>
        <w:t>2003</w:t>
      </w:r>
      <w:r w:rsidR="00F52B7C">
        <w:rPr>
          <w:lang w:val="en-GB"/>
        </w:rPr>
        <w:t xml:space="preserve">) for China, </w:t>
      </w:r>
      <w:proofErr w:type="spellStart"/>
      <w:r w:rsidR="00F52B7C" w:rsidRPr="0031461E">
        <w:rPr>
          <w:lang w:val="en-GB"/>
        </w:rPr>
        <w:t>Marra</w:t>
      </w:r>
      <w:proofErr w:type="spellEnd"/>
      <w:r w:rsidR="00F52B7C" w:rsidRPr="0031461E">
        <w:rPr>
          <w:lang w:val="en-GB"/>
        </w:rPr>
        <w:t xml:space="preserve"> and Woods </w:t>
      </w:r>
      <w:r w:rsidR="00F52B7C">
        <w:rPr>
          <w:lang w:val="en-GB"/>
        </w:rPr>
        <w:t>(</w:t>
      </w:r>
      <w:r w:rsidR="00F52B7C" w:rsidRPr="0031461E">
        <w:rPr>
          <w:lang w:val="en-GB"/>
        </w:rPr>
        <w:t>1990</w:t>
      </w:r>
      <w:r w:rsidR="00F52B7C">
        <w:rPr>
          <w:lang w:val="en-GB"/>
        </w:rPr>
        <w:t>) for Maine in the United States</w:t>
      </w:r>
      <w:r w:rsidR="00F52B7C" w:rsidRPr="0031461E">
        <w:rPr>
          <w:lang w:val="en-GB"/>
        </w:rPr>
        <w:t>,</w:t>
      </w:r>
      <w:r w:rsidR="00F52B7C">
        <w:rPr>
          <w:lang w:val="en-GB"/>
        </w:rPr>
        <w:t xml:space="preserve"> </w:t>
      </w:r>
      <w:r w:rsidR="00F52B7C" w:rsidRPr="0031461E">
        <w:rPr>
          <w:lang w:val="en-GB"/>
        </w:rPr>
        <w:t xml:space="preserve">and Rosas et al. </w:t>
      </w:r>
      <w:r w:rsidR="00F52B7C">
        <w:rPr>
          <w:lang w:val="en-GB"/>
        </w:rPr>
        <w:t>(</w:t>
      </w:r>
      <w:r w:rsidR="00F52B7C" w:rsidRPr="00AC67F5">
        <w:rPr>
          <w:lang w:val="en-US"/>
        </w:rPr>
        <w:t>2014</w:t>
      </w:r>
      <w:r w:rsidR="00F52B7C">
        <w:rPr>
          <w:lang w:val="en-US"/>
        </w:rPr>
        <w:t>)</w:t>
      </w:r>
      <w:r w:rsidR="00F52B7C" w:rsidRPr="00AC67F5">
        <w:rPr>
          <w:lang w:val="en-US"/>
        </w:rPr>
        <w:t xml:space="preserve"> </w:t>
      </w:r>
      <w:r w:rsidR="00F52B7C" w:rsidRPr="00DF1857">
        <w:rPr>
          <w:lang w:val="en-US"/>
        </w:rPr>
        <w:t xml:space="preserve">for </w:t>
      </w:r>
      <w:r w:rsidR="00F52B7C">
        <w:rPr>
          <w:lang w:val="en-US"/>
        </w:rPr>
        <w:t xml:space="preserve">Uruguay. </w:t>
      </w:r>
      <w:r>
        <w:rPr>
          <w:lang w:val="en-US"/>
        </w:rPr>
        <w:t xml:space="preserve">To the best of </w:t>
      </w:r>
      <w:r w:rsidR="00036B50">
        <w:rPr>
          <w:lang w:val="en-US"/>
        </w:rPr>
        <w:t xml:space="preserve">our knowledge, </w:t>
      </w:r>
      <w:r w:rsidR="00AA6D29">
        <w:rPr>
          <w:lang w:val="en-US"/>
        </w:rPr>
        <w:t>exceptions</w:t>
      </w:r>
      <w:r w:rsidR="00036B50">
        <w:rPr>
          <w:lang w:val="en-US"/>
        </w:rPr>
        <w:t xml:space="preserve"> are </w:t>
      </w:r>
      <w:r w:rsidR="0035642A" w:rsidRPr="00427B06">
        <w:rPr>
          <w:color w:val="auto"/>
          <w:szCs w:val="22"/>
          <w:lang w:val="en-US"/>
        </w:rPr>
        <w:t>Pandey (1990</w:t>
      </w:r>
      <w:r w:rsidR="00C15DA8">
        <w:rPr>
          <w:color w:val="auto"/>
          <w:szCs w:val="22"/>
          <w:lang w:val="en-US"/>
        </w:rPr>
        <w:t xml:space="preserve">) </w:t>
      </w:r>
      <w:r w:rsidR="00036B50">
        <w:rPr>
          <w:color w:val="auto"/>
          <w:szCs w:val="22"/>
          <w:lang w:val="en-US"/>
        </w:rPr>
        <w:t xml:space="preserve">and </w:t>
      </w:r>
      <w:proofErr w:type="spellStart"/>
      <w:r w:rsidR="0035642A">
        <w:rPr>
          <w:color w:val="auto"/>
          <w:szCs w:val="22"/>
          <w:lang w:val="en-US"/>
        </w:rPr>
        <w:t>Apland</w:t>
      </w:r>
      <w:proofErr w:type="spellEnd"/>
      <w:r w:rsidR="0035642A">
        <w:rPr>
          <w:color w:val="auto"/>
          <w:szCs w:val="22"/>
          <w:lang w:val="en-US"/>
        </w:rPr>
        <w:t xml:space="preserve"> et al. </w:t>
      </w:r>
      <w:r w:rsidR="00C15DA8">
        <w:rPr>
          <w:color w:val="auto"/>
          <w:szCs w:val="22"/>
          <w:lang w:val="en-US"/>
        </w:rPr>
        <w:t xml:space="preserve">(1980) </w:t>
      </w:r>
      <w:r w:rsidR="00636297">
        <w:rPr>
          <w:color w:val="auto"/>
          <w:szCs w:val="22"/>
          <w:lang w:val="en-US"/>
        </w:rPr>
        <w:t>who</w:t>
      </w:r>
      <w:r w:rsidR="00036B50">
        <w:rPr>
          <w:color w:val="auto"/>
          <w:szCs w:val="22"/>
          <w:lang w:val="en-US"/>
        </w:rPr>
        <w:t xml:space="preserve"> </w:t>
      </w:r>
      <w:r w:rsidR="00D12F59">
        <w:rPr>
          <w:color w:val="auto"/>
          <w:szCs w:val="22"/>
          <w:lang w:val="en-US"/>
        </w:rPr>
        <w:t>use</w:t>
      </w:r>
      <w:r w:rsidR="00210193">
        <w:rPr>
          <w:color w:val="auto"/>
          <w:szCs w:val="22"/>
          <w:lang w:val="en-US"/>
        </w:rPr>
        <w:t xml:space="preserve"> a </w:t>
      </w:r>
      <w:r w:rsidR="00036B50">
        <w:rPr>
          <w:color w:val="auto"/>
          <w:szCs w:val="22"/>
          <w:lang w:val="en-US"/>
        </w:rPr>
        <w:t xml:space="preserve">different </w:t>
      </w:r>
      <w:r w:rsidR="00210193">
        <w:rPr>
          <w:color w:val="auto"/>
          <w:szCs w:val="22"/>
          <w:lang w:val="en-US"/>
        </w:rPr>
        <w:t xml:space="preserve">methodological approach </w:t>
      </w:r>
      <w:r w:rsidR="00036B50">
        <w:rPr>
          <w:color w:val="auto"/>
          <w:szCs w:val="22"/>
          <w:lang w:val="en-US"/>
        </w:rPr>
        <w:t xml:space="preserve">to deal with risk, </w:t>
      </w:r>
      <w:r w:rsidR="00C15DA8">
        <w:rPr>
          <w:color w:val="auto"/>
          <w:szCs w:val="22"/>
          <w:lang w:val="en-US"/>
        </w:rPr>
        <w:t xml:space="preserve">and </w:t>
      </w:r>
      <w:proofErr w:type="spellStart"/>
      <w:r w:rsidR="005768E2" w:rsidRPr="005768E2">
        <w:rPr>
          <w:lang w:val="en-GB"/>
        </w:rPr>
        <w:t>Gelós</w:t>
      </w:r>
      <w:proofErr w:type="spellEnd"/>
      <w:r w:rsidR="005768E2" w:rsidRPr="005768E2">
        <w:rPr>
          <w:lang w:val="en-GB"/>
        </w:rPr>
        <w:t xml:space="preserve"> </w:t>
      </w:r>
      <w:r w:rsidR="006E43BF">
        <w:rPr>
          <w:lang w:val="en-GB"/>
        </w:rPr>
        <w:t>(</w:t>
      </w:r>
      <w:r w:rsidR="005768E2" w:rsidRPr="005768E2">
        <w:rPr>
          <w:lang w:val="en-GB"/>
        </w:rPr>
        <w:t>2016)</w:t>
      </w:r>
      <w:r w:rsidR="0091429B">
        <w:rPr>
          <w:lang w:val="en-GB"/>
        </w:rPr>
        <w:t xml:space="preserve"> </w:t>
      </w:r>
      <w:r w:rsidR="00036B50">
        <w:rPr>
          <w:lang w:val="en-GB"/>
        </w:rPr>
        <w:t>for Uruguay</w:t>
      </w:r>
      <w:r w:rsidR="0091429B">
        <w:rPr>
          <w:lang w:val="en-GB"/>
        </w:rPr>
        <w:t>,</w:t>
      </w:r>
      <w:r w:rsidR="00036B50">
        <w:rPr>
          <w:lang w:val="en-GB"/>
        </w:rPr>
        <w:t xml:space="preserve"> </w:t>
      </w:r>
      <w:r w:rsidR="00636297">
        <w:rPr>
          <w:lang w:val="en-GB"/>
        </w:rPr>
        <w:t>who</w:t>
      </w:r>
      <w:r w:rsidR="00036B50">
        <w:rPr>
          <w:lang w:val="en-GB"/>
        </w:rPr>
        <w:t xml:space="preserve"> </w:t>
      </w:r>
      <w:r w:rsidR="00210193">
        <w:rPr>
          <w:lang w:val="en-GB"/>
        </w:rPr>
        <w:t>focus</w:t>
      </w:r>
      <w:r w:rsidR="00636297">
        <w:rPr>
          <w:lang w:val="en-GB"/>
        </w:rPr>
        <w:t>es</w:t>
      </w:r>
      <w:r w:rsidR="00210193">
        <w:rPr>
          <w:lang w:val="en-GB"/>
        </w:rPr>
        <w:t xml:space="preserve"> on </w:t>
      </w:r>
      <w:r w:rsidR="00636297">
        <w:rPr>
          <w:lang w:val="en-GB"/>
        </w:rPr>
        <w:t xml:space="preserve">only </w:t>
      </w:r>
      <w:r w:rsidR="00210193">
        <w:rPr>
          <w:lang w:val="en-GB"/>
        </w:rPr>
        <w:t xml:space="preserve">one crop (corn) </w:t>
      </w:r>
      <w:r w:rsidR="00036B50">
        <w:rPr>
          <w:lang w:val="en-GB"/>
        </w:rPr>
        <w:t>and</w:t>
      </w:r>
      <w:r w:rsidR="00636297">
        <w:rPr>
          <w:lang w:val="en-GB"/>
        </w:rPr>
        <w:t xml:space="preserve"> does</w:t>
      </w:r>
      <w:r w:rsidR="00036B50">
        <w:rPr>
          <w:lang w:val="en-GB"/>
        </w:rPr>
        <w:t xml:space="preserve"> not </w:t>
      </w:r>
      <w:r>
        <w:rPr>
          <w:lang w:val="en-US"/>
        </w:rPr>
        <w:t>analyze</w:t>
      </w:r>
      <w:r w:rsidR="00671E32">
        <w:rPr>
          <w:lang w:val="en-US"/>
        </w:rPr>
        <w:t xml:space="preserve"> </w:t>
      </w:r>
      <w:r w:rsidR="00036B50" w:rsidRPr="00BE463E">
        <w:rPr>
          <w:lang w:val="en-US"/>
        </w:rPr>
        <w:t xml:space="preserve">the sensitivity of </w:t>
      </w:r>
      <w:r w:rsidR="00F52B7C">
        <w:rPr>
          <w:lang w:val="en-US"/>
        </w:rPr>
        <w:t xml:space="preserve">the </w:t>
      </w:r>
      <w:r w:rsidR="00036B50" w:rsidRPr="00BE463E">
        <w:rPr>
          <w:lang w:val="en-US"/>
        </w:rPr>
        <w:t>results to different production systems or locations.</w:t>
      </w:r>
      <w:r w:rsidR="00036B50" w:rsidRPr="00492B01">
        <w:rPr>
          <w:vertAlign w:val="superscript"/>
          <w:lang w:val="en-US"/>
        </w:rPr>
        <w:footnoteReference w:id="1"/>
      </w:r>
    </w:p>
    <w:p w14:paraId="6DC57240" w14:textId="11EA6B35" w:rsidR="008A1443" w:rsidRDefault="00AA6D29" w:rsidP="007465FB">
      <w:pPr>
        <w:pStyle w:val="Default"/>
        <w:spacing w:after="160" w:line="600" w:lineRule="exact"/>
        <w:ind w:firstLine="708"/>
        <w:rPr>
          <w:lang w:val="en-US"/>
        </w:rPr>
      </w:pPr>
      <w:r w:rsidRPr="00BE463E">
        <w:rPr>
          <w:lang w:val="en-US"/>
        </w:rPr>
        <w:lastRenderedPageBreak/>
        <w:t>The second application</w:t>
      </w:r>
      <w:r w:rsidR="00636297">
        <w:rPr>
          <w:lang w:val="en-US"/>
        </w:rPr>
        <w:t xml:space="preserve"> of this paper</w:t>
      </w:r>
      <w:r w:rsidRPr="00BE463E">
        <w:rPr>
          <w:lang w:val="en-US"/>
        </w:rPr>
        <w:t xml:space="preserve"> </w:t>
      </w:r>
      <w:r w:rsidR="00A41CE0">
        <w:rPr>
          <w:lang w:val="en-US"/>
        </w:rPr>
        <w:t xml:space="preserve">evaluates a process-based technology applied to </w:t>
      </w:r>
      <w:r w:rsidRPr="00BE463E">
        <w:rPr>
          <w:lang w:val="en-US"/>
        </w:rPr>
        <w:t>livestock production on natural rangelands</w:t>
      </w:r>
      <w:r w:rsidR="00A41CE0">
        <w:rPr>
          <w:lang w:val="en-US"/>
        </w:rPr>
        <w:t xml:space="preserve"> in Uruguay. It consists of </w:t>
      </w:r>
      <w:r w:rsidRPr="00683B06">
        <w:rPr>
          <w:lang w:val="en-US"/>
        </w:rPr>
        <w:t xml:space="preserve">managing </w:t>
      </w:r>
      <w:r w:rsidR="00A41CE0">
        <w:rPr>
          <w:lang w:val="en-US"/>
        </w:rPr>
        <w:t xml:space="preserve">livestock with </w:t>
      </w:r>
      <w:r w:rsidRPr="00683B06">
        <w:rPr>
          <w:lang w:val="en-US"/>
        </w:rPr>
        <w:t xml:space="preserve">a higher supply of natural grass </w:t>
      </w:r>
      <w:r w:rsidR="00CC2B2A" w:rsidRPr="00683B06">
        <w:rPr>
          <w:lang w:val="en-US"/>
        </w:rPr>
        <w:t xml:space="preserve">per </w:t>
      </w:r>
      <w:r w:rsidR="00A92C3A">
        <w:rPr>
          <w:lang w:val="en-US"/>
        </w:rPr>
        <w:t xml:space="preserve">head and unit of land, which </w:t>
      </w:r>
      <w:r w:rsidR="00DE0ECC" w:rsidRPr="00683B06">
        <w:rPr>
          <w:lang w:val="en-US"/>
        </w:rPr>
        <w:t>has prove</w:t>
      </w:r>
      <w:r w:rsidR="00CC2B2A" w:rsidRPr="00683B06">
        <w:rPr>
          <w:lang w:val="en-US"/>
        </w:rPr>
        <w:t>n</w:t>
      </w:r>
      <w:r w:rsidR="00DE0ECC" w:rsidRPr="00683B06">
        <w:rPr>
          <w:lang w:val="en-US"/>
        </w:rPr>
        <w:t xml:space="preserve"> to</w:t>
      </w:r>
      <w:r w:rsidRPr="00683B06">
        <w:rPr>
          <w:lang w:val="en-US"/>
        </w:rPr>
        <w:t xml:space="preserve"> reduc</w:t>
      </w:r>
      <w:r w:rsidR="00DE0ECC" w:rsidRPr="00683B06">
        <w:rPr>
          <w:lang w:val="en-US"/>
        </w:rPr>
        <w:t>e</w:t>
      </w:r>
      <w:r w:rsidRPr="00683B06">
        <w:rPr>
          <w:lang w:val="en-US"/>
        </w:rPr>
        <w:t xml:space="preserve"> </w:t>
      </w:r>
      <w:r w:rsidR="00CC2B2A" w:rsidRPr="00683B06">
        <w:rPr>
          <w:lang w:val="en-US"/>
        </w:rPr>
        <w:t xml:space="preserve">livestock </w:t>
      </w:r>
      <w:r w:rsidRPr="00683B06">
        <w:rPr>
          <w:lang w:val="en-US"/>
        </w:rPr>
        <w:t>exposition to extreme climatic events, droughts</w:t>
      </w:r>
      <w:r w:rsidR="00A92C3A">
        <w:rPr>
          <w:lang w:val="en-US"/>
        </w:rPr>
        <w:t xml:space="preserve"> in particular</w:t>
      </w:r>
      <w:r w:rsidR="00186B39" w:rsidRPr="00683B06">
        <w:rPr>
          <w:lang w:val="en-US"/>
        </w:rPr>
        <w:t xml:space="preserve">, yielding a more resilient production system. </w:t>
      </w:r>
      <w:r w:rsidR="00FE61BA" w:rsidRPr="00683B06">
        <w:rPr>
          <w:lang w:val="en-US"/>
        </w:rPr>
        <w:t xml:space="preserve">Early work by Mott (1960), Jones and </w:t>
      </w:r>
      <w:proofErr w:type="spellStart"/>
      <w:r w:rsidR="00FE61BA" w:rsidRPr="00683B06">
        <w:rPr>
          <w:lang w:val="en-US"/>
        </w:rPr>
        <w:t>Sandland</w:t>
      </w:r>
      <w:proofErr w:type="spellEnd"/>
      <w:r w:rsidR="00FE61BA" w:rsidRPr="00683B06">
        <w:rPr>
          <w:lang w:val="en-US"/>
        </w:rPr>
        <w:t xml:space="preserve"> (1974) and Petersen et al</w:t>
      </w:r>
      <w:r w:rsidR="005254CE">
        <w:rPr>
          <w:lang w:val="en-US"/>
        </w:rPr>
        <w:t>.</w:t>
      </w:r>
      <w:r w:rsidR="00FE61BA" w:rsidRPr="00683B06">
        <w:rPr>
          <w:lang w:val="en-US"/>
        </w:rPr>
        <w:t xml:space="preserve"> (1965) characterized the behavior of livestock productivity as a function of the stocking rate, </w:t>
      </w:r>
      <w:r w:rsidR="002A161D">
        <w:rPr>
          <w:lang w:val="en-US"/>
        </w:rPr>
        <w:t>concluding</w:t>
      </w:r>
      <w:r w:rsidR="00FE61BA" w:rsidRPr="00683B06">
        <w:rPr>
          <w:lang w:val="en-US"/>
        </w:rPr>
        <w:t xml:space="preserve"> that after a threshold (time-dependent), productivity starts to decrease. </w:t>
      </w:r>
      <w:r w:rsidR="00FE61BA" w:rsidRPr="002A161D">
        <w:rPr>
          <w:lang w:val="en-US"/>
        </w:rPr>
        <w:t xml:space="preserve">This technology, validated both at the experimental and commercial levels </w:t>
      </w:r>
      <w:r w:rsidR="002A161D">
        <w:rPr>
          <w:lang w:val="en-US"/>
        </w:rPr>
        <w:t>in</w:t>
      </w:r>
      <w:r w:rsidR="00FE61BA" w:rsidRPr="002A161D">
        <w:rPr>
          <w:lang w:val="en-US"/>
        </w:rPr>
        <w:t xml:space="preserve"> Uruguay (</w:t>
      </w:r>
      <w:proofErr w:type="spellStart"/>
      <w:r w:rsidR="009B79AE" w:rsidRPr="002A161D">
        <w:rPr>
          <w:lang w:val="en-US"/>
        </w:rPr>
        <w:t>Scarlato</w:t>
      </w:r>
      <w:proofErr w:type="spellEnd"/>
      <w:r w:rsidR="009B79AE" w:rsidRPr="002A161D">
        <w:rPr>
          <w:lang w:val="en-US"/>
        </w:rPr>
        <w:t xml:space="preserve"> 2017 and </w:t>
      </w:r>
      <w:proofErr w:type="spellStart"/>
      <w:r w:rsidR="009B79AE" w:rsidRPr="002A161D">
        <w:rPr>
          <w:lang w:val="en-US"/>
        </w:rPr>
        <w:t>Soca</w:t>
      </w:r>
      <w:proofErr w:type="spellEnd"/>
      <w:r w:rsidR="009B79AE" w:rsidRPr="002A161D">
        <w:rPr>
          <w:lang w:val="en-US"/>
        </w:rPr>
        <w:t xml:space="preserve"> 2017</w:t>
      </w:r>
      <w:r w:rsidR="00FE61BA" w:rsidRPr="002A161D">
        <w:rPr>
          <w:lang w:val="en-US"/>
        </w:rPr>
        <w:t>), Argentina (</w:t>
      </w:r>
      <w:proofErr w:type="spellStart"/>
      <w:r w:rsidR="00250FB7" w:rsidRPr="00250FB7">
        <w:rPr>
          <w:lang w:val="en-GB"/>
        </w:rPr>
        <w:t>Beeskow</w:t>
      </w:r>
      <w:proofErr w:type="spellEnd"/>
      <w:r w:rsidR="00250FB7" w:rsidRPr="00250FB7">
        <w:rPr>
          <w:lang w:val="en-GB"/>
        </w:rPr>
        <w:t xml:space="preserve"> et al</w:t>
      </w:r>
      <w:r w:rsidR="00A92C3A">
        <w:rPr>
          <w:lang w:val="en-GB"/>
        </w:rPr>
        <w:t>.</w:t>
      </w:r>
      <w:r w:rsidR="00250FB7" w:rsidRPr="00250FB7">
        <w:rPr>
          <w:lang w:val="en-GB"/>
        </w:rPr>
        <w:t xml:space="preserve"> 1995</w:t>
      </w:r>
      <w:r w:rsidR="00FE61BA" w:rsidRPr="002A161D">
        <w:rPr>
          <w:lang w:val="en-US"/>
        </w:rPr>
        <w:t>), and Brazil (</w:t>
      </w:r>
      <w:r w:rsidR="009B79AE" w:rsidRPr="002A161D">
        <w:rPr>
          <w:lang w:val="en-US"/>
        </w:rPr>
        <w:t>Borges et al</w:t>
      </w:r>
      <w:r w:rsidR="00A92C3A" w:rsidRPr="002A161D">
        <w:rPr>
          <w:lang w:val="en-US"/>
        </w:rPr>
        <w:t>.</w:t>
      </w:r>
      <w:r w:rsidR="009B79AE" w:rsidRPr="002A161D">
        <w:rPr>
          <w:lang w:val="en-US"/>
        </w:rPr>
        <w:t xml:space="preserve"> 2016,</w:t>
      </w:r>
      <w:r w:rsidR="00554E96" w:rsidRPr="002A161D">
        <w:rPr>
          <w:lang w:val="en-US"/>
        </w:rPr>
        <w:t xml:space="preserve"> Barbieri et al</w:t>
      </w:r>
      <w:r w:rsidR="005254CE">
        <w:rPr>
          <w:lang w:val="en-US"/>
        </w:rPr>
        <w:t>.</w:t>
      </w:r>
      <w:r w:rsidR="00554E96" w:rsidRPr="002A161D">
        <w:rPr>
          <w:lang w:val="en-US"/>
        </w:rPr>
        <w:t xml:space="preserve"> 2014, </w:t>
      </w:r>
      <w:proofErr w:type="spellStart"/>
      <w:r w:rsidR="00554E96" w:rsidRPr="002A161D">
        <w:rPr>
          <w:lang w:val="en-US"/>
        </w:rPr>
        <w:t>Jochims</w:t>
      </w:r>
      <w:proofErr w:type="spellEnd"/>
      <w:r w:rsidR="00554E96" w:rsidRPr="002A161D">
        <w:rPr>
          <w:lang w:val="en-US"/>
        </w:rPr>
        <w:t xml:space="preserve"> 2013, </w:t>
      </w:r>
      <w:r w:rsidR="009B79AE" w:rsidRPr="002A161D">
        <w:rPr>
          <w:lang w:val="en-US"/>
        </w:rPr>
        <w:t>Cruz et al</w:t>
      </w:r>
      <w:r w:rsidR="005254CE">
        <w:rPr>
          <w:lang w:val="en-US"/>
        </w:rPr>
        <w:t>.</w:t>
      </w:r>
      <w:r w:rsidR="009B79AE" w:rsidRPr="002A161D">
        <w:rPr>
          <w:lang w:val="en-US"/>
        </w:rPr>
        <w:t xml:space="preserve"> 2010</w:t>
      </w:r>
      <w:r w:rsidR="00FE61BA" w:rsidRPr="002A161D">
        <w:rPr>
          <w:lang w:val="en-US"/>
        </w:rPr>
        <w:t>), results in an increase in average livestock productivity and a reduction in its annua</w:t>
      </w:r>
      <w:r w:rsidR="002A161D">
        <w:rPr>
          <w:lang w:val="en-US"/>
        </w:rPr>
        <w:t>l variability when compared to the alternative</w:t>
      </w:r>
      <w:r w:rsidR="00FE61BA" w:rsidRPr="002A161D">
        <w:rPr>
          <w:lang w:val="en-US"/>
        </w:rPr>
        <w:t xml:space="preserve"> management </w:t>
      </w:r>
      <w:r w:rsidR="004E72AF">
        <w:rPr>
          <w:lang w:val="en-US"/>
        </w:rPr>
        <w:t>strategy. The latter</w:t>
      </w:r>
      <w:r w:rsidR="002A161D">
        <w:rPr>
          <w:lang w:val="en-US"/>
        </w:rPr>
        <w:t xml:space="preserve"> implies managing livestock </w:t>
      </w:r>
      <w:r w:rsidR="00FE61BA" w:rsidRPr="002A161D">
        <w:rPr>
          <w:lang w:val="en-US"/>
        </w:rPr>
        <w:t>with higher st</w:t>
      </w:r>
      <w:r w:rsidR="00186B39" w:rsidRPr="002A161D">
        <w:rPr>
          <w:lang w:val="en-US"/>
        </w:rPr>
        <w:t>ocking rate</w:t>
      </w:r>
      <w:r w:rsidR="002A161D">
        <w:rPr>
          <w:lang w:val="en-US"/>
        </w:rPr>
        <w:t xml:space="preserve"> and reduc</w:t>
      </w:r>
      <w:r w:rsidR="00636297">
        <w:rPr>
          <w:lang w:val="en-US"/>
        </w:rPr>
        <w:t>ing</w:t>
      </w:r>
      <w:r w:rsidR="002A161D">
        <w:rPr>
          <w:lang w:val="en-US"/>
        </w:rPr>
        <w:t xml:space="preserve"> </w:t>
      </w:r>
      <w:r w:rsidR="005254CE">
        <w:rPr>
          <w:lang w:val="en-US"/>
        </w:rPr>
        <w:t>it</w:t>
      </w:r>
      <w:r w:rsidR="002A161D">
        <w:rPr>
          <w:lang w:val="en-US"/>
        </w:rPr>
        <w:t xml:space="preserve"> only when </w:t>
      </w:r>
      <w:r w:rsidR="00636297">
        <w:rPr>
          <w:lang w:val="en-US"/>
        </w:rPr>
        <w:t xml:space="preserve">the </w:t>
      </w:r>
      <w:r w:rsidR="002A161D">
        <w:rPr>
          <w:lang w:val="en-US"/>
        </w:rPr>
        <w:t>observe</w:t>
      </w:r>
      <w:r w:rsidR="00636297">
        <w:rPr>
          <w:lang w:val="en-US"/>
        </w:rPr>
        <w:t>d</w:t>
      </w:r>
      <w:r w:rsidR="002A161D">
        <w:rPr>
          <w:lang w:val="en-US"/>
        </w:rPr>
        <w:t xml:space="preserve"> corporal condition of the animal deteriorate</w:t>
      </w:r>
      <w:r w:rsidR="008A1443">
        <w:rPr>
          <w:lang w:val="en-US"/>
        </w:rPr>
        <w:t>s</w:t>
      </w:r>
      <w:r w:rsidR="00C95364">
        <w:rPr>
          <w:lang w:val="en-US"/>
        </w:rPr>
        <w:t xml:space="preserve"> (weight loss) due to lower grass supply, caused by</w:t>
      </w:r>
      <w:r w:rsidR="002A161D">
        <w:rPr>
          <w:lang w:val="en-US"/>
        </w:rPr>
        <w:t xml:space="preserve"> </w:t>
      </w:r>
      <w:r w:rsidR="008A1443">
        <w:rPr>
          <w:lang w:val="en-US"/>
        </w:rPr>
        <w:t>adverse climate conditions</w:t>
      </w:r>
      <w:r w:rsidR="00C95364">
        <w:rPr>
          <w:lang w:val="en-US"/>
        </w:rPr>
        <w:t xml:space="preserve"> (reduction in rainfall or droughts)</w:t>
      </w:r>
      <w:r w:rsidR="002A161D">
        <w:rPr>
          <w:lang w:val="en-US"/>
        </w:rPr>
        <w:t xml:space="preserve">. </w:t>
      </w:r>
    </w:p>
    <w:p w14:paraId="4ABCF949" w14:textId="012F7134" w:rsidR="00FE61BA" w:rsidRPr="00987520" w:rsidRDefault="002A161D" w:rsidP="006E035D">
      <w:pPr>
        <w:pStyle w:val="Default"/>
        <w:spacing w:line="480" w:lineRule="auto"/>
        <w:ind w:firstLine="708"/>
        <w:rPr>
          <w:lang w:val="en-US"/>
        </w:rPr>
      </w:pPr>
      <w:r>
        <w:rPr>
          <w:lang w:val="en-US"/>
        </w:rPr>
        <w:t>For e</w:t>
      </w:r>
      <w:r w:rsidR="008A1443">
        <w:rPr>
          <w:lang w:val="en-US"/>
        </w:rPr>
        <w:t>xposition purposes, we refer to</w:t>
      </w:r>
      <w:r>
        <w:rPr>
          <w:lang w:val="en-US"/>
        </w:rPr>
        <w:t xml:space="preserve"> </w:t>
      </w:r>
      <w:r w:rsidR="00DB0388" w:rsidRPr="00683B06">
        <w:rPr>
          <w:lang w:val="en-US"/>
        </w:rPr>
        <w:t>“reactive”</w:t>
      </w:r>
      <w:r w:rsidR="008A1443">
        <w:rPr>
          <w:lang w:val="en-US"/>
        </w:rPr>
        <w:t xml:space="preserve"> farmers as those who</w:t>
      </w:r>
      <w:r w:rsidR="00DB0388" w:rsidRPr="00683B06">
        <w:rPr>
          <w:lang w:val="en-US"/>
        </w:rPr>
        <w:t xml:space="preserve"> react</w:t>
      </w:r>
      <w:r w:rsidR="005254CE">
        <w:rPr>
          <w:lang w:val="en-US"/>
        </w:rPr>
        <w:t xml:space="preserve"> </w:t>
      </w:r>
      <w:r w:rsidR="005254CE" w:rsidRPr="00683B06">
        <w:rPr>
          <w:lang w:val="en-US"/>
        </w:rPr>
        <w:t>(</w:t>
      </w:r>
      <w:r w:rsidR="005254CE">
        <w:rPr>
          <w:lang w:val="en-US"/>
        </w:rPr>
        <w:t xml:space="preserve">by </w:t>
      </w:r>
      <w:r w:rsidR="005254CE" w:rsidRPr="00683B06">
        <w:rPr>
          <w:lang w:val="en-US"/>
        </w:rPr>
        <w:t>decreas</w:t>
      </w:r>
      <w:r w:rsidR="005254CE">
        <w:rPr>
          <w:lang w:val="en-US"/>
        </w:rPr>
        <w:t>ing</w:t>
      </w:r>
      <w:r w:rsidR="005254CE" w:rsidRPr="00683B06">
        <w:rPr>
          <w:lang w:val="en-US"/>
        </w:rPr>
        <w:t xml:space="preserve"> the stocking rate)</w:t>
      </w:r>
      <w:r w:rsidR="00DB0388" w:rsidRPr="00683B06">
        <w:rPr>
          <w:lang w:val="en-US"/>
        </w:rPr>
        <w:t xml:space="preserve"> </w:t>
      </w:r>
      <w:r w:rsidR="008A1443">
        <w:rPr>
          <w:lang w:val="en-US"/>
        </w:rPr>
        <w:t xml:space="preserve">to </w:t>
      </w:r>
      <w:r w:rsidR="00DB0388" w:rsidRPr="00683B06">
        <w:rPr>
          <w:lang w:val="en-US"/>
        </w:rPr>
        <w:t>observe</w:t>
      </w:r>
      <w:r w:rsidR="008A1443">
        <w:rPr>
          <w:lang w:val="en-US"/>
        </w:rPr>
        <w:t>d</w:t>
      </w:r>
      <w:r w:rsidR="00DB0388" w:rsidRPr="00683B06">
        <w:rPr>
          <w:lang w:val="en-US"/>
        </w:rPr>
        <w:t xml:space="preserve"> </w:t>
      </w:r>
      <w:r w:rsidR="00DB0388">
        <w:rPr>
          <w:lang w:val="en-US"/>
        </w:rPr>
        <w:t>corporal condition</w:t>
      </w:r>
      <w:r w:rsidR="005254CE">
        <w:rPr>
          <w:lang w:val="en-US"/>
        </w:rPr>
        <w:t xml:space="preserve"> deterioration</w:t>
      </w:r>
      <w:r w:rsidR="00DB0388">
        <w:rPr>
          <w:lang w:val="en-US"/>
        </w:rPr>
        <w:t xml:space="preserve">, </w:t>
      </w:r>
      <w:r w:rsidR="00DB0388" w:rsidRPr="00683B06">
        <w:rPr>
          <w:lang w:val="en-US"/>
        </w:rPr>
        <w:t xml:space="preserve">which </w:t>
      </w:r>
      <w:r w:rsidR="00DB0388">
        <w:rPr>
          <w:lang w:val="en-US"/>
        </w:rPr>
        <w:t xml:space="preserve">may </w:t>
      </w:r>
      <w:r w:rsidR="004E72AF">
        <w:rPr>
          <w:lang w:val="en-US"/>
        </w:rPr>
        <w:t>occur</w:t>
      </w:r>
      <w:r w:rsidR="00DB0388" w:rsidRPr="00683B06">
        <w:rPr>
          <w:lang w:val="en-US"/>
        </w:rPr>
        <w:t xml:space="preserve"> too late </w:t>
      </w:r>
      <w:r w:rsidR="00DB0388">
        <w:rPr>
          <w:lang w:val="en-US"/>
        </w:rPr>
        <w:t>in cases of severe droughts</w:t>
      </w:r>
      <w:r w:rsidR="00700264">
        <w:rPr>
          <w:lang w:val="en-US"/>
        </w:rPr>
        <w:t xml:space="preserve">, leading to </w:t>
      </w:r>
      <w:r w:rsidR="00700264" w:rsidRPr="00683B06">
        <w:rPr>
          <w:lang w:val="en-US"/>
        </w:rPr>
        <w:t>high mortality rates</w:t>
      </w:r>
      <w:r w:rsidR="00DB0388" w:rsidRPr="00683B06">
        <w:rPr>
          <w:lang w:val="en-US"/>
        </w:rPr>
        <w:t>.</w:t>
      </w:r>
      <w:r w:rsidR="00DB0388">
        <w:rPr>
          <w:lang w:val="en-US"/>
        </w:rPr>
        <w:t xml:space="preserve"> </w:t>
      </w:r>
      <w:r w:rsidR="00F84AB6" w:rsidRPr="00F84AB6">
        <w:rPr>
          <w:lang w:val="en-US"/>
        </w:rPr>
        <w:t>On the other hand</w:t>
      </w:r>
      <w:r w:rsidRPr="00683B06">
        <w:rPr>
          <w:lang w:val="en-US"/>
        </w:rPr>
        <w:t xml:space="preserve">, adopting farmers are </w:t>
      </w:r>
      <w:r w:rsidR="00F84AB6">
        <w:rPr>
          <w:lang w:val="en-US"/>
        </w:rPr>
        <w:t xml:space="preserve">referred to </w:t>
      </w:r>
      <w:r w:rsidRPr="00683B06">
        <w:rPr>
          <w:lang w:val="en-US"/>
        </w:rPr>
        <w:t>as “proactive</w:t>
      </w:r>
      <w:r w:rsidR="00F84AB6">
        <w:rPr>
          <w:lang w:val="en-US"/>
        </w:rPr>
        <w:t>.</w:t>
      </w:r>
      <w:r w:rsidRPr="00683B06">
        <w:rPr>
          <w:lang w:val="en-US"/>
        </w:rPr>
        <w:t>”</w:t>
      </w:r>
      <w:r w:rsidR="00DB0388">
        <w:rPr>
          <w:lang w:val="en-US"/>
        </w:rPr>
        <w:t xml:space="preserve"> </w:t>
      </w:r>
      <w:r w:rsidR="00700264">
        <w:rPr>
          <w:lang w:val="en-US"/>
        </w:rPr>
        <w:t>While</w:t>
      </w:r>
      <w:r w:rsidR="006277A6">
        <w:rPr>
          <w:lang w:val="en-US"/>
        </w:rPr>
        <w:t xml:space="preserve"> assessments of the value to the farmer of the </w:t>
      </w:r>
      <w:r w:rsidR="006277A6" w:rsidRPr="002A161D">
        <w:rPr>
          <w:lang w:val="en-US"/>
        </w:rPr>
        <w:t>reduced volatility</w:t>
      </w:r>
      <w:r w:rsidR="006277A6">
        <w:rPr>
          <w:lang w:val="en-US"/>
        </w:rPr>
        <w:t xml:space="preserve"> in productivity are rarely available, </w:t>
      </w:r>
      <w:r w:rsidR="00DE0ECC" w:rsidRPr="00987520">
        <w:rPr>
          <w:lang w:val="en-US"/>
        </w:rPr>
        <w:t xml:space="preserve">research-based evidence </w:t>
      </w:r>
      <w:r w:rsidR="00987520">
        <w:rPr>
          <w:lang w:val="en-US"/>
        </w:rPr>
        <w:lastRenderedPageBreak/>
        <w:t xml:space="preserve">of its positive impact on </w:t>
      </w:r>
      <w:r w:rsidR="00C95364">
        <w:rPr>
          <w:lang w:val="en-US"/>
        </w:rPr>
        <w:t xml:space="preserve">average </w:t>
      </w:r>
      <w:r w:rsidR="00987520">
        <w:rPr>
          <w:lang w:val="en-US"/>
        </w:rPr>
        <w:t xml:space="preserve">physical productivity </w:t>
      </w:r>
      <w:r w:rsidR="00DE0ECC" w:rsidRPr="00987520">
        <w:rPr>
          <w:lang w:val="en-US"/>
        </w:rPr>
        <w:t xml:space="preserve">has been </w:t>
      </w:r>
      <w:r w:rsidR="00601BA8" w:rsidRPr="00987520">
        <w:rPr>
          <w:lang w:val="en-US"/>
        </w:rPr>
        <w:t xml:space="preserve">mounting </w:t>
      </w:r>
      <w:r w:rsidR="00DE0ECC" w:rsidRPr="00987520">
        <w:rPr>
          <w:lang w:val="en-US"/>
        </w:rPr>
        <w:t>over</w:t>
      </w:r>
      <w:r w:rsidR="00601BA8" w:rsidRPr="00987520">
        <w:rPr>
          <w:lang w:val="en-US"/>
        </w:rPr>
        <w:t xml:space="preserve"> recent years</w:t>
      </w:r>
      <w:r w:rsidR="00DE0ECC" w:rsidRPr="00987520">
        <w:rPr>
          <w:lang w:val="en-US"/>
        </w:rPr>
        <w:t xml:space="preserve"> (</w:t>
      </w:r>
      <w:proofErr w:type="spellStart"/>
      <w:r w:rsidR="00666AAD" w:rsidRPr="00987520">
        <w:rPr>
          <w:lang w:val="en-US"/>
        </w:rPr>
        <w:t>Soca</w:t>
      </w:r>
      <w:proofErr w:type="spellEnd"/>
      <w:r w:rsidR="00666AAD" w:rsidRPr="00987520">
        <w:rPr>
          <w:lang w:val="en-US"/>
        </w:rPr>
        <w:t xml:space="preserve"> et al</w:t>
      </w:r>
      <w:r w:rsidR="00A92C3A" w:rsidRPr="00987520">
        <w:rPr>
          <w:lang w:val="en-US"/>
        </w:rPr>
        <w:t>.</w:t>
      </w:r>
      <w:r w:rsidR="00666AAD" w:rsidRPr="00987520">
        <w:rPr>
          <w:lang w:val="en-US"/>
        </w:rPr>
        <w:t xml:space="preserve"> 20</w:t>
      </w:r>
      <w:r w:rsidR="00DE0060">
        <w:rPr>
          <w:lang w:val="en-US"/>
        </w:rPr>
        <w:t>0</w:t>
      </w:r>
      <w:r w:rsidR="00CA715F" w:rsidRPr="00987520">
        <w:rPr>
          <w:lang w:val="en-US"/>
        </w:rPr>
        <w:t xml:space="preserve">2, </w:t>
      </w:r>
      <w:proofErr w:type="spellStart"/>
      <w:r w:rsidR="00CA715F" w:rsidRPr="00987520">
        <w:rPr>
          <w:lang w:val="en-US"/>
        </w:rPr>
        <w:t>Soca</w:t>
      </w:r>
      <w:proofErr w:type="spellEnd"/>
      <w:r w:rsidR="00CA715F" w:rsidRPr="00987520">
        <w:rPr>
          <w:lang w:val="en-US"/>
        </w:rPr>
        <w:t xml:space="preserve"> et al</w:t>
      </w:r>
      <w:r w:rsidR="00A92C3A" w:rsidRPr="00987520">
        <w:rPr>
          <w:lang w:val="en-US"/>
        </w:rPr>
        <w:t>.</w:t>
      </w:r>
      <w:r w:rsidR="00CA715F" w:rsidRPr="00987520">
        <w:rPr>
          <w:lang w:val="en-US"/>
        </w:rPr>
        <w:t xml:space="preserve"> 2013</w:t>
      </w:r>
      <w:r w:rsidR="00731DE3">
        <w:rPr>
          <w:lang w:val="en-US"/>
        </w:rPr>
        <w:t xml:space="preserve">a, </w:t>
      </w:r>
      <w:proofErr w:type="spellStart"/>
      <w:r w:rsidR="00731DE3" w:rsidRPr="00987520">
        <w:rPr>
          <w:lang w:val="en-US"/>
        </w:rPr>
        <w:t>Soca</w:t>
      </w:r>
      <w:proofErr w:type="spellEnd"/>
      <w:r w:rsidR="00731DE3" w:rsidRPr="00987520">
        <w:rPr>
          <w:lang w:val="en-US"/>
        </w:rPr>
        <w:t xml:space="preserve"> et al. 2013</w:t>
      </w:r>
      <w:r w:rsidR="00731DE3">
        <w:rPr>
          <w:lang w:val="en-US"/>
        </w:rPr>
        <w:t>b</w:t>
      </w:r>
      <w:r w:rsidR="00CA715F" w:rsidRPr="00987520">
        <w:rPr>
          <w:lang w:val="en-US"/>
        </w:rPr>
        <w:t xml:space="preserve">, </w:t>
      </w:r>
      <w:proofErr w:type="spellStart"/>
      <w:r w:rsidR="00CA715F" w:rsidRPr="00987520">
        <w:rPr>
          <w:lang w:val="en-US"/>
        </w:rPr>
        <w:t>Becoña</w:t>
      </w:r>
      <w:proofErr w:type="spellEnd"/>
      <w:r w:rsidR="00CA715F" w:rsidRPr="00987520">
        <w:rPr>
          <w:lang w:val="en-US"/>
        </w:rPr>
        <w:t xml:space="preserve"> et al</w:t>
      </w:r>
      <w:r w:rsidR="00A92C3A" w:rsidRPr="00987520">
        <w:rPr>
          <w:lang w:val="en-US"/>
        </w:rPr>
        <w:t>.</w:t>
      </w:r>
      <w:r w:rsidR="00CA715F" w:rsidRPr="00987520">
        <w:rPr>
          <w:lang w:val="en-US"/>
        </w:rPr>
        <w:t xml:space="preserve"> 2014, </w:t>
      </w:r>
      <w:proofErr w:type="spellStart"/>
      <w:r w:rsidR="002661AA" w:rsidRPr="00987520">
        <w:rPr>
          <w:lang w:val="en-US"/>
        </w:rPr>
        <w:t>Modernel</w:t>
      </w:r>
      <w:proofErr w:type="spellEnd"/>
      <w:r w:rsidR="002661AA" w:rsidRPr="00987520">
        <w:rPr>
          <w:lang w:val="en-US"/>
        </w:rPr>
        <w:t xml:space="preserve"> et al</w:t>
      </w:r>
      <w:r w:rsidR="00A92C3A" w:rsidRPr="00987520">
        <w:rPr>
          <w:lang w:val="en-US"/>
        </w:rPr>
        <w:t>.</w:t>
      </w:r>
      <w:r w:rsidR="002661AA" w:rsidRPr="00987520">
        <w:rPr>
          <w:lang w:val="en-US"/>
        </w:rPr>
        <w:t xml:space="preserve"> 201</w:t>
      </w:r>
      <w:r w:rsidR="00FE0A25" w:rsidRPr="00987520">
        <w:rPr>
          <w:lang w:val="en-US"/>
        </w:rPr>
        <w:t xml:space="preserve">6, </w:t>
      </w:r>
      <w:proofErr w:type="spellStart"/>
      <w:r w:rsidR="00FE0A25" w:rsidRPr="00987520">
        <w:rPr>
          <w:lang w:val="en-US"/>
        </w:rPr>
        <w:t>Claramunt</w:t>
      </w:r>
      <w:proofErr w:type="spellEnd"/>
      <w:r w:rsidR="00FE0A25" w:rsidRPr="00987520">
        <w:rPr>
          <w:lang w:val="en-US"/>
        </w:rPr>
        <w:t xml:space="preserve"> et al</w:t>
      </w:r>
      <w:r w:rsidR="00A92C3A" w:rsidRPr="00987520">
        <w:rPr>
          <w:lang w:val="en-US"/>
        </w:rPr>
        <w:t>.</w:t>
      </w:r>
      <w:r w:rsidR="00FE0A25" w:rsidRPr="00987520">
        <w:rPr>
          <w:lang w:val="en-US"/>
        </w:rPr>
        <w:t xml:space="preserve"> 2017</w:t>
      </w:r>
      <w:r w:rsidR="00DE0ECC" w:rsidRPr="00987520">
        <w:rPr>
          <w:lang w:val="en-US"/>
        </w:rPr>
        <w:t xml:space="preserve">). </w:t>
      </w:r>
    </w:p>
    <w:p w14:paraId="4EB43F0F" w14:textId="470F9423" w:rsidR="00C6707E" w:rsidRDefault="003070FD" w:rsidP="006E035D">
      <w:r>
        <w:t xml:space="preserve">Finally, </w:t>
      </w:r>
      <w:r w:rsidR="00B02096">
        <w:t xml:space="preserve">the two technologies </w:t>
      </w:r>
      <w:r w:rsidR="006277A6">
        <w:t>under</w:t>
      </w:r>
      <w:r w:rsidR="00B02096">
        <w:t xml:space="preserve"> study </w:t>
      </w:r>
      <w:r w:rsidR="000E3F84">
        <w:t xml:space="preserve">belong to </w:t>
      </w:r>
      <w:r w:rsidR="006277A6">
        <w:t>a</w:t>
      </w:r>
      <w:r w:rsidR="000E3F84">
        <w:t xml:space="preserve"> br</w:t>
      </w:r>
      <w:r w:rsidR="006277A6">
        <w:t xml:space="preserve">oader strategy of adaptation to </w:t>
      </w:r>
      <w:r w:rsidR="00700264">
        <w:t xml:space="preserve">variability and </w:t>
      </w:r>
      <w:r w:rsidR="000E3F84">
        <w:t>climate change</w:t>
      </w:r>
      <w:r w:rsidR="006277A6">
        <w:t xml:space="preserve"> </w:t>
      </w:r>
      <w:r w:rsidR="000E3F84">
        <w:t>in the agricultural sector stated in the Uruguayan climate change policy (</w:t>
      </w:r>
      <w:r w:rsidR="00771C34">
        <w:t>ROU-</w:t>
      </w:r>
      <w:r w:rsidR="000E3F84" w:rsidRPr="000E3F84">
        <w:t>PNCC 2017</w:t>
      </w:r>
      <w:r w:rsidR="000E3F84">
        <w:t>) and in the</w:t>
      </w:r>
      <w:r w:rsidR="006D43E0">
        <w:t xml:space="preserve"> </w:t>
      </w:r>
      <w:r w:rsidR="00700264">
        <w:t xml:space="preserve">Uruguayan </w:t>
      </w:r>
      <w:r w:rsidR="006D43E0">
        <w:t>First</w:t>
      </w:r>
      <w:r w:rsidR="000E3F84">
        <w:t xml:space="preserve"> National</w:t>
      </w:r>
      <w:r w:rsidR="006D43E0">
        <w:t>ly</w:t>
      </w:r>
      <w:r w:rsidR="000E3F84">
        <w:t xml:space="preserve"> Determined Contributions to the 2015 Paris Agreement</w:t>
      </w:r>
      <w:r w:rsidR="006D43E0">
        <w:t xml:space="preserve"> (ROU-NDC 2017)</w:t>
      </w:r>
      <w:r w:rsidR="000E3F84">
        <w:t>.</w:t>
      </w:r>
      <w:r w:rsidR="0048350D">
        <w:t xml:space="preserve"> </w:t>
      </w:r>
      <w:r w:rsidR="006277A6">
        <w:t>In this sense, th</w:t>
      </w:r>
      <w:r w:rsidR="007E55B3">
        <w:t xml:space="preserve">is study </w:t>
      </w:r>
      <w:r w:rsidR="00763F35">
        <w:t xml:space="preserve">contributes to support private and public initiatives </w:t>
      </w:r>
      <w:r w:rsidR="007E55B3">
        <w:t xml:space="preserve">with </w:t>
      </w:r>
      <w:r w:rsidR="00763F35">
        <w:t xml:space="preserve">empirical evidence of the economic convenience of </w:t>
      </w:r>
      <w:r w:rsidR="000E3F84">
        <w:t>the</w:t>
      </w:r>
      <w:r w:rsidR="007E55B3">
        <w:t xml:space="preserve"> </w:t>
      </w:r>
      <w:r w:rsidR="00763F35">
        <w:t>adoption</w:t>
      </w:r>
      <w:r w:rsidR="000E3F84">
        <w:t xml:space="preserve"> of these adaptation technologies</w:t>
      </w:r>
      <w:r w:rsidR="00763F35">
        <w:t xml:space="preserve">. </w:t>
      </w:r>
    </w:p>
    <w:p w14:paraId="73E3FE9C" w14:textId="77777777" w:rsidR="00E26B0F" w:rsidRDefault="00E26B0F" w:rsidP="006E035D"/>
    <w:p w14:paraId="0CAB908D" w14:textId="77777777" w:rsidR="00BA7D56" w:rsidRPr="001A2C1B" w:rsidRDefault="0009746C" w:rsidP="006E035D">
      <w:pPr>
        <w:pStyle w:val="Prrafodelista"/>
        <w:numPr>
          <w:ilvl w:val="0"/>
          <w:numId w:val="14"/>
        </w:numPr>
      </w:pPr>
      <w:r w:rsidRPr="001A2C1B">
        <w:t>Methodology</w:t>
      </w:r>
    </w:p>
    <w:p w14:paraId="2CD517AA" w14:textId="60002B53" w:rsidR="00313ABE" w:rsidRDefault="00DA1E13" w:rsidP="00E14443">
      <w:pPr>
        <w:ind w:firstLine="0"/>
      </w:pPr>
      <w:r>
        <w:t>Consider</w:t>
      </w:r>
      <w:r w:rsidR="007B6DD1">
        <w:t xml:space="preserve"> </w:t>
      </w:r>
      <w:r w:rsidR="00105455">
        <w:t>an individual with two alternative production technologies</w:t>
      </w:r>
      <w:r>
        <w:t xml:space="preserve"> </w:t>
      </w:r>
      <w:r w:rsidRPr="00EA28FA">
        <w:rPr>
          <w:i/>
        </w:rPr>
        <w:t>j</w:t>
      </w:r>
      <w:r w:rsidR="00D0482F">
        <w:t xml:space="preserve">. </w:t>
      </w:r>
      <w:r w:rsidR="00F51778">
        <w:t>One technology which features a</w:t>
      </w:r>
      <w:r w:rsidR="00D0482F">
        <w:t xml:space="preserve"> </w:t>
      </w:r>
      <w:r w:rsidR="00105455">
        <w:t>reduc</w:t>
      </w:r>
      <w:r w:rsidR="00D0482F">
        <w:t xml:space="preserve">tion of </w:t>
      </w:r>
      <w:r w:rsidR="00105455">
        <w:t>vulnerability of the production activity to climate variability</w:t>
      </w:r>
      <w:r w:rsidR="00F51778">
        <w:t>, hereafter referred as “adaptation technology” (AT)</w:t>
      </w:r>
      <w:r w:rsidR="00D0482F">
        <w:t>.</w:t>
      </w:r>
      <w:r>
        <w:t xml:space="preserve"> The other</w:t>
      </w:r>
      <w:r w:rsidR="00F51778">
        <w:t xml:space="preserve">, </w:t>
      </w:r>
      <w:r w:rsidR="00EA50E5">
        <w:t xml:space="preserve">does not provide vulnerability reduction and </w:t>
      </w:r>
      <w:r w:rsidR="00D0482F">
        <w:t>will be referred hereafter</w:t>
      </w:r>
      <w:r>
        <w:t xml:space="preserve"> as “no adaptation technology”</w:t>
      </w:r>
      <w:r w:rsidR="00D0482F">
        <w:t xml:space="preserve"> </w:t>
      </w:r>
      <w:r w:rsidR="00F51778">
        <w:t>(NAT)</w:t>
      </w:r>
      <w:r w:rsidR="00D0482F">
        <w:t>.</w:t>
      </w:r>
    </w:p>
    <w:p w14:paraId="05F98F35" w14:textId="77777777" w:rsidR="00EE2352" w:rsidRDefault="00D0482F" w:rsidP="006E035D">
      <w:r>
        <w:t xml:space="preserve"> </w:t>
      </w:r>
      <w:r w:rsidR="00DA1E13">
        <w:t>E</w:t>
      </w:r>
      <w:r w:rsidR="00EE2352">
        <w:t>ach technology implies a st</w:t>
      </w:r>
      <w:r w:rsidR="00313ABE">
        <w:t>r</w:t>
      </w:r>
      <w:r w:rsidR="00EE2352">
        <w:t xml:space="preserve">eam of uncertain profits with different </w:t>
      </w:r>
      <w:r w:rsidR="00DA1E13">
        <w:t xml:space="preserve">mean and </w:t>
      </w:r>
      <w:r w:rsidR="007B3BDF">
        <w:t>standard deviation</w:t>
      </w:r>
      <w:r w:rsidR="00EE2352">
        <w:t>.</w:t>
      </w:r>
      <w:r w:rsidR="00313ABE">
        <w:t xml:space="preserve"> </w:t>
      </w:r>
      <w:r w:rsidR="00EE2352">
        <w:t xml:space="preserve">The expected utility of the profits of using alternative </w:t>
      </w:r>
      <w:r w:rsidR="00EE2352" w:rsidRPr="00EA28FA">
        <w:rPr>
          <w:i/>
        </w:rPr>
        <w:t>j</w:t>
      </w:r>
      <w:r w:rsidR="00EE2352">
        <w:t xml:space="preserve"> is:</w:t>
      </w:r>
    </w:p>
    <w:p w14:paraId="51F78B71" w14:textId="7CED7FFD" w:rsidR="00B8613C" w:rsidRDefault="00B8613C" w:rsidP="00BC5BB2">
      <w:pPr>
        <w:pStyle w:val="MTDisplayEquation"/>
      </w:pPr>
      <w:r>
        <w:tab/>
      </w:r>
      <w:r w:rsidR="0087321C" w:rsidRPr="00B8613C">
        <w:rPr>
          <w:position w:val="-32"/>
        </w:rPr>
        <w:object w:dxaOrig="3379" w:dyaOrig="740" w14:anchorId="2CD23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37.1pt" o:ole="">
            <v:imagedata r:id="rId10" o:title=""/>
          </v:shape>
          <o:OLEObject Type="Embed" ProgID="Equation.DSMT4" ShapeID="_x0000_i1025" DrawAspect="Content" ObjectID="_1657379017" r:id="rId11"/>
        </w:object>
      </w:r>
      <w:r>
        <w:t xml:space="preserve"> </w:t>
      </w:r>
      <w:r>
        <w:tab/>
      </w:r>
      <w:r w:rsidR="00BC4BA4">
        <w:fldChar w:fldCharType="begin"/>
      </w:r>
      <w:r>
        <w:instrText xml:space="preserve"> MACROBUTTON MTPlaceRef \* MERGEFORMAT </w:instrText>
      </w:r>
      <w:r w:rsidR="00BC4BA4">
        <w:fldChar w:fldCharType="begin"/>
      </w:r>
      <w:r>
        <w:instrText xml:space="preserve"> SEQ MTEqn \h \* MERGEFORMAT </w:instrText>
      </w:r>
      <w:r w:rsidR="00BC4BA4">
        <w:fldChar w:fldCharType="end"/>
      </w:r>
      <w:r>
        <w:instrText>(</w:instrText>
      </w:r>
      <w:fldSimple w:instr=" SEQ MTEqn \c \* Arabic \* MERGEFORMAT ">
        <w:r w:rsidR="00286363">
          <w:rPr>
            <w:noProof/>
          </w:rPr>
          <w:instrText>1</w:instrText>
        </w:r>
      </w:fldSimple>
      <w:r>
        <w:instrText>)</w:instrText>
      </w:r>
      <w:r w:rsidR="00BC4BA4">
        <w:fldChar w:fldCharType="end"/>
      </w:r>
    </w:p>
    <w:p w14:paraId="212037B9" w14:textId="77777777" w:rsidR="00DA17F7" w:rsidRDefault="00DA1E13" w:rsidP="006E035D">
      <w:pPr>
        <w:pStyle w:val="MTDisplayEquation"/>
        <w:spacing w:line="480" w:lineRule="auto"/>
      </w:pPr>
      <w:r>
        <w:tab/>
      </w:r>
    </w:p>
    <w:p w14:paraId="20AD47D1" w14:textId="1B5B5D86" w:rsidR="00DA1E13" w:rsidRDefault="00DA17F7" w:rsidP="006E035D">
      <w:pPr>
        <w:pStyle w:val="MTDisplayEquation"/>
        <w:spacing w:line="480" w:lineRule="auto"/>
      </w:pPr>
      <w:proofErr w:type="gramStart"/>
      <w:r>
        <w:t>w</w:t>
      </w:r>
      <w:r w:rsidR="00DA1E13">
        <w:t>here</w:t>
      </w:r>
      <w:proofErr w:type="gramEnd"/>
      <w:r w:rsidR="00DA1E13">
        <w:t xml:space="preserve"> </w:t>
      </w:r>
      <w:r w:rsidR="0087321C" w:rsidRPr="008C15F1">
        <w:rPr>
          <w:position w:val="-14"/>
        </w:rPr>
        <w:object w:dxaOrig="1579" w:dyaOrig="400" w14:anchorId="18A36393">
          <v:shape id="_x0000_i1026" type="#_x0000_t75" style="width:79.65pt;height:21.25pt" o:ole="">
            <v:imagedata r:id="rId12" o:title=""/>
          </v:shape>
          <o:OLEObject Type="Embed" ProgID="Equation.DSMT4" ShapeID="_x0000_i1026" DrawAspect="Content" ObjectID="_1657379018" r:id="rId13"/>
        </w:object>
      </w:r>
      <w:r w:rsidR="00EC61D2">
        <w:t xml:space="preserve"> </w:t>
      </w:r>
      <w:r w:rsidR="00724722" w:rsidRPr="00724722">
        <w:t>is the stochastic</w:t>
      </w:r>
      <w:r w:rsidR="00724722">
        <w:t xml:space="preserve"> function of </w:t>
      </w:r>
      <w:r w:rsidR="00EE2352">
        <w:t>profits of alternative</w:t>
      </w:r>
      <w:r w:rsidR="00724722">
        <w:t xml:space="preserve"> </w:t>
      </w:r>
      <w:r w:rsidR="00724722" w:rsidRPr="00724722">
        <w:rPr>
          <w:i/>
        </w:rPr>
        <w:t>j</w:t>
      </w:r>
      <w:r w:rsidR="00724722" w:rsidRPr="00724722">
        <w:t xml:space="preserve">, </w:t>
      </w:r>
      <w:r w:rsidR="00724722">
        <w:t>with</w:t>
      </w:r>
      <w:r w:rsidR="00724722" w:rsidRPr="00724722">
        <w:t xml:space="preserve"> </w:t>
      </w:r>
      <w:r w:rsidR="00724722" w:rsidRPr="00724722">
        <w:rPr>
          <w:i/>
        </w:rPr>
        <w:t xml:space="preserve">j = </w:t>
      </w:r>
      <w:r w:rsidR="00724722" w:rsidRPr="00724722">
        <w:t>{</w:t>
      </w:r>
      <w:r w:rsidR="00F51778" w:rsidRPr="00F51778">
        <w:t>NAT</w:t>
      </w:r>
      <w:r w:rsidR="006F375A" w:rsidRPr="00F51778">
        <w:t xml:space="preserve">, </w:t>
      </w:r>
      <w:r w:rsidR="00F51778" w:rsidRPr="00F51778">
        <w:t>AT</w:t>
      </w:r>
      <w:r w:rsidR="00DA1E13">
        <w:t>}</w:t>
      </w:r>
      <w:r w:rsidR="00724722" w:rsidRPr="00724722">
        <w:t>.</w:t>
      </w:r>
      <w:r w:rsidR="00BA11AF">
        <w:t xml:space="preserve"> </w:t>
      </w:r>
      <w:r w:rsidR="00EE2352">
        <w:t xml:space="preserve">Profits are stochastic because </w:t>
      </w:r>
      <w:r w:rsidR="00C90E2D" w:rsidRPr="00C90E2D">
        <w:t xml:space="preserve">prices </w:t>
      </w:r>
      <w:r w:rsidR="0087321C" w:rsidRPr="008C15F1">
        <w:rPr>
          <w:position w:val="-4"/>
        </w:rPr>
        <w:object w:dxaOrig="240" w:dyaOrig="300" w14:anchorId="4F2FB2A0">
          <v:shape id="_x0000_i1027" type="#_x0000_t75" style="width:12.55pt;height:15.8pt" o:ole="">
            <v:imagedata r:id="rId14" o:title=""/>
          </v:shape>
          <o:OLEObject Type="Embed" ProgID="Equation.DSMT4" ShapeID="_x0000_i1027" DrawAspect="Content" ObjectID="_1657379019" r:id="rId15"/>
        </w:object>
      </w:r>
      <w:r w:rsidR="00C90E2D" w:rsidRPr="00C90E2D">
        <w:t xml:space="preserve"> and the </w:t>
      </w:r>
      <w:r w:rsidR="00EE2352">
        <w:t xml:space="preserve">per hectare </w:t>
      </w:r>
      <w:r w:rsidR="00BA11AF">
        <w:t xml:space="preserve">production </w:t>
      </w:r>
      <w:r w:rsidR="007A2B07" w:rsidRPr="00FA5892">
        <w:rPr>
          <w:position w:val="-14"/>
        </w:rPr>
        <w:object w:dxaOrig="279" w:dyaOrig="380" w14:anchorId="73E4951D">
          <v:shape id="_x0000_i1028" type="#_x0000_t75" style="width:14.2pt;height:18.55pt" o:ole="">
            <v:imagedata r:id="rId16" o:title=""/>
          </v:shape>
          <o:OLEObject Type="Embed" ProgID="Equation.DSMT4" ShapeID="_x0000_i1028" DrawAspect="Content" ObjectID="_1657379020" r:id="rId17"/>
        </w:object>
      </w:r>
      <w:r w:rsidR="00FA5892">
        <w:t xml:space="preserve"> </w:t>
      </w:r>
      <w:r w:rsidR="00C90E2D">
        <w:t xml:space="preserve">are </w:t>
      </w:r>
      <w:r w:rsidR="00827E8B">
        <w:t>unknown</w:t>
      </w:r>
      <w:r w:rsidR="00C90E2D">
        <w:t xml:space="preserve"> at the moment </w:t>
      </w:r>
      <w:r w:rsidR="00EE2352">
        <w:t xml:space="preserve">production </w:t>
      </w:r>
      <w:r w:rsidR="007F7A8A">
        <w:t>decisions are made.</w:t>
      </w:r>
      <w:r w:rsidR="007A2B07" w:rsidRPr="007A2B07">
        <w:t xml:space="preserve"> </w:t>
      </w:r>
      <w:r w:rsidR="007A2B07">
        <w:t>Variable</w:t>
      </w:r>
      <w:r w:rsidR="007A2B07" w:rsidRPr="00FA5892">
        <w:rPr>
          <w:position w:val="-14"/>
        </w:rPr>
        <w:object w:dxaOrig="279" w:dyaOrig="380" w14:anchorId="16221B58">
          <v:shape id="_x0000_i1029" type="#_x0000_t75" style="width:14.2pt;height:18.55pt" o:ole="">
            <v:imagedata r:id="rId16" o:title=""/>
          </v:shape>
          <o:OLEObject Type="Embed" ProgID="Equation.DSMT4" ShapeID="_x0000_i1029" DrawAspect="Content" ObjectID="_1657379021" r:id="rId18"/>
        </w:object>
      </w:r>
      <w:r w:rsidR="007A2B07" w:rsidRPr="00C90E2D">
        <w:t xml:space="preserve"> </w:t>
      </w:r>
      <w:r w:rsidR="00C90E2D" w:rsidRPr="00C90E2D">
        <w:t xml:space="preserve">depends on a </w:t>
      </w:r>
      <w:r w:rsidR="005A6648">
        <w:t xml:space="preserve">random climate </w:t>
      </w:r>
      <w:r w:rsidR="00BA11AF">
        <w:t xml:space="preserve">variable </w:t>
      </w:r>
      <w:r w:rsidR="008560E0" w:rsidRPr="008560E0">
        <w:t>(</w:t>
      </w:r>
      <w:r w:rsidR="00F51778" w:rsidRPr="00FA5892">
        <w:rPr>
          <w:position w:val="-4"/>
        </w:rPr>
        <w:object w:dxaOrig="200" w:dyaOrig="260" w14:anchorId="6E819F18">
          <v:shape id="_x0000_i1030" type="#_x0000_t75" style="width:10.9pt;height:13.65pt" o:ole="">
            <v:imagedata r:id="rId19" o:title=""/>
          </v:shape>
          <o:OLEObject Type="Embed" ProgID="Equation.DSMT4" ShapeID="_x0000_i1030" DrawAspect="Content" ObjectID="_1657379022" r:id="rId20"/>
        </w:object>
      </w:r>
      <w:r w:rsidR="008560E0" w:rsidRPr="008560E0">
        <w:t>),</w:t>
      </w:r>
      <w:r w:rsidR="008560E0">
        <w:t xml:space="preserve"> </w:t>
      </w:r>
      <w:r w:rsidR="00DA1E13" w:rsidRPr="00837C30">
        <w:t>that</w:t>
      </w:r>
      <w:r w:rsidR="008560E0" w:rsidRPr="00837C30">
        <w:t xml:space="preserve"> link</w:t>
      </w:r>
      <w:r w:rsidR="00DA1E13" w:rsidRPr="00837C30">
        <w:t>s</w:t>
      </w:r>
      <w:r w:rsidR="008560E0" w:rsidRPr="00837C30">
        <w:t xml:space="preserve"> </w:t>
      </w:r>
      <w:r w:rsidR="005A6648" w:rsidRPr="00837C30">
        <w:t xml:space="preserve">climate </w:t>
      </w:r>
      <w:r w:rsidR="00BA11AF" w:rsidRPr="00837C30">
        <w:t>conditions</w:t>
      </w:r>
      <w:r w:rsidR="008560E0" w:rsidRPr="00837C30">
        <w:t xml:space="preserve"> </w:t>
      </w:r>
      <w:r w:rsidR="00F51778">
        <w:t>to</w:t>
      </w:r>
      <w:r w:rsidR="008560E0" w:rsidRPr="00837C30">
        <w:t xml:space="preserve"> </w:t>
      </w:r>
      <w:r w:rsidR="007F7A8A" w:rsidRPr="00837C30">
        <w:t xml:space="preserve">production (see details in the next </w:t>
      </w:r>
      <w:r w:rsidR="007F7A8A" w:rsidRPr="00837C30">
        <w:lastRenderedPageBreak/>
        <w:t>section)</w:t>
      </w:r>
      <w:r w:rsidR="008560E0" w:rsidRPr="00837C30">
        <w:t xml:space="preserve">. </w:t>
      </w:r>
      <w:r w:rsidR="005A6648" w:rsidRPr="00837C30">
        <w:t>Prices</w:t>
      </w:r>
      <w:r w:rsidR="005A6648">
        <w:t xml:space="preserve"> belong to the interval </w:t>
      </w:r>
      <w:r w:rsidR="0087321C" w:rsidRPr="00FA5892">
        <w:rPr>
          <w:position w:val="-10"/>
        </w:rPr>
        <w:object w:dxaOrig="1120" w:dyaOrig="360" w14:anchorId="7DC157F2">
          <v:shape id="_x0000_i1031" type="#_x0000_t75" style="width:55.65pt;height:17.45pt" o:ole="">
            <v:imagedata r:id="rId21" o:title=""/>
          </v:shape>
          <o:OLEObject Type="Embed" ProgID="Equation.DSMT4" ShapeID="_x0000_i1031" DrawAspect="Content" ObjectID="_1657379023" r:id="rId22"/>
        </w:object>
      </w:r>
      <w:r w:rsidR="00FA5892">
        <w:t xml:space="preserve"> </w:t>
      </w:r>
      <w:r w:rsidR="005A6648">
        <w:t xml:space="preserve">and are </w:t>
      </w:r>
      <w:r w:rsidR="007A2B07">
        <w:t>un</w:t>
      </w:r>
      <w:r w:rsidR="00DA1E13">
        <w:t>know</w:t>
      </w:r>
      <w:r w:rsidR="00827E8B">
        <w:t>n</w:t>
      </w:r>
      <w:r w:rsidR="005A6648">
        <w:t xml:space="preserve"> </w:t>
      </w:r>
      <w:r w:rsidR="00DA1E13">
        <w:t>at the</w:t>
      </w:r>
      <w:r w:rsidR="00667D64">
        <w:t xml:space="preserve"> planting decision</w:t>
      </w:r>
      <w:r w:rsidR="00DA1E13">
        <w:t xml:space="preserve"> moment</w:t>
      </w:r>
      <w:r w:rsidR="005A6648">
        <w:t>. Prices and per-hectare production are correlated events and characterized by a joint</w:t>
      </w:r>
      <w:r w:rsidR="008560E0">
        <w:t xml:space="preserve"> density </w:t>
      </w:r>
      <w:proofErr w:type="gramStart"/>
      <w:r w:rsidR="008560E0">
        <w:t xml:space="preserve">function </w:t>
      </w:r>
      <w:proofErr w:type="gramEnd"/>
      <w:r w:rsidR="007A2B07" w:rsidRPr="00FA5892">
        <w:rPr>
          <w:position w:val="-14"/>
        </w:rPr>
        <w:object w:dxaOrig="940" w:dyaOrig="400" w14:anchorId="7D57E568">
          <v:shape id="_x0000_i1032" type="#_x0000_t75" style="width:46.35pt;height:21.25pt" o:ole="">
            <v:imagedata r:id="rId23" o:title=""/>
          </v:shape>
          <o:OLEObject Type="Embed" ProgID="Equation.DSMT4" ShapeID="_x0000_i1032" DrawAspect="Content" ObjectID="_1657379024" r:id="rId24"/>
        </w:object>
      </w:r>
      <w:r w:rsidR="005A6648">
        <w:t xml:space="preserve">. </w:t>
      </w:r>
    </w:p>
    <w:p w14:paraId="32A8E7A1" w14:textId="730D39A0" w:rsidR="008560E0" w:rsidRPr="00D0482F" w:rsidRDefault="00DA1E13" w:rsidP="006E035D">
      <w:pPr>
        <w:pStyle w:val="MTDisplayEquation"/>
        <w:spacing w:line="480" w:lineRule="auto"/>
        <w:ind w:firstLine="706"/>
      </w:pPr>
      <w:r>
        <w:rPr>
          <w:rFonts w:eastAsia="Calibri"/>
          <w:color w:val="000000"/>
        </w:rPr>
        <w:tab/>
      </w:r>
      <w:r w:rsidR="00D0482F">
        <w:rPr>
          <w:rFonts w:eastAsia="Calibri"/>
          <w:color w:val="000000"/>
        </w:rPr>
        <w:t xml:space="preserve">Given that </w:t>
      </w:r>
      <w:r w:rsidR="004078C7" w:rsidRPr="004078C7">
        <w:t>the daily percentage change of commodity prices can be approxim</w:t>
      </w:r>
      <w:r w:rsidR="00051651">
        <w:t xml:space="preserve">ated by a </w:t>
      </w:r>
      <w:r w:rsidR="00051651" w:rsidRPr="007F7A8A">
        <w:t>Normal</w:t>
      </w:r>
      <w:r w:rsidR="00051651">
        <w:t xml:space="preserve"> distribution,</w:t>
      </w:r>
      <w:r w:rsidR="00D0482F">
        <w:t xml:space="preserve"> </w:t>
      </w:r>
      <w:r w:rsidR="00313ABE">
        <w:t>we</w:t>
      </w:r>
      <w:r w:rsidR="00827E8B">
        <w:t xml:space="preserve"> assume</w:t>
      </w:r>
      <w:r w:rsidR="00D0482F">
        <w:t xml:space="preserve"> that </w:t>
      </w:r>
      <w:r w:rsidR="004078C7" w:rsidRPr="004078C7">
        <w:t>the variable</w:t>
      </w:r>
      <w:r w:rsidR="00051651">
        <w:t xml:space="preserve"> i</w:t>
      </w:r>
      <w:r w:rsidR="00051651" w:rsidRPr="004078C7">
        <w:t>n levels</w:t>
      </w:r>
      <w:r w:rsidR="0087321C">
        <w:t xml:space="preserve"> </w:t>
      </w:r>
      <w:r w:rsidR="0087321C" w:rsidRPr="008C15F1">
        <w:rPr>
          <w:position w:val="-4"/>
        </w:rPr>
        <w:object w:dxaOrig="240" w:dyaOrig="300" w14:anchorId="44DFF8BC">
          <v:shape id="_x0000_i1033" type="#_x0000_t75" style="width:12.55pt;height:15.8pt" o:ole="">
            <v:imagedata r:id="rId14" o:title=""/>
          </v:shape>
          <o:OLEObject Type="Embed" ProgID="Equation.DSMT4" ShapeID="_x0000_i1033" DrawAspect="Content" ObjectID="_1657379025" r:id="rId25"/>
        </w:object>
      </w:r>
      <w:r w:rsidR="001809B2">
        <w:t>has a</w:t>
      </w:r>
      <w:r w:rsidR="004078C7" w:rsidRPr="004078C7">
        <w:t xml:space="preserve"> Lognormal </w:t>
      </w:r>
      <w:r w:rsidR="001809B2">
        <w:t xml:space="preserve">distribution </w:t>
      </w:r>
      <w:r w:rsidR="00D0482F">
        <w:t>(Hull 2009, p. 271)</w:t>
      </w:r>
      <w:proofErr w:type="gramStart"/>
      <w:r w:rsidR="00D0482F">
        <w:t xml:space="preserve">, </w:t>
      </w:r>
      <w:r w:rsidR="00F51778" w:rsidRPr="00FA5892">
        <w:rPr>
          <w:rFonts w:eastAsiaTheme="minorEastAsia"/>
          <w:color w:val="000000"/>
          <w:position w:val="-10"/>
        </w:rPr>
        <w:object w:dxaOrig="520" w:dyaOrig="360" w14:anchorId="5C0B8030">
          <v:shape id="_x0000_i1034" type="#_x0000_t75" style="width:25.65pt;height:18pt" o:ole="">
            <v:imagedata r:id="rId26" o:title=""/>
          </v:shape>
          <o:OLEObject Type="Embed" ProgID="Equation.DSMT4" ShapeID="_x0000_i1034" DrawAspect="Content" ObjectID="_1657379026" r:id="rId27"/>
        </w:object>
      </w:r>
      <w:r w:rsidR="00D0482F">
        <w:rPr>
          <w:rFonts w:eastAsiaTheme="minorEastAsia"/>
          <w:color w:val="000000"/>
          <w:position w:val="-10"/>
        </w:rPr>
        <w:t xml:space="preserve"> </w:t>
      </w:r>
      <w:r w:rsidR="00D0482F">
        <w:t>. We approximate</w:t>
      </w:r>
      <w:r w:rsidR="00827E8B">
        <w:t xml:space="preserve"> </w:t>
      </w:r>
      <w:r w:rsidR="00D0482F">
        <w:t>t</w:t>
      </w:r>
      <w:r w:rsidR="00F272B4">
        <w:t>he marginal density of</w:t>
      </w:r>
      <w:r w:rsidR="00D0482F">
        <w:t xml:space="preserve"> yields per hectare</w:t>
      </w:r>
      <w:proofErr w:type="gramStart"/>
      <w:r w:rsidR="00291C3E">
        <w:rPr>
          <w:rFonts w:eastAsiaTheme="minorEastAsia"/>
          <w:color w:val="000000"/>
        </w:rPr>
        <w:t>,</w:t>
      </w:r>
      <w:r w:rsidR="00E958B3">
        <w:rPr>
          <w:rFonts w:eastAsiaTheme="minorEastAsia"/>
          <w:color w:val="000000"/>
        </w:rPr>
        <w:t xml:space="preserve"> </w:t>
      </w:r>
      <w:proofErr w:type="gramEnd"/>
      <w:r w:rsidR="0087321C" w:rsidRPr="00FA5892">
        <w:rPr>
          <w:rFonts w:eastAsia="Calibri"/>
          <w:color w:val="000000"/>
          <w:position w:val="-14"/>
        </w:rPr>
        <w:object w:dxaOrig="639" w:dyaOrig="380" w14:anchorId="30EFED48">
          <v:shape id="_x0000_i1035" type="#_x0000_t75" style="width:32.2pt;height:18.55pt" o:ole="">
            <v:imagedata r:id="rId28" o:title=""/>
          </v:shape>
          <o:OLEObject Type="Embed" ProgID="Equation.DSMT4" ShapeID="_x0000_i1035" DrawAspect="Content" ObjectID="_1657379027" r:id="rId29"/>
        </w:object>
      </w:r>
      <w:r w:rsidR="00D0482F">
        <w:rPr>
          <w:rFonts w:eastAsiaTheme="minorEastAsia"/>
          <w:color w:val="000000"/>
        </w:rPr>
        <w:t>,</w:t>
      </w:r>
      <w:r w:rsidR="007F7A8A">
        <w:rPr>
          <w:rFonts w:eastAsiaTheme="minorEastAsia"/>
          <w:color w:val="000000"/>
        </w:rPr>
        <w:t xml:space="preserve"> for both </w:t>
      </w:r>
      <w:r w:rsidR="000541BF">
        <w:rPr>
          <w:rFonts w:eastAsiaTheme="minorEastAsia"/>
          <w:color w:val="000000"/>
        </w:rPr>
        <w:t>technologies</w:t>
      </w:r>
      <w:r w:rsidR="007F7A8A">
        <w:rPr>
          <w:rFonts w:eastAsiaTheme="minorEastAsia"/>
          <w:color w:val="000000"/>
        </w:rPr>
        <w:t>,</w:t>
      </w:r>
      <w:r w:rsidR="00D0482F">
        <w:rPr>
          <w:rFonts w:eastAsiaTheme="minorEastAsia"/>
          <w:color w:val="000000"/>
        </w:rPr>
        <w:t xml:space="preserve"> </w:t>
      </w:r>
      <w:r w:rsidR="007F7A8A">
        <w:t>us</w:t>
      </w:r>
      <w:r w:rsidR="000541BF">
        <w:t>ing non-parametric methods</w:t>
      </w:r>
      <w:r w:rsidR="007F7A8A">
        <w:t xml:space="preserve"> and </w:t>
      </w:r>
      <w:r w:rsidR="00F272B4">
        <w:t xml:space="preserve">historical data </w:t>
      </w:r>
      <w:r w:rsidR="000541BF">
        <w:t>on</w:t>
      </w:r>
      <w:r w:rsidR="00F272B4">
        <w:t xml:space="preserve"> irrigated crops and </w:t>
      </w:r>
      <w:r w:rsidR="007F7A8A">
        <w:t xml:space="preserve">of </w:t>
      </w:r>
      <w:r w:rsidR="00F272B4">
        <w:t>a livestock simulation model (</w:t>
      </w:r>
      <w:r w:rsidR="00F272B4" w:rsidRPr="00E46F5A">
        <w:t>see details in the next section</w:t>
      </w:r>
      <w:r w:rsidR="00F272B4">
        <w:t xml:space="preserve">). </w:t>
      </w:r>
      <w:r w:rsidR="00F272B4" w:rsidRPr="00C448A0">
        <w:rPr>
          <w:rFonts w:eastAsia="Calibri"/>
          <w:color w:val="000000"/>
        </w:rPr>
        <w:t>The expectations operator (</w:t>
      </w:r>
      <w:r w:rsidR="00E958B3" w:rsidRPr="00E958B3">
        <w:rPr>
          <w:rFonts w:eastAsia="Calibri"/>
          <w:i/>
          <w:color w:val="000000"/>
        </w:rPr>
        <w:t>E</w:t>
      </w:r>
      <w:r w:rsidR="00F272B4" w:rsidRPr="00C448A0">
        <w:rPr>
          <w:rFonts w:eastAsia="Calibri"/>
          <w:color w:val="000000"/>
        </w:rPr>
        <w:t>) is taken with r</w:t>
      </w:r>
      <w:r w:rsidR="00CC0B8F">
        <w:rPr>
          <w:rFonts w:eastAsia="Calibri"/>
          <w:color w:val="000000"/>
        </w:rPr>
        <w:t xml:space="preserve">espect to both random variables. </w:t>
      </w:r>
      <w:r w:rsidR="00F272B4">
        <w:rPr>
          <w:rFonts w:eastAsia="Calibri"/>
          <w:color w:val="000000"/>
        </w:rPr>
        <w:t xml:space="preserve">The variables </w:t>
      </w:r>
      <w:r w:rsidR="00E958B3" w:rsidRPr="00E958B3">
        <w:rPr>
          <w:rFonts w:eastAsia="Calibri"/>
          <w:i/>
          <w:color w:val="000000"/>
        </w:rPr>
        <w:t>X</w:t>
      </w:r>
      <w:r w:rsidR="00E958B3">
        <w:rPr>
          <w:rFonts w:eastAsia="Calibri"/>
          <w:color w:val="000000"/>
        </w:rPr>
        <w:t xml:space="preserve"> </w:t>
      </w:r>
      <w:r w:rsidR="00F272B4">
        <w:rPr>
          <w:rFonts w:eastAsia="Calibri"/>
          <w:color w:val="000000"/>
        </w:rPr>
        <w:t>and</w:t>
      </w:r>
      <w:r w:rsidR="00F272B4" w:rsidRPr="00C448A0">
        <w:rPr>
          <w:rFonts w:eastAsia="Calibri"/>
          <w:color w:val="000000"/>
        </w:rPr>
        <w:t xml:space="preserve"> </w:t>
      </w:r>
      <w:r w:rsidR="00E958B3" w:rsidRPr="00E958B3">
        <w:rPr>
          <w:rFonts w:eastAsia="Calibri"/>
          <w:i/>
          <w:color w:val="000000"/>
        </w:rPr>
        <w:t>P</w:t>
      </w:r>
      <w:r w:rsidR="00E958B3" w:rsidRPr="00E958B3">
        <w:rPr>
          <w:rFonts w:eastAsia="Calibri"/>
          <w:i/>
          <w:color w:val="000000"/>
          <w:vertAlign w:val="subscript"/>
        </w:rPr>
        <w:t>X</w:t>
      </w:r>
      <w:r w:rsidR="00D0482F">
        <w:rPr>
          <w:rFonts w:eastAsia="Calibri"/>
          <w:color w:val="000000"/>
        </w:rPr>
        <w:t xml:space="preserve"> are</w:t>
      </w:r>
      <w:r w:rsidR="00F272B4" w:rsidRPr="00C448A0">
        <w:rPr>
          <w:rFonts w:eastAsia="Calibri"/>
          <w:color w:val="000000"/>
        </w:rPr>
        <w:t xml:space="preserve"> </w:t>
      </w:r>
      <w:r w:rsidR="00F272B4">
        <w:rPr>
          <w:rFonts w:eastAsia="Calibri"/>
          <w:color w:val="000000"/>
        </w:rPr>
        <w:t xml:space="preserve">deterministic </w:t>
      </w:r>
      <w:r w:rsidR="00F272B4" w:rsidRPr="00C448A0">
        <w:rPr>
          <w:rFonts w:eastAsia="Calibri"/>
          <w:color w:val="000000"/>
        </w:rPr>
        <w:t xml:space="preserve">quantities and prices of </w:t>
      </w:r>
      <w:r w:rsidR="00F272B4">
        <w:rPr>
          <w:rFonts w:eastAsia="Calibri"/>
          <w:color w:val="000000"/>
        </w:rPr>
        <w:t xml:space="preserve">inputs, </w:t>
      </w:r>
      <w:r w:rsidR="00827E8B">
        <w:rPr>
          <w:rFonts w:eastAsia="Calibri"/>
          <w:color w:val="000000"/>
        </w:rPr>
        <w:t>as</w:t>
      </w:r>
      <w:r w:rsidR="00F272B4">
        <w:rPr>
          <w:rFonts w:eastAsia="Calibri"/>
          <w:color w:val="000000"/>
        </w:rPr>
        <w:t xml:space="preserve"> they are known </w:t>
      </w:r>
      <w:r w:rsidR="00313ABE">
        <w:rPr>
          <w:rFonts w:eastAsia="Calibri"/>
          <w:color w:val="000000"/>
        </w:rPr>
        <w:t>variables</w:t>
      </w:r>
      <w:r w:rsidR="00F272B4" w:rsidRPr="00C448A0">
        <w:rPr>
          <w:rFonts w:eastAsia="Calibri"/>
          <w:color w:val="000000"/>
        </w:rPr>
        <w:t>.</w:t>
      </w:r>
    </w:p>
    <w:p w14:paraId="475972DA" w14:textId="00E39E64" w:rsidR="005A0606" w:rsidRPr="0087321C" w:rsidRDefault="00681547" w:rsidP="0087321C">
      <w:pPr>
        <w:ind w:firstLine="706"/>
        <w:rPr>
          <w:lang w:val="en-GB"/>
        </w:rPr>
      </w:pPr>
      <w:r>
        <w:rPr>
          <w:lang w:val="en-GB"/>
        </w:rPr>
        <w:t>F</w:t>
      </w:r>
      <w:r w:rsidR="00CE27F1">
        <w:rPr>
          <w:lang w:val="en-GB"/>
        </w:rPr>
        <w:t xml:space="preserve">unction </w:t>
      </w:r>
      <w:r w:rsidR="00DA1E13" w:rsidRPr="00E958B3">
        <w:rPr>
          <w:i/>
          <w:lang w:val="en-GB"/>
        </w:rPr>
        <w:t>U</w:t>
      </w:r>
      <w:r w:rsidR="00DA1E13" w:rsidRPr="000541BF">
        <w:rPr>
          <w:lang w:val="en-GB"/>
        </w:rPr>
        <w:t>(</w:t>
      </w:r>
      <w:r w:rsidR="00E958B3" w:rsidRPr="000541BF">
        <w:rPr>
          <w:lang w:val="en-GB"/>
        </w:rPr>
        <w:t>.)</w:t>
      </w:r>
      <w:r>
        <w:rPr>
          <w:lang w:val="en-GB"/>
        </w:rPr>
        <w:t xml:space="preserve"> is a </w:t>
      </w:r>
      <w:r w:rsidRPr="00C448A0">
        <w:rPr>
          <w:color w:val="000000"/>
          <w:lang w:val="en-GB"/>
        </w:rPr>
        <w:t xml:space="preserve">concave </w:t>
      </w:r>
      <w:r>
        <w:rPr>
          <w:color w:val="000000"/>
          <w:lang w:val="en-GB"/>
        </w:rPr>
        <w:t xml:space="preserve">twice continuously differentiable </w:t>
      </w:r>
      <w:r w:rsidRPr="00C448A0">
        <w:rPr>
          <w:color w:val="000000"/>
          <w:lang w:val="en-GB"/>
        </w:rPr>
        <w:t xml:space="preserve">utility </w:t>
      </w:r>
      <w:r w:rsidRPr="008560E0">
        <w:rPr>
          <w:color w:val="000000"/>
          <w:lang w:val="en-GB"/>
        </w:rPr>
        <w:t>function</w:t>
      </w:r>
      <w:r>
        <w:rPr>
          <w:color w:val="000000"/>
          <w:lang w:val="en-GB"/>
        </w:rPr>
        <w:t xml:space="preserve"> </w:t>
      </w:r>
      <w:r w:rsidR="00CC0B8F">
        <w:rPr>
          <w:color w:val="000000"/>
          <w:lang w:val="en-GB"/>
        </w:rPr>
        <w:t>which</w:t>
      </w:r>
      <w:r>
        <w:rPr>
          <w:color w:val="000000"/>
          <w:lang w:val="en-GB"/>
        </w:rPr>
        <w:t xml:space="preserve"> we approximate </w:t>
      </w:r>
      <w:r w:rsidR="00827E8B">
        <w:rPr>
          <w:color w:val="000000"/>
          <w:lang w:val="en-GB"/>
        </w:rPr>
        <w:t>with</w:t>
      </w:r>
      <w:r>
        <w:rPr>
          <w:color w:val="000000"/>
          <w:lang w:val="en-GB"/>
        </w:rPr>
        <w:t xml:space="preserve"> a</w:t>
      </w:r>
      <w:r w:rsidR="00CE27F1" w:rsidRPr="00CE27F1">
        <w:rPr>
          <w:lang w:val="en-GB"/>
        </w:rPr>
        <w:t xml:space="preserve"> </w:t>
      </w:r>
      <w:r w:rsidR="00CE27F1" w:rsidRPr="000541BF">
        <w:rPr>
          <w:lang w:val="en-GB"/>
        </w:rPr>
        <w:t>Constant Absolute Risk Aversion (</w:t>
      </w:r>
      <w:r w:rsidR="00CE27F1" w:rsidRPr="00CE27F1">
        <w:rPr>
          <w:lang w:val="en-GB"/>
        </w:rPr>
        <w:t>CARA</w:t>
      </w:r>
      <w:r w:rsidR="00CE27F1">
        <w:rPr>
          <w:lang w:val="en-GB"/>
        </w:rPr>
        <w:t>)</w:t>
      </w:r>
      <w:r w:rsidR="000541BF">
        <w:rPr>
          <w:lang w:val="en-GB"/>
        </w:rPr>
        <w:t xml:space="preserve"> function</w:t>
      </w:r>
      <w:r w:rsidR="00CC0B8F">
        <w:rPr>
          <w:lang w:val="en-GB"/>
        </w:rPr>
        <w:t>.</w:t>
      </w:r>
      <w:r w:rsidR="00CE27F1">
        <w:rPr>
          <w:lang w:val="en-GB"/>
        </w:rPr>
        <w:t xml:space="preserve"> This function has an uncertain terminal </w:t>
      </w:r>
      <w:proofErr w:type="gramStart"/>
      <w:r w:rsidR="00DA1E13">
        <w:rPr>
          <w:lang w:val="en-GB"/>
        </w:rPr>
        <w:t>wealth</w:t>
      </w:r>
      <w:r w:rsidR="007F7A8A">
        <w:rPr>
          <w:lang w:val="en-GB"/>
        </w:rPr>
        <w:t xml:space="preserve"> </w:t>
      </w:r>
      <w:proofErr w:type="gramEnd"/>
      <w:r w:rsidR="0087321C" w:rsidRPr="0087321C">
        <w:rPr>
          <w:position w:val="-12"/>
          <w:lang w:val="en-GB"/>
        </w:rPr>
        <w:object w:dxaOrig="300" w:dyaOrig="380" w14:anchorId="7F6EA77D">
          <v:shape id="_x0000_i1036" type="#_x0000_t75" style="width:15.25pt;height:19.65pt" o:ole="">
            <v:imagedata r:id="rId30" o:title=""/>
          </v:shape>
          <o:OLEObject Type="Embed" ProgID="Equation.DSMT4" ShapeID="_x0000_i1036" DrawAspect="Content" ObjectID="_1657379028" r:id="rId31"/>
        </w:object>
      </w:r>
      <w:r w:rsidR="00C06623" w:rsidRPr="00CE27F1">
        <w:rPr>
          <w:lang w:val="en-GB"/>
        </w:rPr>
        <w:t xml:space="preserve">, </w:t>
      </w:r>
      <w:r w:rsidR="00DA1E13">
        <w:rPr>
          <w:lang w:val="en-GB"/>
        </w:rPr>
        <w:t>where</w:t>
      </w:r>
      <w:r w:rsidR="0087321C" w:rsidRPr="00E958B3">
        <w:rPr>
          <w:position w:val="-12"/>
          <w:lang w:val="en-GB"/>
        </w:rPr>
        <w:object w:dxaOrig="1180" w:dyaOrig="380" w14:anchorId="531C596D">
          <v:shape id="_x0000_i1037" type="#_x0000_t75" style="width:58.35pt;height:18.55pt" o:ole="">
            <v:imagedata r:id="rId32" o:title=""/>
          </v:shape>
          <o:OLEObject Type="Embed" ProgID="Equation.DSMT4" ShapeID="_x0000_i1037" DrawAspect="Content" ObjectID="_1657379029" r:id="rId33"/>
        </w:object>
      </w:r>
      <w:r w:rsidR="00C06623" w:rsidRPr="00CE27F1">
        <w:rPr>
          <w:lang w:val="en-GB"/>
        </w:rPr>
        <w:t xml:space="preserve">, </w:t>
      </w:r>
      <w:r w:rsidR="00CE27F1">
        <w:rPr>
          <w:lang w:val="en-GB"/>
        </w:rPr>
        <w:t>being</w:t>
      </w:r>
      <w:r w:rsidR="00C06623" w:rsidRPr="00CE27F1">
        <w:rPr>
          <w:lang w:val="en-GB"/>
        </w:rPr>
        <w:t xml:space="preserve"> </w:t>
      </w:r>
      <w:r w:rsidR="0087321C" w:rsidRPr="00E958B3">
        <w:rPr>
          <w:position w:val="-6"/>
          <w:lang w:val="en-GB"/>
        </w:rPr>
        <w:object w:dxaOrig="220" w:dyaOrig="279" w14:anchorId="019F7D8C">
          <v:shape id="_x0000_i1038" type="#_x0000_t75" style="width:10.9pt;height:14.2pt" o:ole="">
            <v:imagedata r:id="rId34" o:title=""/>
          </v:shape>
          <o:OLEObject Type="Embed" ProgID="Equation.DSMT4" ShapeID="_x0000_i1038" DrawAspect="Content" ObjectID="_1657379030" r:id="rId35"/>
        </w:object>
      </w:r>
      <w:r w:rsidR="00C06623" w:rsidRPr="00CE27F1">
        <w:rPr>
          <w:lang w:val="en-GB"/>
        </w:rPr>
        <w:t xml:space="preserve"> </w:t>
      </w:r>
      <w:r w:rsidR="00CE27F1">
        <w:rPr>
          <w:lang w:val="en-GB"/>
        </w:rPr>
        <w:t xml:space="preserve">the random </w:t>
      </w:r>
      <w:r w:rsidR="00CC0B8F">
        <w:rPr>
          <w:lang w:val="en-GB"/>
        </w:rPr>
        <w:t>profits</w:t>
      </w:r>
      <w:r w:rsidR="00CE27F1">
        <w:rPr>
          <w:lang w:val="en-GB"/>
        </w:rPr>
        <w:t xml:space="preserve"> and</w:t>
      </w:r>
      <w:r w:rsidR="00C06623" w:rsidRPr="00CE27F1">
        <w:rPr>
          <w:lang w:val="en-GB"/>
        </w:rPr>
        <w:t xml:space="preserve"> </w:t>
      </w:r>
      <w:r w:rsidR="00E958B3" w:rsidRPr="00E958B3">
        <w:rPr>
          <w:i/>
          <w:lang w:val="en-GB"/>
        </w:rPr>
        <w:t>W</w:t>
      </w:r>
      <w:r w:rsidR="00E958B3" w:rsidRPr="00E958B3">
        <w:rPr>
          <w:i/>
          <w:vertAlign w:val="subscript"/>
          <w:lang w:val="en-GB"/>
        </w:rPr>
        <w:t>0</w:t>
      </w:r>
      <w:r w:rsidR="00C06623" w:rsidRPr="00CE27F1">
        <w:rPr>
          <w:lang w:val="en-GB"/>
        </w:rPr>
        <w:t xml:space="preserve"> </w:t>
      </w:r>
      <w:r w:rsidR="00CE27F1">
        <w:rPr>
          <w:lang w:val="en-GB"/>
        </w:rPr>
        <w:t>th</w:t>
      </w:r>
      <w:r w:rsidR="00CE27F1" w:rsidRPr="00CC0B8F">
        <w:rPr>
          <w:lang w:val="en-GB"/>
        </w:rPr>
        <w:t xml:space="preserve">e </w:t>
      </w:r>
      <w:r w:rsidR="000541BF">
        <w:rPr>
          <w:lang w:val="en-GB"/>
        </w:rPr>
        <w:t xml:space="preserve">deterministic </w:t>
      </w:r>
      <w:r w:rsidR="00C06623" w:rsidRPr="00CC0B8F">
        <w:rPr>
          <w:lang w:val="en-GB"/>
        </w:rPr>
        <w:t>initial wealth</w:t>
      </w:r>
      <w:r w:rsidR="00911E65">
        <w:rPr>
          <w:lang w:val="en-GB"/>
        </w:rPr>
        <w:t>. T</w:t>
      </w:r>
      <w:r w:rsidR="00CE27F1">
        <w:rPr>
          <w:lang w:val="en-GB"/>
        </w:rPr>
        <w:t xml:space="preserve">he CARA </w:t>
      </w:r>
      <w:r w:rsidR="00B56892">
        <w:rPr>
          <w:lang w:val="en-GB"/>
        </w:rPr>
        <w:t xml:space="preserve">utility function </w:t>
      </w:r>
      <w:r w:rsidR="00911E65">
        <w:rPr>
          <w:lang w:val="en-GB"/>
        </w:rPr>
        <w:t>take</w:t>
      </w:r>
      <w:r w:rsidR="00313ABE">
        <w:rPr>
          <w:lang w:val="en-GB"/>
        </w:rPr>
        <w:t>s</w:t>
      </w:r>
      <w:r w:rsidR="00911E65">
        <w:rPr>
          <w:lang w:val="en-GB"/>
        </w:rPr>
        <w:t xml:space="preserve"> the</w:t>
      </w:r>
      <w:r w:rsidR="00CE27F1">
        <w:rPr>
          <w:lang w:val="en-GB"/>
        </w:rPr>
        <w:t xml:space="preserve"> form:</w:t>
      </w:r>
    </w:p>
    <w:p w14:paraId="4D97E478" w14:textId="404EE52A" w:rsidR="005A0606" w:rsidRPr="005A0606" w:rsidRDefault="005A0606" w:rsidP="0087321C">
      <w:pPr>
        <w:pStyle w:val="MTDisplayEquation"/>
        <w:spacing w:line="480" w:lineRule="auto"/>
      </w:pPr>
      <w:r>
        <w:tab/>
      </w:r>
      <w:r w:rsidR="00CC333F" w:rsidRPr="00CC333F">
        <w:rPr>
          <w:position w:val="-34"/>
        </w:rPr>
        <w:object w:dxaOrig="2580" w:dyaOrig="800" w14:anchorId="3F1C2ADF">
          <v:shape id="_x0000_i1039" type="#_x0000_t75" style="width:129.25pt;height:39.8pt" o:ole="">
            <v:imagedata r:id="rId36" o:title=""/>
          </v:shape>
          <o:OLEObject Type="Embed" ProgID="Equation.DSMT4" ShapeID="_x0000_i1039" DrawAspect="Content" ObjectID="_1657379031" r:id="rId37"/>
        </w:object>
      </w:r>
      <w:r>
        <w:t xml:space="preserve"> </w:t>
      </w:r>
      <w:r>
        <w:tab/>
      </w:r>
      <w:r w:rsidR="00BC4BA4">
        <w:fldChar w:fldCharType="begin"/>
      </w:r>
      <w:r>
        <w:instrText xml:space="preserve"> MACROBUTTON MTPlaceRef \* MERGEFORMAT </w:instrText>
      </w:r>
      <w:r w:rsidR="00BC4BA4">
        <w:fldChar w:fldCharType="begin"/>
      </w:r>
      <w:r>
        <w:instrText xml:space="preserve"> SEQ MTEqn \h \* MERGEFORMAT </w:instrText>
      </w:r>
      <w:r w:rsidR="00BC4BA4">
        <w:fldChar w:fldCharType="end"/>
      </w:r>
      <w:r>
        <w:instrText>(</w:instrText>
      </w:r>
      <w:fldSimple w:instr=" SEQ MTEqn \c \* Arabic \* MERGEFORMAT ">
        <w:r w:rsidR="00286363">
          <w:rPr>
            <w:noProof/>
          </w:rPr>
          <w:instrText>2</w:instrText>
        </w:r>
      </w:fldSimple>
      <w:r>
        <w:instrText>)</w:instrText>
      </w:r>
      <w:r w:rsidR="00BC4BA4">
        <w:fldChar w:fldCharType="end"/>
      </w:r>
    </w:p>
    <w:p w14:paraId="5724B02D" w14:textId="639DDA00" w:rsidR="008D6482" w:rsidRDefault="0087321C" w:rsidP="000541BF">
      <w:pPr>
        <w:ind w:firstLine="0"/>
        <w:rPr>
          <w:lang w:val="en-GB"/>
        </w:rPr>
      </w:pPr>
      <w:r>
        <w:rPr>
          <w:position w:val="-4"/>
          <w:lang w:val="en-GB"/>
        </w:rPr>
        <w:t>w</w:t>
      </w:r>
      <w:r w:rsidR="000541BF">
        <w:rPr>
          <w:position w:val="-4"/>
          <w:lang w:val="en-GB"/>
        </w:rPr>
        <w:t xml:space="preserve">here </w:t>
      </w:r>
      <w:r w:rsidR="000541BF" w:rsidRPr="0087321C">
        <w:rPr>
          <w:i/>
          <w:position w:val="-4"/>
          <w:lang w:val="en-GB"/>
        </w:rPr>
        <w:t>r</w:t>
      </w:r>
      <w:r w:rsidR="000541BF">
        <w:rPr>
          <w:position w:val="-4"/>
          <w:lang w:val="en-GB"/>
        </w:rPr>
        <w:t xml:space="preserve"> is the absolute risk aversion coefficient (</w:t>
      </w:r>
      <w:r w:rsidR="000541BF" w:rsidRPr="000541BF">
        <w:rPr>
          <w:i/>
          <w:position w:val="-4"/>
          <w:lang w:val="en-GB"/>
        </w:rPr>
        <w:t>ara</w:t>
      </w:r>
      <w:r w:rsidR="000541BF">
        <w:rPr>
          <w:position w:val="-4"/>
          <w:lang w:val="en-GB"/>
        </w:rPr>
        <w:t>) that measures the individual’s degree of risk aversion.</w:t>
      </w:r>
      <w:r w:rsidR="008D6482">
        <w:rPr>
          <w:rStyle w:val="Refdenotaalpie"/>
          <w:rFonts w:eastAsia="Calibri"/>
          <w:szCs w:val="24"/>
          <w:lang w:val="en-GB"/>
        </w:rPr>
        <w:footnoteReference w:id="2"/>
      </w:r>
      <w:r w:rsidR="008D6482">
        <w:rPr>
          <w:rFonts w:eastAsiaTheme="minorEastAsia"/>
        </w:rPr>
        <w:t xml:space="preserve"> </w:t>
      </w:r>
      <w:r w:rsidR="00541196">
        <w:rPr>
          <w:lang w:val="en-GB"/>
        </w:rPr>
        <w:t>As risk aver</w:t>
      </w:r>
      <w:r w:rsidR="004717C0">
        <w:rPr>
          <w:lang w:val="en-GB"/>
        </w:rPr>
        <w:t>sion increases, the likelihood that individuals</w:t>
      </w:r>
      <w:r w:rsidR="00541196">
        <w:rPr>
          <w:lang w:val="en-GB"/>
        </w:rPr>
        <w:t xml:space="preserve"> </w:t>
      </w:r>
      <w:r w:rsidR="004717C0">
        <w:rPr>
          <w:lang w:val="en-GB"/>
        </w:rPr>
        <w:t>implement</w:t>
      </w:r>
      <w:r w:rsidR="00541196">
        <w:rPr>
          <w:lang w:val="en-GB"/>
        </w:rPr>
        <w:t xml:space="preserve"> </w:t>
      </w:r>
      <w:r w:rsidR="006F375A">
        <w:rPr>
          <w:lang w:val="en-GB"/>
        </w:rPr>
        <w:t>adaptation</w:t>
      </w:r>
      <w:r w:rsidR="004717C0">
        <w:rPr>
          <w:lang w:val="en-GB"/>
        </w:rPr>
        <w:t xml:space="preserve"> technologies also increases, </w:t>
      </w:r>
      <w:r w:rsidR="00313ABE">
        <w:rPr>
          <w:lang w:val="en-GB"/>
        </w:rPr>
        <w:t>as</w:t>
      </w:r>
      <w:r w:rsidR="004717C0">
        <w:rPr>
          <w:lang w:val="en-GB"/>
        </w:rPr>
        <w:t xml:space="preserve"> higher average </w:t>
      </w:r>
      <w:r w:rsidR="00541196">
        <w:rPr>
          <w:lang w:val="en-GB"/>
        </w:rPr>
        <w:t>profit</w:t>
      </w:r>
      <w:r w:rsidR="00CD73AD">
        <w:rPr>
          <w:lang w:val="en-GB"/>
        </w:rPr>
        <w:t xml:space="preserve">s </w:t>
      </w:r>
      <w:r w:rsidR="004717C0">
        <w:rPr>
          <w:lang w:val="en-GB"/>
        </w:rPr>
        <w:t xml:space="preserve">with less dispersion </w:t>
      </w:r>
      <w:r w:rsidR="000541BF">
        <w:rPr>
          <w:lang w:val="en-GB"/>
        </w:rPr>
        <w:t xml:space="preserve">bear </w:t>
      </w:r>
      <w:r w:rsidR="004717C0">
        <w:rPr>
          <w:lang w:val="en-GB"/>
        </w:rPr>
        <w:t xml:space="preserve">a </w:t>
      </w:r>
      <w:r w:rsidR="004717C0">
        <w:rPr>
          <w:lang w:val="en-GB"/>
        </w:rPr>
        <w:lastRenderedPageBreak/>
        <w:t xml:space="preserve">higher level of utility. In other words, </w:t>
      </w:r>
      <w:r w:rsidR="00BF5718">
        <w:rPr>
          <w:lang w:val="en-GB"/>
        </w:rPr>
        <w:t>the risk premium</w:t>
      </w:r>
      <w:r w:rsidR="000541BF">
        <w:rPr>
          <w:rStyle w:val="Refdenotaalpie"/>
          <w:rFonts w:eastAsia="Calibri"/>
          <w:szCs w:val="24"/>
          <w:lang w:val="en-GB"/>
        </w:rPr>
        <w:footnoteReference w:id="3"/>
      </w:r>
      <w:r w:rsidR="00BF5718">
        <w:rPr>
          <w:lang w:val="en-GB"/>
        </w:rPr>
        <w:t xml:space="preserve"> increases</w:t>
      </w:r>
      <w:r w:rsidR="000541BF">
        <w:rPr>
          <w:lang w:val="en-GB"/>
        </w:rPr>
        <w:t xml:space="preserve">, </w:t>
      </w:r>
      <w:r w:rsidR="00BF5718">
        <w:rPr>
          <w:lang w:val="en-GB"/>
        </w:rPr>
        <w:t xml:space="preserve">as </w:t>
      </w:r>
      <w:r w:rsidR="004717C0">
        <w:rPr>
          <w:lang w:val="en-GB"/>
        </w:rPr>
        <w:t xml:space="preserve">risk averse individuals </w:t>
      </w:r>
      <w:r w:rsidR="007F7A8A">
        <w:rPr>
          <w:lang w:val="en-GB"/>
        </w:rPr>
        <w:t xml:space="preserve">are </w:t>
      </w:r>
      <w:r w:rsidR="00541196">
        <w:rPr>
          <w:lang w:val="en-GB"/>
        </w:rPr>
        <w:t xml:space="preserve">willing to pay a higher </w:t>
      </w:r>
      <w:r w:rsidR="00541196" w:rsidRPr="00541196">
        <w:rPr>
          <w:lang w:val="en-GB"/>
        </w:rPr>
        <w:t>premium</w:t>
      </w:r>
      <w:r w:rsidR="00541196">
        <w:rPr>
          <w:lang w:val="en-GB"/>
        </w:rPr>
        <w:t xml:space="preserve"> to avoid </w:t>
      </w:r>
      <w:r w:rsidR="004717C0" w:rsidRPr="00C408F9">
        <w:rPr>
          <w:lang w:val="en-GB"/>
        </w:rPr>
        <w:t>profit</w:t>
      </w:r>
      <w:r w:rsidR="00BF5718">
        <w:rPr>
          <w:lang w:val="en-GB"/>
        </w:rPr>
        <w:t xml:space="preserve"> uncertainty. </w:t>
      </w:r>
      <w:r w:rsidR="00541196">
        <w:t xml:space="preserve">For the CARA utility function, </w:t>
      </w:r>
      <w:r w:rsidR="00313ABE">
        <w:t xml:space="preserve">the risk premium takes the </w:t>
      </w:r>
      <w:proofErr w:type="gramStart"/>
      <w:r w:rsidR="00313ABE">
        <w:t xml:space="preserve">form </w:t>
      </w:r>
      <w:proofErr w:type="gramEnd"/>
      <w:r w:rsidR="00AA5C70" w:rsidRPr="00601BA8">
        <w:rPr>
          <w:position w:val="-12"/>
        </w:rPr>
        <w:object w:dxaOrig="2640" w:dyaOrig="380" w14:anchorId="36A58A99">
          <v:shape id="_x0000_i1040" type="#_x0000_t75" style="width:132pt;height:19.65pt" o:ole="">
            <v:imagedata r:id="rId38" o:title=""/>
          </v:shape>
          <o:OLEObject Type="Embed" ProgID="Equation.DSMT4" ShapeID="_x0000_i1040" DrawAspect="Content" ObjectID="_1657379032" r:id="rId39"/>
        </w:object>
      </w:r>
      <w:r w:rsidR="00541196">
        <w:rPr>
          <w:lang w:val="en-GB"/>
        </w:rPr>
        <w:t>.</w:t>
      </w:r>
      <w:r w:rsidR="00541196">
        <w:rPr>
          <w:rStyle w:val="Refdenotaalpie"/>
          <w:rFonts w:eastAsia="Calibri"/>
          <w:szCs w:val="24"/>
          <w:lang w:val="en-GB"/>
        </w:rPr>
        <w:footnoteReference w:id="4"/>
      </w:r>
      <w:r w:rsidR="00541196">
        <w:rPr>
          <w:lang w:val="en-GB"/>
        </w:rPr>
        <w:t xml:space="preserve"> </w:t>
      </w:r>
      <w:r w:rsidR="00BF5718">
        <w:rPr>
          <w:lang w:val="en-GB"/>
        </w:rPr>
        <w:t>W</w:t>
      </w:r>
      <w:r w:rsidR="00313ABE">
        <w:rPr>
          <w:lang w:val="en-GB"/>
        </w:rPr>
        <w:t xml:space="preserve">e follow </w:t>
      </w:r>
      <w:r w:rsidR="00CC333F">
        <w:rPr>
          <w:lang w:val="en-GB"/>
        </w:rPr>
        <w:t>the methodology by</w:t>
      </w:r>
      <w:r w:rsidR="00E26B0F">
        <w:rPr>
          <w:lang w:val="en-GB"/>
        </w:rPr>
        <w:t xml:space="preserve"> </w:t>
      </w:r>
      <w:r w:rsidR="00313ABE">
        <w:rPr>
          <w:lang w:val="en-GB"/>
        </w:rPr>
        <w:t>Babcock et al. (1993), Babcock and Hennessy (1996)</w:t>
      </w:r>
      <w:r w:rsidR="00CC333F">
        <w:rPr>
          <w:lang w:val="en-GB"/>
        </w:rPr>
        <w:t>,</w:t>
      </w:r>
      <w:r w:rsidR="00313ABE">
        <w:rPr>
          <w:lang w:val="en-GB"/>
        </w:rPr>
        <w:t xml:space="preserve"> and Hennessy et al. (</w:t>
      </w:r>
      <w:r w:rsidR="00313ABE" w:rsidRPr="00396F00">
        <w:rPr>
          <w:lang w:val="en-GB"/>
        </w:rPr>
        <w:t>1997</w:t>
      </w:r>
      <w:r w:rsidR="00313ABE">
        <w:rPr>
          <w:lang w:val="en-GB"/>
        </w:rPr>
        <w:t xml:space="preserve">) </w:t>
      </w:r>
      <w:r w:rsidR="00134A25">
        <w:rPr>
          <w:lang w:val="en-GB"/>
        </w:rPr>
        <w:t xml:space="preserve">to report results, </w:t>
      </w:r>
      <w:r w:rsidR="008D6482">
        <w:rPr>
          <w:lang w:val="en-GB"/>
        </w:rPr>
        <w:t>express</w:t>
      </w:r>
      <w:r w:rsidR="00134A25">
        <w:rPr>
          <w:lang w:val="en-GB"/>
        </w:rPr>
        <w:t>ing</w:t>
      </w:r>
      <w:r w:rsidR="008D6482">
        <w:rPr>
          <w:lang w:val="en-GB"/>
        </w:rPr>
        <w:t xml:space="preserve"> </w:t>
      </w:r>
      <w:r w:rsidR="00533A21">
        <w:rPr>
          <w:lang w:val="en-GB"/>
        </w:rPr>
        <w:t xml:space="preserve">the risk premium </w:t>
      </w:r>
      <w:r w:rsidR="00134A25">
        <w:rPr>
          <w:lang w:val="en-GB"/>
        </w:rPr>
        <w:t xml:space="preserve">for different values of </w:t>
      </w:r>
      <w:r w:rsidR="00533A21" w:rsidRPr="000A3990">
        <w:rPr>
          <w:i/>
          <w:lang w:val="en-GB"/>
        </w:rPr>
        <w:t>ara</w:t>
      </w:r>
      <w:r w:rsidR="00533A21">
        <w:rPr>
          <w:lang w:val="en-GB"/>
        </w:rPr>
        <w:t>, as a percentage of the standard deviation of the random profits.</w:t>
      </w:r>
      <w:r w:rsidR="00533A21">
        <w:rPr>
          <w:rStyle w:val="Refdenotaalpie"/>
          <w:szCs w:val="24"/>
          <w:lang w:val="en-GB"/>
        </w:rPr>
        <w:footnoteReference w:id="5"/>
      </w:r>
      <w:r w:rsidR="00533A21">
        <w:rPr>
          <w:lang w:val="en-GB"/>
        </w:rPr>
        <w:t xml:space="preserve"> </w:t>
      </w:r>
    </w:p>
    <w:p w14:paraId="35878D5C" w14:textId="66AFCC15" w:rsidR="00E26B0F" w:rsidRDefault="00416675" w:rsidP="00BC5BB2">
      <w:pPr>
        <w:rPr>
          <w:rFonts w:eastAsiaTheme="minorEastAsia"/>
          <w:lang w:val="en-GB"/>
        </w:rPr>
      </w:pPr>
      <w:r>
        <w:t xml:space="preserve">To compare </w:t>
      </w:r>
      <w:r w:rsidR="00215972">
        <w:t>the value</w:t>
      </w:r>
      <w:r w:rsidR="00E46938">
        <w:t xml:space="preserve"> (or utility)</w:t>
      </w:r>
      <w:r w:rsidR="00215972">
        <w:t xml:space="preserve"> </w:t>
      </w:r>
      <w:r w:rsidR="00B10E43">
        <w:t xml:space="preserve">the </w:t>
      </w:r>
      <w:r>
        <w:t xml:space="preserve">farmer </w:t>
      </w:r>
      <w:r w:rsidR="00215972">
        <w:t xml:space="preserve">gets </w:t>
      </w:r>
      <w:r w:rsidR="00134A25">
        <w:t>by</w:t>
      </w:r>
      <w:r w:rsidR="00E26B0F">
        <w:t xml:space="preserve"> choosing whether or not to </w:t>
      </w:r>
      <w:r>
        <w:t xml:space="preserve">adopt </w:t>
      </w:r>
      <w:r w:rsidR="00134A25">
        <w:t xml:space="preserve">a technology </w:t>
      </w:r>
      <w:r w:rsidR="00E26B0F">
        <w:t xml:space="preserve">resilient </w:t>
      </w:r>
      <w:r>
        <w:t xml:space="preserve">to climate variability, we rely on the </w:t>
      </w:r>
      <w:r w:rsidR="00405087">
        <w:t>concept</w:t>
      </w:r>
      <w:r w:rsidR="00134A25">
        <w:t xml:space="preserve"> of </w:t>
      </w:r>
      <w:r>
        <w:t>certainty equivalent</w:t>
      </w:r>
      <w:r w:rsidR="00134A25">
        <w:t>s</w:t>
      </w:r>
      <w:r>
        <w:t xml:space="preserve"> (</w:t>
      </w:r>
      <w:r w:rsidRPr="0091429B">
        <w:rPr>
          <w:i/>
        </w:rPr>
        <w:t>CE</w:t>
      </w:r>
      <w:r w:rsidR="00E26B0F">
        <w:t>).</w:t>
      </w:r>
      <w:r w:rsidR="00CC333F">
        <w:t xml:space="preserve"> The</w:t>
      </w:r>
      <w:r w:rsidR="00E26B0F">
        <w:t xml:space="preserve"> </w:t>
      </w:r>
      <w:r w:rsidR="00E26B0F" w:rsidRPr="00E26B0F">
        <w:rPr>
          <w:i/>
        </w:rPr>
        <w:t>CE</w:t>
      </w:r>
      <w:r w:rsidR="00E26B0F">
        <w:t xml:space="preserve"> is</w:t>
      </w:r>
      <w:r>
        <w:t xml:space="preserve"> </w:t>
      </w:r>
      <w:r w:rsidR="00CC333F">
        <w:t>t</w:t>
      </w:r>
      <w:r>
        <w:t>he</w:t>
      </w:r>
      <w:r w:rsidR="00C00BDA">
        <w:rPr>
          <w:lang w:val="en-GB"/>
        </w:rPr>
        <w:t xml:space="preserve"> </w:t>
      </w:r>
      <w:r>
        <w:rPr>
          <w:lang w:val="en-GB"/>
        </w:rPr>
        <w:t>certain</w:t>
      </w:r>
      <w:r w:rsidR="00CC333F">
        <w:rPr>
          <w:lang w:val="en-GB"/>
        </w:rPr>
        <w:t xml:space="preserve"> amount of</w:t>
      </w:r>
      <w:r>
        <w:rPr>
          <w:lang w:val="en-GB"/>
        </w:rPr>
        <w:t xml:space="preserve"> </w:t>
      </w:r>
      <w:r w:rsidR="00134A25">
        <w:rPr>
          <w:lang w:val="en-GB"/>
        </w:rPr>
        <w:t>monetary that</w:t>
      </w:r>
      <w:r w:rsidR="004B66FF">
        <w:rPr>
          <w:lang w:val="en-GB"/>
        </w:rPr>
        <w:t xml:space="preserve"> leaves the farmer with the </w:t>
      </w:r>
      <w:r w:rsidR="00C00BDA">
        <w:rPr>
          <w:lang w:val="en-GB"/>
        </w:rPr>
        <w:t>same utility</w:t>
      </w:r>
      <w:r w:rsidR="00272777">
        <w:rPr>
          <w:lang w:val="en-GB"/>
        </w:rPr>
        <w:t xml:space="preserve"> level</w:t>
      </w:r>
      <w:r w:rsidR="00E26B0F">
        <w:rPr>
          <w:lang w:val="en-GB"/>
        </w:rPr>
        <w:t xml:space="preserve"> </w:t>
      </w:r>
      <w:r w:rsidR="00CC333F">
        <w:rPr>
          <w:lang w:val="en-GB"/>
        </w:rPr>
        <w:t>as</w:t>
      </w:r>
      <w:r w:rsidR="00E26B0F">
        <w:rPr>
          <w:lang w:val="en-GB"/>
        </w:rPr>
        <w:t xml:space="preserve"> facing a risky gamble</w:t>
      </w:r>
      <w:r w:rsidR="00CC333F">
        <w:rPr>
          <w:lang w:val="en-GB"/>
        </w:rPr>
        <w:t xml:space="preserve">. It </w:t>
      </w:r>
      <w:r w:rsidR="00C00BDA">
        <w:rPr>
          <w:lang w:val="en-GB"/>
        </w:rPr>
        <w:t xml:space="preserve">is </w:t>
      </w:r>
      <w:r w:rsidR="004B66FF">
        <w:rPr>
          <w:lang w:val="en-GB"/>
        </w:rPr>
        <w:t xml:space="preserve">computed </w:t>
      </w:r>
      <w:r w:rsidR="00C00BDA">
        <w:rPr>
          <w:lang w:val="en-GB"/>
        </w:rPr>
        <w:t>as</w:t>
      </w:r>
      <w:r w:rsidR="00405087" w:rsidRPr="002D2334">
        <w:rPr>
          <w:position w:val="-10"/>
        </w:rPr>
        <w:object w:dxaOrig="1640" w:dyaOrig="320" w14:anchorId="07C2E468">
          <v:shape id="_x0000_i1041" type="#_x0000_t75" style="width:82.9pt;height:15.8pt" o:ole="">
            <v:imagedata r:id="rId40" o:title=""/>
          </v:shape>
          <o:OLEObject Type="Embed" ProgID="Equation.DSMT4" ShapeID="_x0000_i1041" DrawAspect="Content" ObjectID="_1657379033" r:id="rId41"/>
        </w:object>
      </w:r>
      <w:r w:rsidR="00C00BDA" w:rsidRPr="00C00BDA">
        <w:rPr>
          <w:rFonts w:eastAsiaTheme="minorEastAsia"/>
          <w:lang w:val="en-GB"/>
        </w:rPr>
        <w:t xml:space="preserve"> </w:t>
      </w:r>
      <w:r w:rsidR="00E26B0F">
        <w:rPr>
          <w:rFonts w:eastAsiaTheme="minorEastAsia"/>
          <w:lang w:val="en-GB"/>
        </w:rPr>
        <w:t xml:space="preserve">. It </w:t>
      </w:r>
      <w:r w:rsidR="00C00BDA">
        <w:rPr>
          <w:rFonts w:eastAsiaTheme="minorEastAsia"/>
          <w:lang w:val="en-GB"/>
        </w:rPr>
        <w:t xml:space="preserve">negatively </w:t>
      </w:r>
      <w:r w:rsidR="00260009">
        <w:rPr>
          <w:rFonts w:eastAsiaTheme="minorEastAsia"/>
          <w:lang w:val="en-GB"/>
        </w:rPr>
        <w:t xml:space="preserve">depends </w:t>
      </w:r>
      <w:r w:rsidR="007D1FD0">
        <w:rPr>
          <w:rFonts w:eastAsiaTheme="minorEastAsia"/>
          <w:lang w:val="en-GB"/>
        </w:rPr>
        <w:t>on</w:t>
      </w:r>
      <w:r w:rsidR="00C00BDA">
        <w:rPr>
          <w:rFonts w:eastAsiaTheme="minorEastAsia"/>
          <w:lang w:val="en-GB"/>
        </w:rPr>
        <w:t xml:space="preserve"> </w:t>
      </w:r>
      <w:r w:rsidR="004B66FF">
        <w:rPr>
          <w:rFonts w:eastAsiaTheme="minorEastAsia"/>
          <w:lang w:val="en-GB"/>
        </w:rPr>
        <w:t xml:space="preserve">the </w:t>
      </w:r>
      <w:r w:rsidR="00C00BDA" w:rsidRPr="00C00BDA">
        <w:rPr>
          <w:rFonts w:eastAsiaTheme="minorEastAsia"/>
          <w:lang w:val="en-GB"/>
        </w:rPr>
        <w:t xml:space="preserve">risk </w:t>
      </w:r>
      <w:r w:rsidR="004B66FF">
        <w:rPr>
          <w:rFonts w:eastAsiaTheme="minorEastAsia"/>
          <w:lang w:val="en-GB"/>
        </w:rPr>
        <w:t>premium</w:t>
      </w:r>
      <w:r w:rsidR="00260009">
        <w:rPr>
          <w:rFonts w:eastAsiaTheme="minorEastAsia"/>
          <w:lang w:val="en-GB"/>
        </w:rPr>
        <w:t>, i.e.</w:t>
      </w:r>
      <w:r w:rsidR="004B66FF">
        <w:rPr>
          <w:rFonts w:eastAsiaTheme="minorEastAsia"/>
          <w:lang w:val="en-GB"/>
        </w:rPr>
        <w:t xml:space="preserve"> </w:t>
      </w:r>
      <w:r w:rsidR="00C00BDA" w:rsidRPr="00C00BDA">
        <w:rPr>
          <w:rFonts w:eastAsiaTheme="minorEastAsia"/>
          <w:lang w:val="en-GB"/>
        </w:rPr>
        <w:t xml:space="preserve">the </w:t>
      </w:r>
      <w:r w:rsidR="004B66FF">
        <w:rPr>
          <w:rFonts w:eastAsiaTheme="minorEastAsia"/>
          <w:lang w:val="en-GB"/>
        </w:rPr>
        <w:t>risk</w:t>
      </w:r>
      <w:r w:rsidR="00C6671B">
        <w:rPr>
          <w:rFonts w:eastAsiaTheme="minorEastAsia"/>
          <w:lang w:val="en-GB"/>
        </w:rPr>
        <w:t>ier</w:t>
      </w:r>
      <w:r w:rsidR="004B66FF">
        <w:rPr>
          <w:rFonts w:eastAsiaTheme="minorEastAsia"/>
          <w:lang w:val="en-GB"/>
        </w:rPr>
        <w:t xml:space="preserve"> the activity</w:t>
      </w:r>
      <w:r w:rsidR="00C6671B">
        <w:rPr>
          <w:rFonts w:eastAsiaTheme="minorEastAsia"/>
          <w:lang w:val="en-GB"/>
        </w:rPr>
        <w:t xml:space="preserve"> </w:t>
      </w:r>
      <w:r w:rsidR="004B66FF">
        <w:rPr>
          <w:rFonts w:eastAsiaTheme="minorEastAsia"/>
          <w:lang w:val="en-GB"/>
        </w:rPr>
        <w:t xml:space="preserve">and/or the </w:t>
      </w:r>
      <w:r w:rsidR="00C6671B">
        <w:rPr>
          <w:rFonts w:eastAsiaTheme="minorEastAsia"/>
          <w:lang w:val="en-GB"/>
        </w:rPr>
        <w:t xml:space="preserve">higher the </w:t>
      </w:r>
      <w:r w:rsidR="00C00BDA" w:rsidRPr="00C00BDA">
        <w:rPr>
          <w:rFonts w:eastAsiaTheme="minorEastAsia"/>
          <w:lang w:val="en-GB"/>
        </w:rPr>
        <w:t>risk aversion</w:t>
      </w:r>
      <w:r w:rsidR="004B66FF">
        <w:rPr>
          <w:rFonts w:eastAsiaTheme="minorEastAsia"/>
          <w:lang w:val="en-GB"/>
        </w:rPr>
        <w:t xml:space="preserve"> of the farmer, the lower the </w:t>
      </w:r>
      <w:r w:rsidR="00C00BDA" w:rsidRPr="00C00BDA">
        <w:rPr>
          <w:lang w:val="en-GB"/>
        </w:rPr>
        <w:t>certainty equivalent</w:t>
      </w:r>
      <w:r w:rsidR="004B66FF">
        <w:rPr>
          <w:lang w:val="en-GB"/>
        </w:rPr>
        <w:t>.</w:t>
      </w:r>
      <w:r w:rsidR="00260009">
        <w:rPr>
          <w:lang w:val="en-GB"/>
        </w:rPr>
        <w:t xml:space="preserve"> A</w:t>
      </w:r>
      <w:r w:rsidR="004B66FF">
        <w:rPr>
          <w:lang w:val="en-GB"/>
        </w:rPr>
        <w:t xml:space="preserve">s </w:t>
      </w:r>
      <w:r w:rsidR="006F375A">
        <w:rPr>
          <w:lang w:val="en-GB"/>
        </w:rPr>
        <w:t>adaptation</w:t>
      </w:r>
      <w:r w:rsidR="004B66FF">
        <w:rPr>
          <w:lang w:val="en-GB"/>
        </w:rPr>
        <w:t xml:space="preserve"> technologies imply </w:t>
      </w:r>
      <w:r w:rsidR="00C6671B">
        <w:rPr>
          <w:lang w:val="en-GB"/>
        </w:rPr>
        <w:t>h</w:t>
      </w:r>
      <w:r w:rsidR="004B66FF">
        <w:rPr>
          <w:lang w:val="en-GB"/>
        </w:rPr>
        <w:t>igher averag</w:t>
      </w:r>
      <w:r w:rsidR="00260009">
        <w:rPr>
          <w:lang w:val="en-GB"/>
        </w:rPr>
        <w:t xml:space="preserve">e </w:t>
      </w:r>
      <w:r w:rsidR="00E26B0F">
        <w:rPr>
          <w:lang w:val="en-GB"/>
        </w:rPr>
        <w:t xml:space="preserve">and </w:t>
      </w:r>
      <w:r w:rsidR="00260009">
        <w:rPr>
          <w:lang w:val="en-GB"/>
        </w:rPr>
        <w:t xml:space="preserve">more stable profits, the </w:t>
      </w:r>
      <w:r w:rsidR="0091429B" w:rsidRPr="0091429B">
        <w:rPr>
          <w:i/>
          <w:lang w:val="en-GB"/>
        </w:rPr>
        <w:t>CE</w:t>
      </w:r>
      <w:r w:rsidR="0091429B">
        <w:rPr>
          <w:lang w:val="en-GB"/>
        </w:rPr>
        <w:t xml:space="preserve"> </w:t>
      </w:r>
      <w:r w:rsidR="00CC333F">
        <w:rPr>
          <w:lang w:val="en-GB"/>
        </w:rPr>
        <w:t xml:space="preserve">for </w:t>
      </w:r>
      <w:r w:rsidR="004B66FF">
        <w:rPr>
          <w:lang w:val="en-GB"/>
        </w:rPr>
        <w:t xml:space="preserve">the </w:t>
      </w:r>
      <w:r w:rsidR="00260009">
        <w:rPr>
          <w:lang w:val="en-GB"/>
        </w:rPr>
        <w:t>farmer</w:t>
      </w:r>
      <w:r w:rsidR="00E26B0F">
        <w:rPr>
          <w:lang w:val="en-GB"/>
        </w:rPr>
        <w:t xml:space="preserve"> adopt</w:t>
      </w:r>
      <w:r w:rsidR="00CC333F">
        <w:rPr>
          <w:lang w:val="en-GB"/>
        </w:rPr>
        <w:t>ing</w:t>
      </w:r>
      <w:r w:rsidR="00E26B0F">
        <w:rPr>
          <w:lang w:val="en-GB"/>
        </w:rPr>
        <w:t xml:space="preserve"> is likely</w:t>
      </w:r>
      <w:r w:rsidR="00405087">
        <w:rPr>
          <w:lang w:val="en-GB"/>
        </w:rPr>
        <w:t xml:space="preserve"> to be</w:t>
      </w:r>
      <w:r w:rsidR="00E26B0F">
        <w:rPr>
          <w:lang w:val="en-GB"/>
        </w:rPr>
        <w:t xml:space="preserve"> </w:t>
      </w:r>
      <w:r w:rsidR="004B66FF">
        <w:rPr>
          <w:lang w:val="en-GB"/>
        </w:rPr>
        <w:t xml:space="preserve">higher than </w:t>
      </w:r>
      <w:r w:rsidR="00E26B0F">
        <w:rPr>
          <w:lang w:val="en-GB"/>
        </w:rPr>
        <w:t xml:space="preserve">that of the farmer </w:t>
      </w:r>
      <w:r w:rsidR="00CC333F">
        <w:rPr>
          <w:lang w:val="en-GB"/>
        </w:rPr>
        <w:t xml:space="preserve">choosing </w:t>
      </w:r>
      <w:r w:rsidR="00BF5718">
        <w:rPr>
          <w:lang w:val="en-GB"/>
        </w:rPr>
        <w:t>otherwise</w:t>
      </w:r>
      <w:r w:rsidR="00E26B0F">
        <w:rPr>
          <w:lang w:val="en-GB"/>
        </w:rPr>
        <w:t>.</w:t>
      </w:r>
      <w:r w:rsidR="00E26B0F">
        <w:rPr>
          <w:rFonts w:eastAsiaTheme="minorEastAsia"/>
          <w:lang w:val="en-GB"/>
        </w:rPr>
        <w:t xml:space="preserve"> </w:t>
      </w:r>
    </w:p>
    <w:p w14:paraId="2C46C230" w14:textId="367DCFD5" w:rsidR="006F375A" w:rsidRDefault="006F375A" w:rsidP="00BC5BB2">
      <w:pPr>
        <w:rPr>
          <w:lang w:val="en-GB"/>
        </w:rPr>
      </w:pPr>
      <w:r>
        <w:rPr>
          <w:rFonts w:eastAsiaTheme="minorEastAsia"/>
          <w:lang w:val="en-GB"/>
        </w:rPr>
        <w:t>W</w:t>
      </w:r>
      <w:r w:rsidR="00F07CA1" w:rsidRPr="00F07CA1">
        <w:rPr>
          <w:rFonts w:eastAsiaTheme="minorEastAsia"/>
          <w:lang w:val="en-GB"/>
        </w:rPr>
        <w:t xml:space="preserve">e compute the </w:t>
      </w:r>
      <w:r w:rsidR="00E26B0F" w:rsidRPr="00E26B0F">
        <w:rPr>
          <w:i/>
          <w:lang w:val="en-GB"/>
        </w:rPr>
        <w:t>CE</w:t>
      </w:r>
      <w:r>
        <w:rPr>
          <w:lang w:val="en-GB"/>
        </w:rPr>
        <w:t xml:space="preserve"> of the random </w:t>
      </w:r>
      <w:r w:rsidR="00F07CA1">
        <w:rPr>
          <w:lang w:val="en-GB"/>
        </w:rPr>
        <w:t xml:space="preserve">profits </w:t>
      </w:r>
      <w:r w:rsidR="00E26B0F">
        <w:rPr>
          <w:lang w:val="en-GB"/>
        </w:rPr>
        <w:t xml:space="preserve">obtained when </w:t>
      </w:r>
      <w:r>
        <w:rPr>
          <w:lang w:val="en-GB"/>
        </w:rPr>
        <w:t xml:space="preserve">applying </w:t>
      </w:r>
      <w:r w:rsidR="00E26B0F" w:rsidRPr="00F07CA1">
        <w:rPr>
          <w:lang w:val="en-GB"/>
        </w:rPr>
        <w:t>(</w:t>
      </w:r>
      <w:r w:rsidR="00E26B0F">
        <w:rPr>
          <w:i/>
        </w:rPr>
        <w:t>CE</w:t>
      </w:r>
      <w:r w:rsidR="00E26B0F">
        <w:rPr>
          <w:i/>
          <w:vertAlign w:val="subscript"/>
        </w:rPr>
        <w:t>at</w:t>
      </w:r>
      <w:r w:rsidR="00E26B0F" w:rsidRPr="00F07CA1">
        <w:rPr>
          <w:lang w:val="en-GB"/>
        </w:rPr>
        <w:t>)</w:t>
      </w:r>
      <w:r w:rsidR="00E26B0F">
        <w:rPr>
          <w:color w:val="000000" w:themeColor="text1"/>
          <w:lang w:val="en-GB"/>
        </w:rPr>
        <w:t xml:space="preserve"> and not applying</w:t>
      </w:r>
      <w:r w:rsidR="00E26B0F" w:rsidRPr="00F07CA1">
        <w:rPr>
          <w:color w:val="000000" w:themeColor="text1"/>
          <w:lang w:val="en-GB"/>
        </w:rPr>
        <w:t xml:space="preserve"> </w:t>
      </w:r>
      <w:r w:rsidR="00E26B0F" w:rsidRPr="00F07CA1">
        <w:rPr>
          <w:lang w:val="en-GB"/>
        </w:rPr>
        <w:t>(</w:t>
      </w:r>
      <w:r w:rsidR="00E26B0F">
        <w:rPr>
          <w:i/>
        </w:rPr>
        <w:t>CE</w:t>
      </w:r>
      <w:r w:rsidR="00E26B0F">
        <w:rPr>
          <w:i/>
          <w:vertAlign w:val="subscript"/>
        </w:rPr>
        <w:t>nat</w:t>
      </w:r>
      <w:r w:rsidR="00E26B0F" w:rsidRPr="00F07CA1">
        <w:rPr>
          <w:lang w:val="en-GB"/>
        </w:rPr>
        <w:t>)</w:t>
      </w:r>
      <w:r w:rsidR="00E26B0F">
        <w:rPr>
          <w:lang w:val="en-GB"/>
        </w:rPr>
        <w:t xml:space="preserve"> </w:t>
      </w:r>
      <w:r w:rsidR="00405087">
        <w:rPr>
          <w:lang w:val="en-GB"/>
        </w:rPr>
        <w:t xml:space="preserve">the </w:t>
      </w:r>
      <w:r>
        <w:rPr>
          <w:lang w:val="en-GB"/>
        </w:rPr>
        <w:t xml:space="preserve">adaptation </w:t>
      </w:r>
      <w:r w:rsidR="00E26B0F">
        <w:rPr>
          <w:lang w:val="en-GB"/>
        </w:rPr>
        <w:t>technology</w:t>
      </w:r>
      <w:r w:rsidR="00CC333F">
        <w:rPr>
          <w:lang w:val="en-GB"/>
        </w:rPr>
        <w:t>,</w:t>
      </w:r>
      <w:r w:rsidR="00E26B0F">
        <w:rPr>
          <w:lang w:val="en-GB"/>
        </w:rPr>
        <w:t xml:space="preserve"> and </w:t>
      </w:r>
      <w:r w:rsidR="00CC333F">
        <w:rPr>
          <w:lang w:val="en-GB"/>
        </w:rPr>
        <w:t>represent</w:t>
      </w:r>
      <w:r w:rsidR="00E26B0F">
        <w:rPr>
          <w:lang w:val="en-GB"/>
        </w:rPr>
        <w:t xml:space="preserve"> </w:t>
      </w:r>
      <w:r w:rsidR="00EB5C71">
        <w:rPr>
          <w:lang w:val="en-GB"/>
        </w:rPr>
        <w:t xml:space="preserve">the </w:t>
      </w:r>
      <w:r w:rsidRPr="00830B92">
        <w:rPr>
          <w:rFonts w:eastAsiaTheme="minorEastAsia"/>
          <w:i/>
          <w:color w:val="000000"/>
          <w:lang w:val="en-GB" w:eastAsia="es-MX"/>
        </w:rPr>
        <w:t>total additional value</w:t>
      </w:r>
      <w:r w:rsidR="00EB5C71">
        <w:rPr>
          <w:lang w:val="en-GB"/>
        </w:rPr>
        <w:t xml:space="preserve"> </w:t>
      </w:r>
      <w:r w:rsidR="00CC333F">
        <w:rPr>
          <w:lang w:val="en-GB"/>
        </w:rPr>
        <w:t xml:space="preserve">to the farmer </w:t>
      </w:r>
      <w:r w:rsidR="00EB5C71">
        <w:rPr>
          <w:lang w:val="en-GB"/>
        </w:rPr>
        <w:t xml:space="preserve">of adoption </w:t>
      </w:r>
      <w:r w:rsidR="00E26B0F">
        <w:rPr>
          <w:lang w:val="en-GB"/>
        </w:rPr>
        <w:t>as</w:t>
      </w:r>
      <w:r w:rsidR="00EB5C71">
        <w:rPr>
          <w:lang w:val="en-GB"/>
        </w:rPr>
        <w:t xml:space="preserve"> a</w:t>
      </w:r>
      <w:r>
        <w:rPr>
          <w:lang w:val="en-GB"/>
        </w:rPr>
        <w:t xml:space="preserve"> </w:t>
      </w:r>
      <w:r w:rsidR="00E46938">
        <w:rPr>
          <w:lang w:val="en-GB"/>
        </w:rPr>
        <w:t xml:space="preserve">percentage </w:t>
      </w:r>
      <w:r w:rsidR="00E26B0F">
        <w:rPr>
          <w:lang w:val="en-GB"/>
        </w:rPr>
        <w:t>change</w:t>
      </w:r>
      <w:r w:rsidR="002D2334" w:rsidRPr="004717C0">
        <w:rPr>
          <w:position w:val="-30"/>
          <w:lang w:val="en-GB"/>
        </w:rPr>
        <w:object w:dxaOrig="1080" w:dyaOrig="680" w14:anchorId="5AC10E92">
          <v:shape id="_x0000_i1042" type="#_x0000_t75" style="width:54pt;height:33.8pt" o:ole="">
            <v:imagedata r:id="rId42" o:title=""/>
          </v:shape>
          <o:OLEObject Type="Embed" ProgID="Equation.DSMT4" ShapeID="_x0000_i1042" DrawAspect="Content" ObjectID="_1657379034" r:id="rId43"/>
        </w:object>
      </w:r>
      <w:r w:rsidR="00C06623" w:rsidRPr="00830B92">
        <w:rPr>
          <w:rFonts w:eastAsiaTheme="minorEastAsia"/>
          <w:lang w:val="en-GB"/>
        </w:rPr>
        <w:t>.</w:t>
      </w:r>
      <w:r w:rsidR="00C06623" w:rsidRPr="00830B92">
        <w:rPr>
          <w:rFonts w:eastAsiaTheme="minorEastAsia"/>
          <w:color w:val="000000"/>
          <w:lang w:val="en-GB" w:eastAsia="es-MX"/>
        </w:rPr>
        <w:t xml:space="preserve"> </w:t>
      </w:r>
      <w:r w:rsidR="00EB5C71">
        <w:rPr>
          <w:rFonts w:eastAsiaTheme="minorEastAsia"/>
          <w:color w:val="000000"/>
          <w:lang w:val="en-GB" w:eastAsia="es-MX"/>
        </w:rPr>
        <w:t>Remarkably, t</w:t>
      </w:r>
      <w:r w:rsidRPr="006F375A">
        <w:rPr>
          <w:rFonts w:eastAsiaTheme="minorEastAsia"/>
          <w:color w:val="000000"/>
          <w:lang w:val="en-GB" w:eastAsia="es-MX"/>
        </w:rPr>
        <w:t xml:space="preserve">his additional value </w:t>
      </w:r>
      <w:r w:rsidR="00CC333F">
        <w:rPr>
          <w:rFonts w:eastAsiaTheme="minorEastAsia"/>
          <w:color w:val="000000"/>
          <w:lang w:val="en-GB" w:eastAsia="es-MX"/>
        </w:rPr>
        <w:t xml:space="preserve">comes </w:t>
      </w:r>
      <w:r w:rsidR="00EB5C71">
        <w:rPr>
          <w:rFonts w:eastAsiaTheme="minorEastAsia"/>
          <w:color w:val="000000"/>
          <w:lang w:val="en-GB" w:eastAsia="es-MX"/>
        </w:rPr>
        <w:t xml:space="preserve">on the one hand by </w:t>
      </w:r>
      <w:r w:rsidRPr="006F375A">
        <w:rPr>
          <w:rFonts w:eastAsiaTheme="minorEastAsia"/>
          <w:color w:val="000000"/>
          <w:lang w:val="en-GB" w:eastAsia="es-MX"/>
        </w:rPr>
        <w:t>the higher average profits</w:t>
      </w:r>
      <w:r w:rsidR="00CC333F">
        <w:rPr>
          <w:rFonts w:eastAsiaTheme="minorEastAsia"/>
          <w:color w:val="000000"/>
          <w:lang w:val="en-GB" w:eastAsia="es-MX"/>
        </w:rPr>
        <w:t>,</w:t>
      </w:r>
      <w:r w:rsidRPr="006F375A">
        <w:rPr>
          <w:rFonts w:eastAsiaTheme="minorEastAsia"/>
          <w:color w:val="000000"/>
          <w:lang w:val="en-GB" w:eastAsia="es-MX"/>
        </w:rPr>
        <w:t xml:space="preserve"> and </w:t>
      </w:r>
      <w:r w:rsidR="00EB5C71">
        <w:rPr>
          <w:rFonts w:eastAsiaTheme="minorEastAsia"/>
          <w:color w:val="000000"/>
          <w:lang w:val="en-GB" w:eastAsia="es-MX"/>
        </w:rPr>
        <w:t xml:space="preserve">on </w:t>
      </w:r>
      <w:r w:rsidR="00E26B0F">
        <w:rPr>
          <w:rFonts w:eastAsiaTheme="minorEastAsia"/>
          <w:color w:val="000000"/>
          <w:lang w:val="en-GB" w:eastAsia="es-MX"/>
        </w:rPr>
        <w:t>the other</w:t>
      </w:r>
      <w:r w:rsidR="002071D0">
        <w:rPr>
          <w:rFonts w:eastAsiaTheme="minorEastAsia"/>
          <w:color w:val="000000"/>
          <w:lang w:val="en-GB" w:eastAsia="es-MX"/>
        </w:rPr>
        <w:t>,</w:t>
      </w:r>
      <w:r w:rsidR="00EB5C71">
        <w:rPr>
          <w:rFonts w:eastAsiaTheme="minorEastAsia"/>
          <w:color w:val="000000"/>
          <w:lang w:val="en-GB" w:eastAsia="es-MX"/>
        </w:rPr>
        <w:t xml:space="preserve"> by</w:t>
      </w:r>
      <w:r w:rsidR="00E26B0F">
        <w:rPr>
          <w:rFonts w:eastAsiaTheme="minorEastAsia"/>
          <w:color w:val="000000"/>
          <w:lang w:val="en-GB" w:eastAsia="es-MX"/>
        </w:rPr>
        <w:t xml:space="preserve"> the </w:t>
      </w:r>
      <w:r w:rsidR="00EB5C71">
        <w:rPr>
          <w:rFonts w:eastAsiaTheme="minorEastAsia"/>
          <w:color w:val="000000"/>
          <w:lang w:val="en-GB" w:eastAsia="es-MX"/>
        </w:rPr>
        <w:t xml:space="preserve">lower profit </w:t>
      </w:r>
      <w:r w:rsidR="00E26B0F">
        <w:rPr>
          <w:rFonts w:eastAsiaTheme="minorEastAsia"/>
          <w:color w:val="000000"/>
          <w:lang w:val="en-GB" w:eastAsia="es-MX"/>
        </w:rPr>
        <w:lastRenderedPageBreak/>
        <w:t>volatility</w:t>
      </w:r>
      <w:r w:rsidRPr="006F375A">
        <w:rPr>
          <w:rFonts w:eastAsiaTheme="minorEastAsia"/>
          <w:color w:val="000000"/>
          <w:lang w:val="en-GB" w:eastAsia="es-MX"/>
        </w:rPr>
        <w:t xml:space="preserve">. </w:t>
      </w:r>
      <w:r w:rsidR="005D529C">
        <w:rPr>
          <w:rFonts w:eastAsiaTheme="minorEastAsia"/>
          <w:color w:val="000000"/>
          <w:lang w:val="en-GB" w:eastAsia="es-MX"/>
        </w:rPr>
        <w:t>T</w:t>
      </w:r>
      <w:r w:rsidRPr="006F375A">
        <w:rPr>
          <w:rFonts w:eastAsiaTheme="minorEastAsia"/>
          <w:color w:val="000000"/>
          <w:lang w:val="en-GB" w:eastAsia="es-MX"/>
        </w:rPr>
        <w:t xml:space="preserve">o </w:t>
      </w:r>
      <w:r w:rsidR="00EB5C71">
        <w:rPr>
          <w:rFonts w:eastAsiaTheme="minorEastAsia"/>
          <w:color w:val="000000"/>
          <w:lang w:val="en-GB" w:eastAsia="es-MX"/>
        </w:rPr>
        <w:t>make</w:t>
      </w:r>
      <w:r w:rsidRPr="006F375A">
        <w:rPr>
          <w:rFonts w:eastAsiaTheme="minorEastAsia"/>
          <w:color w:val="000000"/>
          <w:lang w:val="en-GB" w:eastAsia="es-MX"/>
        </w:rPr>
        <w:t xml:space="preserve"> </w:t>
      </w:r>
      <w:r w:rsidR="00405087">
        <w:rPr>
          <w:rFonts w:eastAsiaTheme="minorEastAsia"/>
          <w:color w:val="000000"/>
          <w:lang w:val="en-GB" w:eastAsia="es-MX"/>
        </w:rPr>
        <w:t>this</w:t>
      </w:r>
      <w:r w:rsidRPr="006F375A">
        <w:rPr>
          <w:rFonts w:eastAsiaTheme="minorEastAsia"/>
          <w:color w:val="000000"/>
          <w:lang w:val="en-GB" w:eastAsia="es-MX"/>
        </w:rPr>
        <w:t xml:space="preserve"> decomposition, we first create a stream of profits with the </w:t>
      </w:r>
      <w:r w:rsidR="00EB5C71">
        <w:rPr>
          <w:rFonts w:eastAsiaTheme="minorEastAsia"/>
          <w:color w:val="000000"/>
          <w:lang w:val="en-GB" w:eastAsia="es-MX"/>
        </w:rPr>
        <w:t xml:space="preserve">mean of </w:t>
      </w:r>
      <w:r w:rsidRPr="006F375A">
        <w:rPr>
          <w:rFonts w:eastAsiaTheme="minorEastAsia"/>
          <w:color w:val="000000"/>
          <w:lang w:val="en-GB" w:eastAsia="es-MX"/>
        </w:rPr>
        <w:t xml:space="preserve">the </w:t>
      </w:r>
      <w:r>
        <w:rPr>
          <w:rFonts w:eastAsiaTheme="minorEastAsia"/>
          <w:color w:val="000000"/>
          <w:lang w:val="en-GB" w:eastAsia="es-MX"/>
        </w:rPr>
        <w:t>profits</w:t>
      </w:r>
      <w:r w:rsidR="00EB5C71">
        <w:rPr>
          <w:rFonts w:eastAsiaTheme="minorEastAsia"/>
          <w:color w:val="000000"/>
          <w:lang w:val="en-GB" w:eastAsia="es-MX"/>
        </w:rPr>
        <w:t xml:space="preserve"> obtained </w:t>
      </w:r>
      <w:r w:rsidR="001B45DF">
        <w:rPr>
          <w:rFonts w:eastAsiaTheme="minorEastAsia"/>
          <w:color w:val="000000"/>
          <w:lang w:val="en-GB" w:eastAsia="es-MX"/>
        </w:rPr>
        <w:t>when</w:t>
      </w:r>
      <w:r w:rsidRPr="006F375A">
        <w:rPr>
          <w:rFonts w:eastAsiaTheme="minorEastAsia"/>
          <w:color w:val="000000"/>
          <w:lang w:val="en-GB" w:eastAsia="es-MX"/>
        </w:rPr>
        <w:t xml:space="preserve"> applying </w:t>
      </w:r>
      <w:r>
        <w:rPr>
          <w:rFonts w:eastAsiaTheme="minorEastAsia"/>
          <w:color w:val="000000"/>
          <w:lang w:val="en-GB" w:eastAsia="es-MX"/>
        </w:rPr>
        <w:t xml:space="preserve">the adaptation technology </w:t>
      </w:r>
      <w:r w:rsidR="00EB5C71">
        <w:rPr>
          <w:rFonts w:eastAsiaTheme="minorEastAsia"/>
          <w:color w:val="000000"/>
          <w:lang w:val="en-GB" w:eastAsia="es-MX"/>
        </w:rPr>
        <w:t>but w</w:t>
      </w:r>
      <w:r w:rsidRPr="006F375A">
        <w:rPr>
          <w:rFonts w:eastAsiaTheme="minorEastAsia"/>
          <w:color w:val="000000"/>
          <w:lang w:val="en-GB" w:eastAsia="es-MX"/>
        </w:rPr>
        <w:t xml:space="preserve">ith the volatility </w:t>
      </w:r>
      <w:r w:rsidR="00F62458">
        <w:rPr>
          <w:rFonts w:eastAsiaTheme="minorEastAsia"/>
          <w:color w:val="000000"/>
          <w:lang w:val="en-GB" w:eastAsia="es-MX"/>
        </w:rPr>
        <w:t xml:space="preserve">that would </w:t>
      </w:r>
      <w:r w:rsidR="00E16A2C">
        <w:rPr>
          <w:rFonts w:eastAsiaTheme="minorEastAsia"/>
          <w:color w:val="000000"/>
          <w:lang w:val="en-GB" w:eastAsia="es-MX"/>
        </w:rPr>
        <w:t>have been</w:t>
      </w:r>
      <w:r w:rsidR="00F62458">
        <w:rPr>
          <w:rFonts w:eastAsiaTheme="minorEastAsia"/>
          <w:color w:val="000000"/>
          <w:lang w:val="en-GB" w:eastAsia="es-MX"/>
        </w:rPr>
        <w:t xml:space="preserve"> obtained </w:t>
      </w:r>
      <w:r w:rsidR="00E16A2C">
        <w:rPr>
          <w:rFonts w:eastAsiaTheme="minorEastAsia"/>
          <w:color w:val="000000"/>
          <w:lang w:val="en-GB" w:eastAsia="es-MX"/>
        </w:rPr>
        <w:t>otherwise</w:t>
      </w:r>
      <w:r w:rsidRPr="006F375A">
        <w:rPr>
          <w:rFonts w:eastAsiaTheme="minorEastAsia"/>
          <w:color w:val="000000"/>
          <w:lang w:val="en-GB" w:eastAsia="es-MX"/>
        </w:rPr>
        <w:t xml:space="preserve">. The </w:t>
      </w:r>
      <w:r w:rsidR="00B333E4" w:rsidRPr="00B333E4">
        <w:rPr>
          <w:rFonts w:eastAsiaTheme="minorEastAsia"/>
          <w:i/>
          <w:color w:val="000000"/>
          <w:lang w:val="en-GB" w:eastAsia="es-MX"/>
        </w:rPr>
        <w:t>CE</w:t>
      </w:r>
      <w:r w:rsidRPr="006F375A">
        <w:rPr>
          <w:rFonts w:eastAsiaTheme="minorEastAsia"/>
          <w:color w:val="000000"/>
          <w:lang w:val="en-GB" w:eastAsia="es-MX"/>
        </w:rPr>
        <w:t xml:space="preserve"> of </w:t>
      </w:r>
      <w:r w:rsidR="00CC333F">
        <w:rPr>
          <w:rFonts w:eastAsiaTheme="minorEastAsia"/>
          <w:color w:val="000000"/>
          <w:lang w:val="en-GB" w:eastAsia="es-MX"/>
        </w:rPr>
        <w:t>these</w:t>
      </w:r>
      <w:r w:rsidRPr="006F375A">
        <w:rPr>
          <w:rFonts w:eastAsiaTheme="minorEastAsia"/>
          <w:color w:val="000000"/>
          <w:lang w:val="en-GB" w:eastAsia="es-MX"/>
        </w:rPr>
        <w:t xml:space="preserve"> profits </w:t>
      </w:r>
      <w:r w:rsidR="002071D0">
        <w:rPr>
          <w:rFonts w:eastAsiaTheme="minorEastAsia"/>
          <w:color w:val="000000"/>
          <w:lang w:val="en-GB" w:eastAsia="es-MX"/>
        </w:rPr>
        <w:t xml:space="preserve">is </w:t>
      </w:r>
      <w:r>
        <w:rPr>
          <w:rFonts w:eastAsiaTheme="minorEastAsia"/>
          <w:color w:val="000000"/>
          <w:lang w:val="en-GB" w:eastAsia="es-MX"/>
        </w:rPr>
        <w:t>denoted as</w:t>
      </w:r>
      <w:r w:rsidR="002D2334">
        <w:rPr>
          <w:rFonts w:eastAsiaTheme="minorEastAsia"/>
          <w:color w:val="000000"/>
          <w:lang w:val="en-GB" w:eastAsia="es-MX"/>
        </w:rPr>
        <w:t xml:space="preserve"> </w:t>
      </w:r>
      <w:r w:rsidR="002D2334">
        <w:rPr>
          <w:i/>
        </w:rPr>
        <w:t>CE</w:t>
      </w:r>
      <w:r w:rsidR="002D2334">
        <w:rPr>
          <w:i/>
          <w:vertAlign w:val="subscript"/>
        </w:rPr>
        <w:t>at2</w:t>
      </w:r>
      <w:r w:rsidR="001B45DF">
        <w:rPr>
          <w:i/>
          <w:vertAlign w:val="subscript"/>
        </w:rPr>
        <w:t xml:space="preserve"> </w:t>
      </w:r>
      <w:r w:rsidR="001B45DF">
        <w:rPr>
          <w:rFonts w:eastAsiaTheme="minorEastAsia"/>
          <w:color w:val="000000"/>
          <w:lang w:val="en-GB" w:eastAsia="es-MX"/>
        </w:rPr>
        <w:t>and</w:t>
      </w:r>
      <w:r w:rsidR="00E16A2C">
        <w:rPr>
          <w:rFonts w:eastAsiaTheme="minorEastAsia"/>
          <w:color w:val="000000"/>
          <w:lang w:val="en-GB" w:eastAsia="es-MX"/>
        </w:rPr>
        <w:t>,</w:t>
      </w:r>
      <w:r w:rsidR="001B45DF">
        <w:rPr>
          <w:rFonts w:eastAsiaTheme="minorEastAsia"/>
          <w:color w:val="000000"/>
          <w:lang w:val="en-GB" w:eastAsia="es-MX"/>
        </w:rPr>
        <w:t xml:space="preserve"> when </w:t>
      </w:r>
      <w:r w:rsidR="00B333E4">
        <w:rPr>
          <w:rFonts w:eastAsiaTheme="minorEastAsia"/>
          <w:color w:val="000000"/>
          <w:lang w:val="en-GB" w:eastAsia="es-MX"/>
        </w:rPr>
        <w:t xml:space="preserve">compared </w:t>
      </w:r>
      <w:r w:rsidR="00F62458">
        <w:rPr>
          <w:rFonts w:eastAsiaTheme="minorEastAsia"/>
          <w:color w:val="000000"/>
          <w:lang w:val="en-GB" w:eastAsia="es-MX"/>
        </w:rPr>
        <w:t>to</w:t>
      </w:r>
      <w:r w:rsidR="00B333E4">
        <w:rPr>
          <w:rFonts w:eastAsiaTheme="minorEastAsia"/>
          <w:color w:val="000000"/>
          <w:lang w:val="en-GB" w:eastAsia="es-MX"/>
        </w:rPr>
        <w:t xml:space="preserve"> </w:t>
      </w:r>
      <w:r w:rsidR="00F62458" w:rsidRPr="001B45DF">
        <w:rPr>
          <w:i/>
        </w:rPr>
        <w:t>CE</w:t>
      </w:r>
      <w:r w:rsidR="00F62458" w:rsidRPr="001B45DF">
        <w:rPr>
          <w:i/>
          <w:vertAlign w:val="subscript"/>
        </w:rPr>
        <w:t>nat</w:t>
      </w:r>
      <w:r w:rsidRPr="001B45DF">
        <w:rPr>
          <w:rFonts w:eastAsiaTheme="minorEastAsia"/>
          <w:color w:val="000000"/>
          <w:lang w:val="en-GB" w:eastAsia="es-MX"/>
        </w:rPr>
        <w:t xml:space="preserve">, </w:t>
      </w:r>
      <w:r w:rsidR="00CC333F">
        <w:rPr>
          <w:rFonts w:eastAsiaTheme="minorEastAsia"/>
          <w:color w:val="000000"/>
          <w:lang w:val="en-GB" w:eastAsia="es-MX"/>
        </w:rPr>
        <w:t xml:space="preserve">yields </w:t>
      </w:r>
      <w:r w:rsidRPr="001B45DF">
        <w:rPr>
          <w:rFonts w:eastAsiaTheme="minorEastAsia"/>
          <w:color w:val="000000"/>
          <w:lang w:val="en-GB" w:eastAsia="es-MX"/>
        </w:rPr>
        <w:t xml:space="preserve">the portion of the total value </w:t>
      </w:r>
      <w:r w:rsidR="001B45DF">
        <w:rPr>
          <w:rFonts w:eastAsiaTheme="minorEastAsia"/>
          <w:color w:val="000000"/>
          <w:lang w:val="en-GB" w:eastAsia="es-MX"/>
        </w:rPr>
        <w:t>of</w:t>
      </w:r>
      <w:r w:rsidRPr="001B45DF">
        <w:rPr>
          <w:rFonts w:eastAsiaTheme="minorEastAsia"/>
          <w:color w:val="000000"/>
          <w:lang w:val="en-GB" w:eastAsia="es-MX"/>
        </w:rPr>
        <w:t xml:space="preserve"> using the adaptation technology</w:t>
      </w:r>
      <w:r w:rsidR="001B45DF">
        <w:rPr>
          <w:rFonts w:eastAsiaTheme="minorEastAsia"/>
          <w:color w:val="000000"/>
          <w:lang w:val="en-GB" w:eastAsia="es-MX"/>
        </w:rPr>
        <w:t xml:space="preserve"> </w:t>
      </w:r>
      <w:r w:rsidR="001B45DF" w:rsidRPr="001B45DF">
        <w:rPr>
          <w:rFonts w:eastAsiaTheme="minorEastAsia"/>
          <w:color w:val="000000"/>
          <w:lang w:val="en-GB" w:eastAsia="es-MX"/>
        </w:rPr>
        <w:t>attributed to the higher average</w:t>
      </w:r>
      <w:r w:rsidR="001B45DF">
        <w:rPr>
          <w:rFonts w:eastAsiaTheme="minorEastAsia"/>
          <w:color w:val="000000"/>
          <w:lang w:val="en-GB" w:eastAsia="es-MX"/>
        </w:rPr>
        <w:t xml:space="preserve">, </w:t>
      </w:r>
      <w:proofErr w:type="gramStart"/>
      <w:r w:rsidR="00CC333F">
        <w:rPr>
          <w:rFonts w:eastAsiaTheme="minorEastAsia"/>
          <w:color w:val="000000"/>
          <w:lang w:val="en-GB" w:eastAsia="es-MX"/>
        </w:rPr>
        <w:t xml:space="preserve">namely </w:t>
      </w:r>
      <w:proofErr w:type="gramEnd"/>
      <w:r w:rsidR="001B45DF" w:rsidRPr="001B45DF">
        <w:rPr>
          <w:position w:val="-30"/>
          <w:lang w:val="en-GB"/>
        </w:rPr>
        <w:object w:dxaOrig="1080" w:dyaOrig="680" w14:anchorId="3B58D7FF">
          <v:shape id="_x0000_i1043" type="#_x0000_t75" style="width:54pt;height:33.8pt" o:ole="">
            <v:imagedata r:id="rId44" o:title=""/>
          </v:shape>
          <o:OLEObject Type="Embed" ProgID="Equation.DSMT4" ShapeID="_x0000_i1043" DrawAspect="Content" ObjectID="_1657379035" r:id="rId45"/>
        </w:object>
      </w:r>
      <w:r w:rsidRPr="001B45DF">
        <w:rPr>
          <w:rFonts w:eastAsiaTheme="minorEastAsia"/>
          <w:color w:val="000000"/>
          <w:lang w:val="en-GB" w:eastAsia="es-MX"/>
        </w:rPr>
        <w:t>.</w:t>
      </w:r>
      <w:r w:rsidRPr="006F375A">
        <w:rPr>
          <w:rFonts w:eastAsiaTheme="minorEastAsia"/>
          <w:color w:val="000000"/>
          <w:lang w:val="en-GB" w:eastAsia="es-MX"/>
        </w:rPr>
        <w:t xml:space="preserve"> The </w:t>
      </w:r>
      <w:r w:rsidR="00CC333F">
        <w:rPr>
          <w:rFonts w:eastAsiaTheme="minorEastAsia"/>
          <w:color w:val="000000"/>
          <w:lang w:val="en-GB" w:eastAsia="es-MX"/>
        </w:rPr>
        <w:t xml:space="preserve">rest </w:t>
      </w:r>
      <w:r w:rsidRPr="006F375A">
        <w:rPr>
          <w:rFonts w:eastAsiaTheme="minorEastAsia"/>
          <w:color w:val="000000"/>
          <w:lang w:val="en-GB" w:eastAsia="es-MX"/>
        </w:rPr>
        <w:t xml:space="preserve">corresponds to the value </w:t>
      </w:r>
      <w:r w:rsidR="00E16A2C">
        <w:rPr>
          <w:rFonts w:eastAsiaTheme="minorEastAsia"/>
          <w:color w:val="000000"/>
          <w:lang w:val="en-GB" w:eastAsia="es-MX"/>
        </w:rPr>
        <w:t>attributed to</w:t>
      </w:r>
      <w:r w:rsidRPr="006F375A">
        <w:rPr>
          <w:rFonts w:eastAsiaTheme="minorEastAsia"/>
          <w:color w:val="000000"/>
          <w:lang w:val="en-GB" w:eastAsia="es-MX"/>
        </w:rPr>
        <w:t xml:space="preserve"> the lower volatility</w:t>
      </w:r>
      <w:r w:rsidR="00EC61D2" w:rsidRPr="002D2334">
        <w:rPr>
          <w:position w:val="-30"/>
          <w:lang w:val="en-GB"/>
        </w:rPr>
        <w:object w:dxaOrig="1460" w:dyaOrig="680" w14:anchorId="5A632D1F">
          <v:shape id="_x0000_i1044" type="#_x0000_t75" style="width:72.55pt;height:33.8pt" o:ole="">
            <v:imagedata r:id="rId46" o:title=""/>
          </v:shape>
          <o:OLEObject Type="Embed" ProgID="Equation.DSMT4" ShapeID="_x0000_i1044" DrawAspect="Content" ObjectID="_1657379036" r:id="rId47"/>
        </w:object>
      </w:r>
      <w:r w:rsidR="00EC61D2">
        <w:rPr>
          <w:lang w:val="en-GB"/>
        </w:rPr>
        <w:t>.</w:t>
      </w:r>
    </w:p>
    <w:p w14:paraId="31947505" w14:textId="77777777" w:rsidR="00E71BAA" w:rsidRDefault="00E71BAA" w:rsidP="00BC5BB2">
      <w:pPr>
        <w:rPr>
          <w:lang w:val="en-GB" w:eastAsia="es-MX"/>
        </w:rPr>
      </w:pPr>
    </w:p>
    <w:p w14:paraId="275A0288" w14:textId="77777777" w:rsidR="00037027" w:rsidRPr="001A2C1B" w:rsidRDefault="00F87D0D" w:rsidP="00BC5BB2">
      <w:pPr>
        <w:pStyle w:val="Prrafodelista"/>
        <w:numPr>
          <w:ilvl w:val="0"/>
          <w:numId w:val="14"/>
        </w:numPr>
        <w:rPr>
          <w:lang w:val="en-GB"/>
        </w:rPr>
      </w:pPr>
      <w:bookmarkStart w:id="0" w:name="_Hlk533593475"/>
      <w:r w:rsidRPr="001A2C1B">
        <w:rPr>
          <w:lang w:val="en-GB"/>
        </w:rPr>
        <w:t>Data simulation and sources</w:t>
      </w:r>
    </w:p>
    <w:bookmarkEnd w:id="0"/>
    <w:p w14:paraId="431FDA59" w14:textId="2E9BFA3D" w:rsidR="00037027" w:rsidRPr="00037027" w:rsidRDefault="00037027" w:rsidP="00E14443">
      <w:pPr>
        <w:ind w:firstLine="0"/>
        <w:rPr>
          <w:lang w:val="en-GB"/>
        </w:rPr>
      </w:pPr>
      <w:r w:rsidRPr="00037027">
        <w:rPr>
          <w:lang w:val="en-GB"/>
        </w:rPr>
        <w:t xml:space="preserve">In this </w:t>
      </w:r>
      <w:r w:rsidR="00B74561" w:rsidRPr="00037027">
        <w:rPr>
          <w:lang w:val="en-GB"/>
        </w:rPr>
        <w:t>section,</w:t>
      </w:r>
      <w:r w:rsidRPr="00037027">
        <w:rPr>
          <w:lang w:val="en-GB"/>
        </w:rPr>
        <w:t xml:space="preserve"> we describe</w:t>
      </w:r>
      <w:r>
        <w:rPr>
          <w:lang w:val="en-GB"/>
        </w:rPr>
        <w:t xml:space="preserve"> the data used in</w:t>
      </w:r>
      <w:r w:rsidR="008B0040">
        <w:rPr>
          <w:lang w:val="en-GB"/>
        </w:rPr>
        <w:t xml:space="preserve"> both applications</w:t>
      </w:r>
      <w:r w:rsidR="00E71BAA">
        <w:rPr>
          <w:lang w:val="en-GB"/>
        </w:rPr>
        <w:t xml:space="preserve"> and </w:t>
      </w:r>
      <w:r w:rsidR="00B74561">
        <w:rPr>
          <w:lang w:val="en-GB"/>
        </w:rPr>
        <w:t>their</w:t>
      </w:r>
      <w:r w:rsidR="00E71BAA">
        <w:rPr>
          <w:lang w:val="en-GB"/>
        </w:rPr>
        <w:t xml:space="preserve"> sources</w:t>
      </w:r>
      <w:r w:rsidR="00291C3E">
        <w:rPr>
          <w:lang w:val="en-GB"/>
        </w:rPr>
        <w:t>.</w:t>
      </w:r>
    </w:p>
    <w:p w14:paraId="323E1F97" w14:textId="7D3C2678" w:rsidR="007B17D0" w:rsidRDefault="00E14443" w:rsidP="00E14443">
      <w:pPr>
        <w:ind w:firstLine="708"/>
      </w:pPr>
      <w:r w:rsidRPr="00E14443">
        <w:rPr>
          <w:i/>
          <w:lang w:val="en-GB"/>
        </w:rPr>
        <w:t>Data simulation and sources</w:t>
      </w:r>
      <w:r>
        <w:rPr>
          <w:i/>
          <w:lang w:val="en-GB"/>
        </w:rPr>
        <w:t xml:space="preserve"> for c</w:t>
      </w:r>
      <w:r w:rsidR="00F87D0D" w:rsidRPr="00E14443">
        <w:rPr>
          <w:i/>
          <w:lang w:val="en-GB"/>
        </w:rPr>
        <w:t>rop production</w:t>
      </w:r>
      <w:r>
        <w:rPr>
          <w:lang w:val="en-GB"/>
        </w:rPr>
        <w:t xml:space="preserve">. </w:t>
      </w:r>
      <w:r w:rsidR="00100801">
        <w:rPr>
          <w:lang w:val="en-GB"/>
        </w:rPr>
        <w:t>For this application,</w:t>
      </w:r>
      <w:r w:rsidR="0060117C" w:rsidRPr="008B7C2F">
        <w:t xml:space="preserve"> w</w:t>
      </w:r>
      <w:r w:rsidR="009839B2" w:rsidRPr="008B7C2F">
        <w:t xml:space="preserve">e construct a series of </w:t>
      </w:r>
      <w:r w:rsidR="00E71BAA" w:rsidRPr="008B7C2F">
        <w:t xml:space="preserve">representative </w:t>
      </w:r>
      <w:r w:rsidR="009839B2" w:rsidRPr="008B7C2F">
        <w:t>scenarios of</w:t>
      </w:r>
      <w:r w:rsidR="008B7C2F" w:rsidRPr="008B7C2F">
        <w:t xml:space="preserve"> </w:t>
      </w:r>
      <w:r w:rsidR="007B17D0">
        <w:t xml:space="preserve">typical </w:t>
      </w:r>
      <w:r w:rsidR="009839B2" w:rsidRPr="008B7C2F">
        <w:t>Uruguay</w:t>
      </w:r>
      <w:r w:rsidR="00E71BAA">
        <w:t>an conditions</w:t>
      </w:r>
      <w:r w:rsidR="00B6702D">
        <w:t>.</w:t>
      </w:r>
      <w:r w:rsidR="009839B2" w:rsidRPr="008B7C2F">
        <w:t xml:space="preserve"> </w:t>
      </w:r>
      <w:r w:rsidR="009D02A5">
        <w:t>First</w:t>
      </w:r>
      <w:r w:rsidR="00225BBA">
        <w:t>ly</w:t>
      </w:r>
      <w:r w:rsidR="009D02A5">
        <w:t>, s</w:t>
      </w:r>
      <w:r w:rsidR="00112385">
        <w:t xml:space="preserve">cenarios differ </w:t>
      </w:r>
      <w:r w:rsidR="00E71BAA">
        <w:t>by soil agricultural aptitude</w:t>
      </w:r>
      <w:r w:rsidR="00225BBA">
        <w:t>. W</w:t>
      </w:r>
      <w:r w:rsidR="00112385">
        <w:t xml:space="preserve">e rely on </w:t>
      </w:r>
      <w:r w:rsidR="0060117C" w:rsidRPr="008B7C2F">
        <w:t>the CONEAT index</w:t>
      </w:r>
      <w:r w:rsidR="005D529C">
        <w:t>,</w:t>
      </w:r>
      <w:r w:rsidR="00112385">
        <w:t xml:space="preserve"> </w:t>
      </w:r>
      <w:r w:rsidR="00100801">
        <w:t>a</w:t>
      </w:r>
      <w:r w:rsidR="005D529C">
        <w:t xml:space="preserve"> productivity index</w:t>
      </w:r>
      <w:r w:rsidR="00112385">
        <w:t xml:space="preserve"> extensively used in Uruguay</w:t>
      </w:r>
      <w:r w:rsidR="005D529C">
        <w:t>,</w:t>
      </w:r>
      <w:r w:rsidR="0060117C" w:rsidRPr="008B7C2F">
        <w:t xml:space="preserve"> </w:t>
      </w:r>
      <w:r w:rsidR="00112385">
        <w:t xml:space="preserve">such that </w:t>
      </w:r>
      <w:r w:rsidR="0060117C" w:rsidRPr="008B7C2F">
        <w:t>index</w:t>
      </w:r>
      <w:r w:rsidR="005D529C">
        <w:t xml:space="preserve"> </w:t>
      </w:r>
      <w:r w:rsidR="009D02A5">
        <w:t xml:space="preserve">values </w:t>
      </w:r>
      <w:r w:rsidR="0060117C" w:rsidRPr="008B7C2F">
        <w:t>greater</w:t>
      </w:r>
      <w:r w:rsidR="00C87568">
        <w:t xml:space="preserve"> (lower)</w:t>
      </w:r>
      <w:r w:rsidR="0060117C" w:rsidRPr="008B7C2F">
        <w:t xml:space="preserve"> than</w:t>
      </w:r>
      <w:r w:rsidR="0058420F">
        <w:t xml:space="preserve"> 160 </w:t>
      </w:r>
      <w:r w:rsidR="009D02A5">
        <w:t xml:space="preserve">imply </w:t>
      </w:r>
      <w:r w:rsidR="0058420F">
        <w:t>high</w:t>
      </w:r>
      <w:r w:rsidR="00C87568">
        <w:t xml:space="preserve"> (</w:t>
      </w:r>
      <w:r w:rsidR="000925EB">
        <w:t>medium</w:t>
      </w:r>
      <w:r w:rsidR="00C87568">
        <w:t>)</w:t>
      </w:r>
      <w:r w:rsidR="009D02A5">
        <w:t xml:space="preserve"> aptitude</w:t>
      </w:r>
      <w:r w:rsidR="00A361D3">
        <w:t>.</w:t>
      </w:r>
      <w:r w:rsidR="007B17D0">
        <w:t xml:space="preserve"> </w:t>
      </w:r>
      <w:r w:rsidR="00E71BAA">
        <w:t>Secondly,</w:t>
      </w:r>
      <w:r w:rsidR="007B17D0">
        <w:t xml:space="preserve"> we distinguish</w:t>
      </w:r>
      <w:r w:rsidR="009D02A5">
        <w:t xml:space="preserve"> by distance </w:t>
      </w:r>
      <w:r w:rsidR="00E16A2C">
        <w:t>to</w:t>
      </w:r>
      <w:r w:rsidR="00100801">
        <w:t xml:space="preserve"> </w:t>
      </w:r>
      <w:r w:rsidR="00112385">
        <w:t>the port</w:t>
      </w:r>
      <w:r w:rsidR="007B17D0">
        <w:t xml:space="preserve">, as </w:t>
      </w:r>
      <w:r w:rsidR="00353FB3">
        <w:t>close</w:t>
      </w:r>
      <w:r w:rsidR="00EE610B">
        <w:t>r</w:t>
      </w:r>
      <w:r w:rsidR="009D02A5">
        <w:t xml:space="preserve"> farm</w:t>
      </w:r>
      <w:r w:rsidR="00EE610B">
        <w:t>s</w:t>
      </w:r>
      <w:r w:rsidR="009D02A5">
        <w:t xml:space="preserve"> have the </w:t>
      </w:r>
      <w:r w:rsidR="007B17D0">
        <w:t xml:space="preserve">incentive to </w:t>
      </w:r>
      <w:r w:rsidR="004571DD">
        <w:t xml:space="preserve">produce </w:t>
      </w:r>
      <w:r w:rsidR="00112385">
        <w:t>export-oriented crops</w:t>
      </w:r>
      <w:r w:rsidR="00100801">
        <w:t xml:space="preserve"> (e.g. soybean)</w:t>
      </w:r>
      <w:r w:rsidR="007B17D0">
        <w:t xml:space="preserve">. </w:t>
      </w:r>
      <w:r w:rsidR="00353FB3">
        <w:t>Sho</w:t>
      </w:r>
      <w:r w:rsidR="00225BBA">
        <w:t>r</w:t>
      </w:r>
      <w:r w:rsidR="00353FB3">
        <w:t xml:space="preserve">t </w:t>
      </w:r>
      <w:r w:rsidR="00C87568">
        <w:t>(</w:t>
      </w:r>
      <w:r w:rsidR="00353FB3">
        <w:t>high</w:t>
      </w:r>
      <w:r w:rsidR="00C87568">
        <w:t>)</w:t>
      </w:r>
      <w:r w:rsidR="00A361D3">
        <w:t xml:space="preserve"> distance </w:t>
      </w:r>
      <w:r w:rsidR="000C77F3">
        <w:t>is</w:t>
      </w:r>
      <w:r w:rsidR="00353FB3">
        <w:t xml:space="preserve"> less</w:t>
      </w:r>
      <w:r w:rsidR="007B17D0">
        <w:t xml:space="preserve"> (</w:t>
      </w:r>
      <w:r w:rsidR="00353FB3">
        <w:t>more</w:t>
      </w:r>
      <w:r w:rsidR="007B17D0">
        <w:t>)</w:t>
      </w:r>
      <w:r w:rsidR="00394644">
        <w:t xml:space="preserve"> than </w:t>
      </w:r>
      <w:r w:rsidR="00A361D3" w:rsidRPr="008B7C2F">
        <w:t>150 kilometers from the</w:t>
      </w:r>
      <w:r w:rsidR="000C77F3">
        <w:t xml:space="preserve"> </w:t>
      </w:r>
      <w:r w:rsidR="007B17D0" w:rsidRPr="008B7C2F">
        <w:t>Nueva Palmira Port</w:t>
      </w:r>
      <w:r w:rsidR="00353FB3">
        <w:t>.</w:t>
      </w:r>
      <w:r w:rsidR="007B17D0">
        <w:rPr>
          <w:rStyle w:val="Refdenotaalpie"/>
          <w:szCs w:val="24"/>
        </w:rPr>
        <w:footnoteReference w:id="6"/>
      </w:r>
      <w:r w:rsidR="007B17D0">
        <w:t xml:space="preserve"> </w:t>
      </w:r>
      <w:r w:rsidR="000C77F3">
        <w:t>Thirdly, we distinguish between f</w:t>
      </w:r>
      <w:r w:rsidR="0060117C" w:rsidRPr="008B7C2F">
        <w:t xml:space="preserve">arms </w:t>
      </w:r>
      <w:r w:rsidR="000C77F3">
        <w:t xml:space="preserve">that </w:t>
      </w:r>
      <w:r w:rsidR="00394644">
        <w:t xml:space="preserve">have </w:t>
      </w:r>
      <w:r w:rsidR="00100801">
        <w:t>crop production</w:t>
      </w:r>
      <w:r w:rsidR="009839B2" w:rsidRPr="008B7C2F">
        <w:t xml:space="preserve"> as the</w:t>
      </w:r>
      <w:r w:rsidR="00100801">
        <w:t>ir</w:t>
      </w:r>
      <w:r w:rsidR="009839B2" w:rsidRPr="008B7C2F">
        <w:t xml:space="preserve"> main </w:t>
      </w:r>
      <w:r w:rsidR="0060117C" w:rsidRPr="008B7C2F">
        <w:t>source of revenue</w:t>
      </w:r>
      <w:r w:rsidR="00225BBA">
        <w:t xml:space="preserve"> from </w:t>
      </w:r>
      <w:r w:rsidR="000C77F3">
        <w:t>those</w:t>
      </w:r>
      <w:r w:rsidR="00394644">
        <w:t xml:space="preserve"> </w:t>
      </w:r>
      <w:r w:rsidR="00353FB3">
        <w:t xml:space="preserve">with a </w:t>
      </w:r>
      <w:r w:rsidR="00394644">
        <w:t xml:space="preserve">completely integrated </w:t>
      </w:r>
      <w:r w:rsidR="00353FB3">
        <w:t>crop-</w:t>
      </w:r>
      <w:r w:rsidR="009839B2" w:rsidRPr="008B7C2F">
        <w:t>livestock production</w:t>
      </w:r>
      <w:r w:rsidR="00EE610B">
        <w:t xml:space="preserve"> system</w:t>
      </w:r>
      <w:r w:rsidR="009839B2" w:rsidRPr="008B7C2F">
        <w:t xml:space="preserve">. </w:t>
      </w:r>
      <w:r w:rsidR="0060117C" w:rsidRPr="008B7C2F">
        <w:t xml:space="preserve">Finally, </w:t>
      </w:r>
      <w:r w:rsidR="00353FB3">
        <w:t xml:space="preserve">scenarios differ by crop </w:t>
      </w:r>
      <w:r w:rsidR="00353FB3">
        <w:lastRenderedPageBreak/>
        <w:t xml:space="preserve">prices </w:t>
      </w:r>
      <w:r w:rsidR="004571DD">
        <w:t>as</w:t>
      </w:r>
      <w:r w:rsidR="00353FB3">
        <w:t xml:space="preserve"> they impact</w:t>
      </w:r>
      <w:r w:rsidR="004571DD">
        <w:t xml:space="preserve"> </w:t>
      </w:r>
      <w:r w:rsidR="00394644">
        <w:t>profitability</w:t>
      </w:r>
      <w:r w:rsidR="00353FB3">
        <w:t>, but due to space constrains</w:t>
      </w:r>
      <w:r w:rsidR="007B17D0">
        <w:t>,</w:t>
      </w:r>
      <w:r w:rsidR="004571DD">
        <w:t xml:space="preserve"> </w:t>
      </w:r>
      <w:r w:rsidR="00AA45FB">
        <w:t>we</w:t>
      </w:r>
      <w:r w:rsidR="004571DD">
        <w:t xml:space="preserve"> only</w:t>
      </w:r>
      <w:r w:rsidR="00AA45FB">
        <w:t xml:space="preserve"> us</w:t>
      </w:r>
      <w:r w:rsidR="00782E64">
        <w:t xml:space="preserve">e </w:t>
      </w:r>
      <w:r w:rsidR="004571DD">
        <w:t>medium-level</w:t>
      </w:r>
      <w:r w:rsidR="00782E64">
        <w:t xml:space="preserve"> </w:t>
      </w:r>
      <w:r w:rsidR="00AA45FB">
        <w:t>prices</w:t>
      </w:r>
      <w:r w:rsidR="00816F1B" w:rsidRPr="008B7C2F">
        <w:t>.</w:t>
      </w:r>
      <w:r w:rsidR="00A361D3">
        <w:rPr>
          <w:rStyle w:val="Refdenotaalpie"/>
          <w:szCs w:val="24"/>
        </w:rPr>
        <w:footnoteReference w:id="7"/>
      </w:r>
      <w:r w:rsidR="00816F1B" w:rsidRPr="008B7C2F">
        <w:t xml:space="preserve"> </w:t>
      </w:r>
    </w:p>
    <w:p w14:paraId="144EC50A" w14:textId="172E55A8" w:rsidR="009839B2" w:rsidRPr="008B7C2F" w:rsidRDefault="00AA45FB" w:rsidP="00BC5BB2">
      <w:r>
        <w:t>Each scenario is characterized by a crop rota</w:t>
      </w:r>
      <w:r w:rsidR="003815C6">
        <w:t xml:space="preserve">tion </w:t>
      </w:r>
      <w:r w:rsidR="00225BBA">
        <w:t xml:space="preserve">or sequence </w:t>
      </w:r>
      <w:r w:rsidR="003815C6">
        <w:t>typically observed in each set</w:t>
      </w:r>
      <w:r w:rsidR="007B17D0">
        <w:t xml:space="preserve"> of </w:t>
      </w:r>
      <w:r w:rsidR="00C7771F">
        <w:t>condition</w:t>
      </w:r>
      <w:r w:rsidR="007B17D0">
        <w:t>s</w:t>
      </w:r>
      <w:r w:rsidR="004571DD">
        <w:t>,</w:t>
      </w:r>
      <w:r w:rsidR="00272777">
        <w:t xml:space="preserve"> </w:t>
      </w:r>
      <w:r w:rsidR="00394644" w:rsidRPr="008B7C2F">
        <w:t>compl</w:t>
      </w:r>
      <w:r w:rsidR="005D529C">
        <w:t>ying</w:t>
      </w:r>
      <w:r w:rsidR="00394644" w:rsidRPr="008B7C2F">
        <w:t xml:space="preserve"> with existing regulations </w:t>
      </w:r>
      <w:r>
        <w:t xml:space="preserve">on </w:t>
      </w:r>
      <w:r w:rsidR="00394644" w:rsidRPr="0058420F">
        <w:t>soil use and management implemented by the environment</w:t>
      </w:r>
      <w:r w:rsidR="007B17D0">
        <w:t xml:space="preserve">al and agricultural authorities. </w:t>
      </w:r>
      <w:r w:rsidR="005D529C">
        <w:t>S</w:t>
      </w:r>
      <w:r w:rsidR="00EA41E9">
        <w:t>upplementary material 1 show</w:t>
      </w:r>
      <w:r w:rsidR="005D529C">
        <w:t>s</w:t>
      </w:r>
      <w:r w:rsidR="003815C6">
        <w:t xml:space="preserve"> </w:t>
      </w:r>
      <w:r w:rsidR="00EA41E9">
        <w:t xml:space="preserve">the </w:t>
      </w:r>
      <w:r w:rsidR="004571DD">
        <w:t>cr</w:t>
      </w:r>
      <w:r w:rsidR="00C7771F">
        <w:t>op rotations</w:t>
      </w:r>
      <w:r w:rsidR="002D40C1">
        <w:t xml:space="preserve"> by scenario</w:t>
      </w:r>
      <w:r w:rsidR="00C7771F">
        <w:t>.</w:t>
      </w:r>
    </w:p>
    <w:p w14:paraId="2CE9DAAA" w14:textId="6DBF82FD" w:rsidR="009839B2" w:rsidRPr="009839B2" w:rsidRDefault="009015BF" w:rsidP="00BC5BB2">
      <w:pPr>
        <w:rPr>
          <w:color w:val="FF0000"/>
        </w:rPr>
      </w:pPr>
      <w:r>
        <w:t>To characterize the</w:t>
      </w:r>
      <w:r w:rsidR="00C7771F">
        <w:t xml:space="preserve"> yield</w:t>
      </w:r>
      <w:r>
        <w:t xml:space="preserve"> marginal density</w:t>
      </w:r>
      <w:r w:rsidR="00C7771F">
        <w:t xml:space="preserve"> </w:t>
      </w:r>
      <w:r>
        <w:t xml:space="preserve">function of crop </w:t>
      </w:r>
      <w:r w:rsidR="00393781">
        <w:rPr>
          <w:i/>
        </w:rPr>
        <w:t>j</w:t>
      </w:r>
      <w:r>
        <w:rPr>
          <w:rFonts w:eastAsiaTheme="minorEastAsia"/>
        </w:rPr>
        <w:t>,</w:t>
      </w:r>
      <w:r w:rsidR="00EE610B" w:rsidRPr="00EC61D2">
        <w:rPr>
          <w:rFonts w:eastAsiaTheme="minorEastAsia"/>
          <w:position w:val="-14"/>
        </w:rPr>
        <w:object w:dxaOrig="639" w:dyaOrig="380" w14:anchorId="29C6F626">
          <v:shape id="_x0000_i1045" type="#_x0000_t75" style="width:32.2pt;height:18.55pt" o:ole="">
            <v:imagedata r:id="rId48" o:title=""/>
          </v:shape>
          <o:OLEObject Type="Embed" ProgID="Equation.DSMT4" ShapeID="_x0000_i1045" DrawAspect="Content" ObjectID="_1657379037" r:id="rId49"/>
        </w:object>
      </w:r>
      <w:proofErr w:type="gramStart"/>
      <w:r>
        <w:rPr>
          <w:rFonts w:eastAsiaTheme="minorEastAsia"/>
        </w:rPr>
        <w:t>,</w:t>
      </w:r>
      <w:proofErr w:type="gramEnd"/>
      <w:r>
        <w:rPr>
          <w:rFonts w:eastAsiaTheme="minorEastAsia"/>
        </w:rPr>
        <w:t xml:space="preserve"> </w:t>
      </w:r>
      <w:r w:rsidR="0091395D">
        <w:t xml:space="preserve">we </w:t>
      </w:r>
      <w:r w:rsidR="007B17D0">
        <w:t>begin by</w:t>
      </w:r>
      <w:r w:rsidR="0091395D">
        <w:t xml:space="preserve"> detrend</w:t>
      </w:r>
      <w:r w:rsidR="007B17D0">
        <w:t>ing</w:t>
      </w:r>
      <w:r w:rsidR="0091395D">
        <w:t xml:space="preserve"> </w:t>
      </w:r>
      <w:r w:rsidR="009839B2" w:rsidRPr="00A4178B">
        <w:t>a time-series of annual observed non-irrigated yields (MGAP</w:t>
      </w:r>
      <w:r w:rsidR="00820200">
        <w:t>-DIEA</w:t>
      </w:r>
      <w:r w:rsidR="009839B2" w:rsidRPr="00A4178B">
        <w:t>)</w:t>
      </w:r>
      <w:r w:rsidR="00A4178B" w:rsidRPr="00A4178B">
        <w:t>.</w:t>
      </w:r>
      <w:r w:rsidR="007B17D0">
        <w:t xml:space="preserve"> W</w:t>
      </w:r>
      <w:r w:rsidR="009839B2" w:rsidRPr="0056727C">
        <w:t xml:space="preserve">e </w:t>
      </w:r>
      <w:r w:rsidR="007B17D0">
        <w:t xml:space="preserve">then </w:t>
      </w:r>
      <w:r w:rsidR="009839B2" w:rsidRPr="0056727C">
        <w:t xml:space="preserve">multiply the series by </w:t>
      </w:r>
      <w:r w:rsidR="003837B1">
        <w:t xml:space="preserve">the </w:t>
      </w:r>
      <w:r w:rsidR="009839B2" w:rsidRPr="0056727C">
        <w:t>average yields</w:t>
      </w:r>
      <w:r w:rsidR="004419E8">
        <w:t xml:space="preserve"> between </w:t>
      </w:r>
      <w:r w:rsidR="003837B1">
        <w:t>201</w:t>
      </w:r>
      <w:r w:rsidR="00792AFE">
        <w:t>1</w:t>
      </w:r>
      <w:r w:rsidR="003837B1">
        <w:t>-201</w:t>
      </w:r>
      <w:r w:rsidR="00792AFE">
        <w:t>4</w:t>
      </w:r>
      <w:r w:rsidR="007B17D0">
        <w:t xml:space="preserve">, and </w:t>
      </w:r>
      <w:r w:rsidR="0056727C" w:rsidRPr="0056727C">
        <w:t xml:space="preserve">following DiNardo and Tobias </w:t>
      </w:r>
      <w:r w:rsidR="0091395D">
        <w:t>(</w:t>
      </w:r>
      <w:r w:rsidR="0056727C" w:rsidRPr="0056727C">
        <w:t>2001</w:t>
      </w:r>
      <w:r w:rsidR="0091395D">
        <w:t>)</w:t>
      </w:r>
      <w:r w:rsidR="0056727C" w:rsidRPr="0056727C">
        <w:t xml:space="preserve">, </w:t>
      </w:r>
      <w:r w:rsidR="009839B2" w:rsidRPr="0056727C">
        <w:t>we fit a non-parametric density function</w:t>
      </w:r>
      <w:r w:rsidR="009839B2" w:rsidRPr="0056727C">
        <w:rPr>
          <w:rStyle w:val="Refdenotaalpie"/>
          <w:szCs w:val="24"/>
        </w:rPr>
        <w:footnoteReference w:id="8"/>
      </w:r>
      <w:r w:rsidR="009839B2" w:rsidRPr="0056727C">
        <w:t xml:space="preserve"> to </w:t>
      </w:r>
      <w:r w:rsidR="003837B1">
        <w:t>the detrended</w:t>
      </w:r>
      <w:r w:rsidR="009839B2" w:rsidRPr="0056727C">
        <w:t xml:space="preserve"> series</w:t>
      </w:r>
      <w:r w:rsidR="00EE610B">
        <w:t xml:space="preserve">. Then we </w:t>
      </w:r>
      <w:r w:rsidR="003837B1">
        <w:t>draw</w:t>
      </w:r>
      <w:r w:rsidR="0056727C" w:rsidRPr="0056727C">
        <w:t xml:space="preserve"> </w:t>
      </w:r>
      <w:r w:rsidR="009839B2" w:rsidRPr="0056727C">
        <w:t xml:space="preserve">5000 random </w:t>
      </w:r>
      <w:r w:rsidR="003837B1">
        <w:t xml:space="preserve">deviates by </w:t>
      </w:r>
      <w:r w:rsidR="003837B1" w:rsidRPr="0056727C">
        <w:t>Mon</w:t>
      </w:r>
      <w:r w:rsidR="003837B1">
        <w:t>te Carlo simulations</w:t>
      </w:r>
      <w:r w:rsidR="00EE610B">
        <w:t xml:space="preserve">, which </w:t>
      </w:r>
      <w:r w:rsidR="004E72C4">
        <w:t>represent</w:t>
      </w:r>
      <w:r w:rsidR="007B5269">
        <w:t xml:space="preserve"> the uncertain yields</w:t>
      </w:r>
      <w:r w:rsidR="003837B1">
        <w:t xml:space="preserve"> farmer</w:t>
      </w:r>
      <w:r w:rsidR="007B5269">
        <w:t>s</w:t>
      </w:r>
      <w:r w:rsidR="00C7771F">
        <w:t xml:space="preserve"> face. We </w:t>
      </w:r>
      <w:r w:rsidR="004E72C4">
        <w:t>conduct</w:t>
      </w:r>
      <w:r w:rsidR="00C7771F">
        <w:t xml:space="preserve"> this exercise for </w:t>
      </w:r>
      <w:r w:rsidR="00087949" w:rsidRPr="0056727C">
        <w:t>soybean as first and second crop (S1, S2), corn as first and second crop (M1, M2), and wheat (W)</w:t>
      </w:r>
      <w:r w:rsidR="003815C6">
        <w:t>,</w:t>
      </w:r>
      <w:r w:rsidR="007B5269">
        <w:t xml:space="preserve"> which are the crops we use in the </w:t>
      </w:r>
      <w:r w:rsidR="00C7771F">
        <w:t>scenarios presented in this paper.</w:t>
      </w:r>
      <w:r w:rsidR="00087949" w:rsidRPr="0056727C">
        <w:rPr>
          <w:rStyle w:val="Refdenotaalpie"/>
          <w:szCs w:val="24"/>
        </w:rPr>
        <w:footnoteReference w:id="9"/>
      </w:r>
      <w:r w:rsidR="00087949" w:rsidRPr="0056727C">
        <w:t xml:space="preserve"> </w:t>
      </w:r>
      <w:r w:rsidR="003837B1">
        <w:t xml:space="preserve">Finally, </w:t>
      </w:r>
      <w:r w:rsidR="004C58BA">
        <w:rPr>
          <w:noProof/>
          <w:lang w:eastAsia="es-MX"/>
        </w:rPr>
        <w:t xml:space="preserve">we </w:t>
      </w:r>
      <w:r w:rsidR="00C7771F">
        <w:rPr>
          <w:noProof/>
          <w:lang w:eastAsia="es-MX"/>
        </w:rPr>
        <w:t xml:space="preserve">change </w:t>
      </w:r>
      <w:r w:rsidR="009839B2" w:rsidRPr="00C0498A">
        <w:rPr>
          <w:noProof/>
          <w:lang w:eastAsia="es-MX"/>
        </w:rPr>
        <w:t>the support of the density function</w:t>
      </w:r>
      <w:r w:rsidR="003815C6">
        <w:rPr>
          <w:noProof/>
          <w:lang w:eastAsia="es-MX"/>
        </w:rPr>
        <w:t xml:space="preserve"> (</w:t>
      </w:r>
      <w:r w:rsidR="00C7771F">
        <w:rPr>
          <w:noProof/>
          <w:lang w:eastAsia="es-MX"/>
        </w:rPr>
        <w:t xml:space="preserve">its </w:t>
      </w:r>
      <w:r w:rsidR="00C0498A" w:rsidRPr="00C0498A">
        <w:rPr>
          <w:noProof/>
          <w:lang w:eastAsia="es-MX"/>
        </w:rPr>
        <w:t xml:space="preserve">mean and </w:t>
      </w:r>
      <w:r w:rsidR="00291C3E">
        <w:rPr>
          <w:noProof/>
          <w:lang w:eastAsia="es-MX"/>
        </w:rPr>
        <w:t>range</w:t>
      </w:r>
      <w:r w:rsidR="003815C6">
        <w:rPr>
          <w:noProof/>
          <w:lang w:eastAsia="es-MX"/>
        </w:rPr>
        <w:t>)</w:t>
      </w:r>
      <w:r w:rsidR="00CE4A02">
        <w:rPr>
          <w:noProof/>
          <w:lang w:eastAsia="es-MX"/>
        </w:rPr>
        <w:t xml:space="preserve"> such that the descriptive statistics match those </w:t>
      </w:r>
      <w:r w:rsidR="009839B2" w:rsidRPr="00C0498A">
        <w:rPr>
          <w:noProof/>
          <w:lang w:eastAsia="es-MX"/>
        </w:rPr>
        <w:t xml:space="preserve">registered in the </w:t>
      </w:r>
      <w:r w:rsidR="007B5269">
        <w:rPr>
          <w:noProof/>
          <w:lang w:eastAsia="es-MX"/>
        </w:rPr>
        <w:t>conditions</w:t>
      </w:r>
      <w:r w:rsidR="009839B2" w:rsidRPr="00C0498A">
        <w:rPr>
          <w:noProof/>
          <w:lang w:eastAsia="es-MX"/>
        </w:rPr>
        <w:t xml:space="preserve"> we seek to represent. </w:t>
      </w:r>
      <w:r w:rsidR="00CE4A02">
        <w:rPr>
          <w:noProof/>
          <w:lang w:eastAsia="es-MX"/>
        </w:rPr>
        <w:t xml:space="preserve">This transformation is calibrated with observed data of non-irrigated crops </w:t>
      </w:r>
      <w:r w:rsidR="00C7771F">
        <w:rPr>
          <w:noProof/>
          <w:lang w:eastAsia="es-MX"/>
        </w:rPr>
        <w:t>of</w:t>
      </w:r>
      <w:r w:rsidR="00CE4A02">
        <w:rPr>
          <w:noProof/>
          <w:lang w:eastAsia="es-MX"/>
        </w:rPr>
        <w:t xml:space="preserve"> commercial farms.</w:t>
      </w:r>
      <w:r w:rsidR="00D13636">
        <w:rPr>
          <w:rStyle w:val="Refdenotaalpie"/>
          <w:noProof/>
          <w:szCs w:val="24"/>
          <w:lang w:eastAsia="es-MX"/>
        </w:rPr>
        <w:footnoteReference w:id="10"/>
      </w:r>
      <w:r w:rsidR="00D13636">
        <w:rPr>
          <w:noProof/>
          <w:lang w:eastAsia="es-MX"/>
        </w:rPr>
        <w:t xml:space="preserve"> </w:t>
      </w:r>
    </w:p>
    <w:p w14:paraId="227670EB" w14:textId="70C604E7" w:rsidR="009839B2" w:rsidRPr="009839B2" w:rsidRDefault="006206D5" w:rsidP="00BC5BB2">
      <w:pPr>
        <w:rPr>
          <w:color w:val="FF0000"/>
        </w:rPr>
      </w:pPr>
      <w:r w:rsidRPr="006206D5">
        <w:lastRenderedPageBreak/>
        <w:t>We do not observe long enough historical time-</w:t>
      </w:r>
      <w:r w:rsidR="007B5269">
        <w:t xml:space="preserve">series of irrigated crops as we do for </w:t>
      </w:r>
      <w:r w:rsidRPr="006206D5">
        <w:t>rain-fed systems</w:t>
      </w:r>
      <w:r w:rsidR="009C168B">
        <w:t>,</w:t>
      </w:r>
      <w:r w:rsidR="00910EEB">
        <w:t xml:space="preserve"> </w:t>
      </w:r>
      <w:r w:rsidR="00060A5B">
        <w:t>as</w:t>
      </w:r>
      <w:r w:rsidR="007B5269">
        <w:t xml:space="preserve"> </w:t>
      </w:r>
      <w:r w:rsidR="00225BBA">
        <w:t>supplemented</w:t>
      </w:r>
      <w:r w:rsidR="004E72C4">
        <w:t xml:space="preserve"> </w:t>
      </w:r>
      <w:r w:rsidR="00910EEB">
        <w:t>irrigation</w:t>
      </w:r>
      <w:r w:rsidR="004E72C4">
        <w:t xml:space="preserve"> expanded only recently</w:t>
      </w:r>
      <w:r w:rsidR="009839B2" w:rsidRPr="006206D5">
        <w:t xml:space="preserve">. </w:t>
      </w:r>
      <w:r w:rsidR="009C168B">
        <w:t>To solve this</w:t>
      </w:r>
      <w:r w:rsidR="009839B2" w:rsidRPr="006206D5">
        <w:t xml:space="preserve">, we take the draws of rain-fed crop </w:t>
      </w:r>
      <w:r w:rsidR="00393781">
        <w:rPr>
          <w:i/>
        </w:rPr>
        <w:t>j</w:t>
      </w:r>
      <w:r w:rsidR="00DC2E02">
        <w:t xml:space="preserve"> </w:t>
      </w:r>
      <w:r w:rsidR="009839B2" w:rsidRPr="006206D5">
        <w:t xml:space="preserve">and transform </w:t>
      </w:r>
      <w:r w:rsidR="00DC2E02">
        <w:t xml:space="preserve">its </w:t>
      </w:r>
      <w:r w:rsidR="009839B2" w:rsidRPr="006206D5">
        <w:t xml:space="preserve">support </w:t>
      </w:r>
      <w:r w:rsidR="00DC2E02">
        <w:t xml:space="preserve">to match </w:t>
      </w:r>
      <w:r w:rsidR="009839B2" w:rsidRPr="006206D5">
        <w:t xml:space="preserve">the observed </w:t>
      </w:r>
      <w:r w:rsidR="00F24E9B">
        <w:t>statistics</w:t>
      </w:r>
      <w:r w:rsidR="004E72C4">
        <w:t xml:space="preserve"> (mean</w:t>
      </w:r>
      <w:r w:rsidR="00225BBA">
        <w:t>,</w:t>
      </w:r>
      <w:r w:rsidR="004E72C4">
        <w:t xml:space="preserve"> standard deviation</w:t>
      </w:r>
      <w:r w:rsidR="00225BBA">
        <w:t>, coefficient of variation, minimum and maximum</w:t>
      </w:r>
      <w:r w:rsidR="004E72C4">
        <w:t>)</w:t>
      </w:r>
      <w:r w:rsidR="009839B2" w:rsidRPr="006206D5">
        <w:t xml:space="preserve"> of the </w:t>
      </w:r>
      <w:r w:rsidR="00DC2E02">
        <w:t xml:space="preserve">surveyed commercial farms </w:t>
      </w:r>
      <w:r w:rsidR="00F1691A">
        <w:t>for each</w:t>
      </w:r>
      <w:r w:rsidR="00DC2E02">
        <w:t xml:space="preserve"> desired scenario</w:t>
      </w:r>
      <w:r w:rsidR="004E72C4">
        <w:t>. F</w:t>
      </w:r>
      <w:r w:rsidR="00F1691A">
        <w:t>inally</w:t>
      </w:r>
      <w:r w:rsidR="00DC2E02">
        <w:t xml:space="preserve">, </w:t>
      </w:r>
      <w:r w:rsidR="009C168B">
        <w:t xml:space="preserve">we </w:t>
      </w:r>
      <w:r w:rsidR="00DC2E02">
        <w:t>generate 5000 random draws by Monte Carlo</w:t>
      </w:r>
      <w:r w:rsidR="007B5269">
        <w:t xml:space="preserve"> simulations</w:t>
      </w:r>
      <w:r w:rsidR="00DC2E02">
        <w:t>.</w:t>
      </w:r>
    </w:p>
    <w:p w14:paraId="34D6B3F3" w14:textId="1763719C" w:rsidR="009839B2" w:rsidRDefault="007F74CD" w:rsidP="00BC5BB2">
      <w:r w:rsidRPr="007F74CD">
        <w:t>Using historical</w:t>
      </w:r>
      <w:r w:rsidR="007B5269">
        <w:t xml:space="preserve"> price</w:t>
      </w:r>
      <w:r w:rsidR="009839B2" w:rsidRPr="007F74CD">
        <w:t xml:space="preserve"> time-series of </w:t>
      </w:r>
      <w:r w:rsidR="00F1691A">
        <w:t xml:space="preserve">each </w:t>
      </w:r>
      <w:r w:rsidR="009839B2" w:rsidRPr="007F74CD">
        <w:t xml:space="preserve">crop </w:t>
      </w:r>
      <w:r w:rsidR="00393781" w:rsidRPr="00393781">
        <w:rPr>
          <w:i/>
        </w:rPr>
        <w:t>j</w:t>
      </w:r>
      <w:r w:rsidRPr="007F74CD">
        <w:t>,</w:t>
      </w:r>
      <w:r w:rsidR="009839B2" w:rsidRPr="007F74CD">
        <w:t xml:space="preserve"> taken from Index Mundi </w:t>
      </w:r>
      <w:r w:rsidR="00F1691A">
        <w:t>and</w:t>
      </w:r>
      <w:r w:rsidR="009839B2" w:rsidRPr="007F74CD">
        <w:t xml:space="preserve"> “Cámara Mercantil de Productos del País” (CMPP) in Uruguay, we compute the</w:t>
      </w:r>
      <w:r w:rsidR="00F1691A">
        <w:t>ir</w:t>
      </w:r>
      <w:r w:rsidR="009839B2" w:rsidRPr="007F74CD">
        <w:t xml:space="preserve"> impl</w:t>
      </w:r>
      <w:r w:rsidR="00772380">
        <w:t>icit volatility</w:t>
      </w:r>
      <w:r w:rsidR="00F1691A">
        <w:t>. We then</w:t>
      </w:r>
      <w:r w:rsidRPr="007F74CD">
        <w:t xml:space="preserve"> generate r</w:t>
      </w:r>
      <w:r w:rsidR="009839B2" w:rsidRPr="007F74CD">
        <w:t xml:space="preserve">andom </w:t>
      </w:r>
      <w:r w:rsidR="00393781">
        <w:t xml:space="preserve">deviates from a </w:t>
      </w:r>
      <w:r w:rsidR="00393781" w:rsidRPr="00225BBA">
        <w:t>Lognormal</w:t>
      </w:r>
      <w:r w:rsidR="00393781">
        <w:t xml:space="preserve"> distribution with mean equal to the price of</w:t>
      </w:r>
      <w:r w:rsidR="000A2F19">
        <w:t xml:space="preserve"> crop </w:t>
      </w:r>
      <w:r w:rsidR="000A2F19" w:rsidRPr="000A2F19">
        <w:rPr>
          <w:i/>
        </w:rPr>
        <w:t>j</w:t>
      </w:r>
      <w:r w:rsidR="000A2F19">
        <w:t xml:space="preserve"> in</w:t>
      </w:r>
      <w:r w:rsidR="00393781">
        <w:t xml:space="preserve"> the corresponding scenario and variance equal to the computed implicit volatility.</w:t>
      </w:r>
      <w:r w:rsidR="000A2F19">
        <w:t xml:space="preserve"> </w:t>
      </w:r>
      <w:r w:rsidR="006946C0">
        <w:t>P</w:t>
      </w:r>
      <w:r w:rsidR="000A2F19">
        <w:t>rices</w:t>
      </w:r>
      <w:r w:rsidR="006946C0">
        <w:t xml:space="preserve"> of crop </w:t>
      </w:r>
      <w:r w:rsidR="006946C0" w:rsidRPr="006946C0">
        <w:rPr>
          <w:i/>
        </w:rPr>
        <w:t>j</w:t>
      </w:r>
      <w:r w:rsidR="000A2F19">
        <w:t xml:space="preserve"> are draw</w:t>
      </w:r>
      <w:r w:rsidR="00F1691A">
        <w:t>n</w:t>
      </w:r>
      <w:r w:rsidR="000A2F19">
        <w:t xml:space="preserve"> to be correlated with yields</w:t>
      </w:r>
      <w:r w:rsidR="006946C0">
        <w:t xml:space="preserve">, as </w:t>
      </w:r>
      <w:r w:rsidR="00A61ED4">
        <w:t>captured</w:t>
      </w:r>
      <w:r w:rsidR="006946C0">
        <w:t xml:space="preserve"> by</w:t>
      </w:r>
      <w:r w:rsidR="00A61ED4">
        <w:t xml:space="preserve"> the </w:t>
      </w:r>
      <w:r w:rsidR="006946C0">
        <w:t xml:space="preserve">joint density </w:t>
      </w:r>
      <w:proofErr w:type="gramStart"/>
      <w:r w:rsidR="006946C0">
        <w:t xml:space="preserve">function </w:t>
      </w:r>
      <w:proofErr w:type="gramEnd"/>
      <w:r w:rsidR="00582B8D" w:rsidRPr="00EC61D2">
        <w:rPr>
          <w:rFonts w:eastAsiaTheme="minorEastAsia"/>
          <w:position w:val="-14"/>
        </w:rPr>
        <w:object w:dxaOrig="940" w:dyaOrig="400" w14:anchorId="50DDDB42">
          <v:shape id="_x0000_i1046" type="#_x0000_t75" style="width:46.35pt;height:21.25pt" o:ole="">
            <v:imagedata r:id="rId50" o:title=""/>
          </v:shape>
          <o:OLEObject Type="Embed" ProgID="Equation.DSMT4" ShapeID="_x0000_i1046" DrawAspect="Content" ObjectID="_1657379038" r:id="rId51"/>
        </w:object>
      </w:r>
      <w:r w:rsidR="00F1691A">
        <w:rPr>
          <w:rFonts w:eastAsiaTheme="minorEastAsia"/>
        </w:rPr>
        <w:t xml:space="preserve">, using </w:t>
      </w:r>
      <w:r w:rsidR="006946C0">
        <w:rPr>
          <w:rFonts w:eastAsiaTheme="minorEastAsia"/>
        </w:rPr>
        <w:t>the approach proposed by Johnson and Tenenbein (1981) to correlate bivariate distributions</w:t>
      </w:r>
      <w:r w:rsidR="009839B2" w:rsidRPr="007F74CD">
        <w:t>.</w:t>
      </w:r>
    </w:p>
    <w:p w14:paraId="2BC23D2E" w14:textId="661896D5" w:rsidR="00052A4F" w:rsidRDefault="000A2F19" w:rsidP="00BC5BB2">
      <w:r>
        <w:t xml:space="preserve">Crop </w:t>
      </w:r>
      <w:r w:rsidRPr="003C74DB">
        <w:rPr>
          <w:i/>
        </w:rPr>
        <w:t>j</w:t>
      </w:r>
      <w:r>
        <w:t xml:space="preserve"> costs </w:t>
      </w:r>
      <w:r w:rsidR="003C74DB">
        <w:t>(</w:t>
      </w:r>
      <w:r w:rsidR="003C74DB" w:rsidRPr="00732A68">
        <w:t>input</w:t>
      </w:r>
      <w:r w:rsidR="003C74DB">
        <w:t>s</w:t>
      </w:r>
      <w:r w:rsidR="003C74DB" w:rsidRPr="00732A68">
        <w:t xml:space="preserve">, farm hired labor, irrigation costs, post-harvest costs, cost of water, and irrigation equipment </w:t>
      </w:r>
      <w:r w:rsidR="003C74DB">
        <w:t xml:space="preserve">recovery </w:t>
      </w:r>
      <w:r w:rsidR="003C74DB" w:rsidRPr="00732A68">
        <w:t>in a 12 years lifetime</w:t>
      </w:r>
      <w:r w:rsidR="003C74DB">
        <w:t xml:space="preserve">) </w:t>
      </w:r>
      <w:r>
        <w:t xml:space="preserve">are </w:t>
      </w:r>
      <w:r w:rsidR="007F74CD" w:rsidRPr="00732A68">
        <w:t xml:space="preserve">obtained </w:t>
      </w:r>
      <w:r>
        <w:t xml:space="preserve">from </w:t>
      </w:r>
      <w:r w:rsidR="007F74CD" w:rsidRPr="00732A68">
        <w:t xml:space="preserve">observed </w:t>
      </w:r>
      <w:r>
        <w:t xml:space="preserve">data on </w:t>
      </w:r>
      <w:r w:rsidR="007F74CD" w:rsidRPr="00732A68">
        <w:t>commercial farms</w:t>
      </w:r>
      <w:r w:rsidR="003C74DB">
        <w:t xml:space="preserve">, </w:t>
      </w:r>
      <w:r w:rsidR="00910EEB">
        <w:t xml:space="preserve">for each scenario (see footnote </w:t>
      </w:r>
      <w:r w:rsidR="00910EEB" w:rsidRPr="002D32A3">
        <w:t>#10</w:t>
      </w:r>
      <w:r w:rsidR="00910EEB">
        <w:t>).</w:t>
      </w:r>
      <w:r w:rsidR="004E72C4">
        <w:rPr>
          <w:rStyle w:val="Refdenotaalpie"/>
          <w:szCs w:val="24"/>
        </w:rPr>
        <w:footnoteReference w:id="11"/>
      </w:r>
    </w:p>
    <w:p w14:paraId="55B1E7A0" w14:textId="77777777" w:rsidR="00B21801" w:rsidRPr="00732A68" w:rsidRDefault="00B21801" w:rsidP="00BC5BB2">
      <w:r>
        <w:t xml:space="preserve">We compute the random profit for each rotation and plug it in equation (2) to calculate the corresponding </w:t>
      </w:r>
      <w:r w:rsidR="00272777" w:rsidRPr="004A1B43">
        <w:rPr>
          <w:i/>
        </w:rPr>
        <w:t>CE</w:t>
      </w:r>
      <w:r w:rsidR="00272777">
        <w:t>.</w:t>
      </w:r>
    </w:p>
    <w:p w14:paraId="0D4D05FE" w14:textId="575761B6" w:rsidR="008928B1" w:rsidRDefault="00E14443" w:rsidP="00E14443">
      <w:pPr>
        <w:ind w:firstLine="708"/>
        <w:rPr>
          <w:lang w:val="en-GB"/>
        </w:rPr>
      </w:pPr>
      <w:r w:rsidRPr="00E14443">
        <w:rPr>
          <w:i/>
          <w:lang w:val="en-GB"/>
        </w:rPr>
        <w:t>Data simulation and sources</w:t>
      </w:r>
      <w:r>
        <w:rPr>
          <w:i/>
          <w:lang w:val="en-GB"/>
        </w:rPr>
        <w:t xml:space="preserve"> for </w:t>
      </w:r>
      <w:r w:rsidR="00F87D0D" w:rsidRPr="00E14443">
        <w:rPr>
          <w:i/>
          <w:lang w:val="en-GB"/>
        </w:rPr>
        <w:t>Livestock production</w:t>
      </w:r>
      <w:r>
        <w:rPr>
          <w:i/>
          <w:lang w:val="en-GB"/>
        </w:rPr>
        <w:t xml:space="preserve">. </w:t>
      </w:r>
      <w:r w:rsidR="001622D7">
        <w:t xml:space="preserve">In </w:t>
      </w:r>
      <w:r w:rsidR="00FE61BA">
        <w:t>this</w:t>
      </w:r>
      <w:r w:rsidR="001622D7">
        <w:t xml:space="preserve"> </w:t>
      </w:r>
      <w:r w:rsidR="004717D4">
        <w:rPr>
          <w:lang w:val="en-GB"/>
        </w:rPr>
        <w:t xml:space="preserve">application, </w:t>
      </w:r>
      <w:r w:rsidR="00040116">
        <w:rPr>
          <w:lang w:val="en-GB"/>
        </w:rPr>
        <w:t xml:space="preserve">the </w:t>
      </w:r>
      <w:r w:rsidR="001622D7">
        <w:rPr>
          <w:lang w:val="en-GB"/>
        </w:rPr>
        <w:t xml:space="preserve">farmer productivity is </w:t>
      </w:r>
      <w:r w:rsidR="004717D4">
        <w:rPr>
          <w:lang w:val="en-GB"/>
        </w:rPr>
        <w:t>t</w:t>
      </w:r>
      <w:r w:rsidR="003924A6" w:rsidRPr="00F7089E">
        <w:rPr>
          <w:lang w:val="en-GB"/>
        </w:rPr>
        <w:t>he random</w:t>
      </w:r>
      <w:r w:rsidR="00A3339E">
        <w:rPr>
          <w:lang w:val="en-GB"/>
        </w:rPr>
        <w:t xml:space="preserve"> </w:t>
      </w:r>
      <w:proofErr w:type="gramStart"/>
      <w:r w:rsidR="003924A6" w:rsidRPr="00F7089E">
        <w:rPr>
          <w:lang w:val="en-GB"/>
        </w:rPr>
        <w:t>variable</w:t>
      </w:r>
      <w:r w:rsidR="004874F1">
        <w:rPr>
          <w:lang w:val="en-GB"/>
        </w:rPr>
        <w:t xml:space="preserve"> </w:t>
      </w:r>
      <w:proofErr w:type="gramEnd"/>
      <w:r w:rsidR="004874F1" w:rsidRPr="00631D47">
        <w:rPr>
          <w:position w:val="-14"/>
          <w:lang w:val="en-GB"/>
        </w:rPr>
        <w:object w:dxaOrig="1320" w:dyaOrig="380" w14:anchorId="6A314971">
          <v:shape id="_x0000_i1047" type="#_x0000_t75" style="width:66pt;height:18.55pt" o:ole="">
            <v:imagedata r:id="rId52" o:title=""/>
          </v:shape>
          <o:OLEObject Type="Embed" ProgID="Equation.DSMT4" ShapeID="_x0000_i1047" DrawAspect="Content" ObjectID="_1657379039" r:id="rId53"/>
        </w:object>
      </w:r>
      <w:r w:rsidR="00265089">
        <w:rPr>
          <w:lang w:val="en-GB"/>
        </w:rPr>
        <w:t xml:space="preserve">, </w:t>
      </w:r>
      <w:r w:rsidR="00D6306D">
        <w:rPr>
          <w:lang w:val="en-GB"/>
        </w:rPr>
        <w:t xml:space="preserve">which </w:t>
      </w:r>
      <w:r w:rsidR="00857BDD">
        <w:rPr>
          <w:lang w:val="en-GB"/>
        </w:rPr>
        <w:t>is obtained</w:t>
      </w:r>
      <w:r w:rsidR="001622D7">
        <w:rPr>
          <w:lang w:val="en-GB"/>
        </w:rPr>
        <w:t xml:space="preserve"> from </w:t>
      </w:r>
      <w:r w:rsidR="003924A6" w:rsidRPr="00F7089E">
        <w:rPr>
          <w:lang w:val="en-GB"/>
        </w:rPr>
        <w:t xml:space="preserve">simulations of the </w:t>
      </w:r>
      <w:r w:rsidR="001622D7" w:rsidRPr="001622D7">
        <w:t xml:space="preserve">Model of </w:t>
      </w:r>
      <w:r w:rsidR="003924A6" w:rsidRPr="00F7089E">
        <w:rPr>
          <w:lang w:val="en-GB"/>
        </w:rPr>
        <w:t xml:space="preserve">Extensive Livestock </w:t>
      </w:r>
      <w:r w:rsidR="00D6306D">
        <w:rPr>
          <w:lang w:val="en-GB"/>
        </w:rPr>
        <w:t>Operation (</w:t>
      </w:r>
      <w:r w:rsidR="003924A6" w:rsidRPr="00F7089E">
        <w:rPr>
          <w:lang w:val="en-GB"/>
        </w:rPr>
        <w:t>MEGANE)</w:t>
      </w:r>
      <w:r w:rsidR="005769C8">
        <w:rPr>
          <w:lang w:val="en-GB"/>
        </w:rPr>
        <w:t xml:space="preserve"> </w:t>
      </w:r>
      <w:r w:rsidR="001622D7">
        <w:rPr>
          <w:lang w:val="en-GB"/>
        </w:rPr>
        <w:t xml:space="preserve">developed </w:t>
      </w:r>
      <w:r w:rsidR="00D6306D">
        <w:rPr>
          <w:lang w:val="en-GB"/>
        </w:rPr>
        <w:t>by the</w:t>
      </w:r>
      <w:r w:rsidR="003924A6" w:rsidRPr="00F7089E">
        <w:rPr>
          <w:lang w:val="en-GB"/>
        </w:rPr>
        <w:t xml:space="preserve"> </w:t>
      </w:r>
      <w:r w:rsidR="00D6306D">
        <w:rPr>
          <w:lang w:val="en-GB"/>
        </w:rPr>
        <w:lastRenderedPageBreak/>
        <w:t xml:space="preserve">Agricultural Plan Institute of </w:t>
      </w:r>
      <w:r w:rsidR="001622D7">
        <w:rPr>
          <w:lang w:val="en-GB"/>
        </w:rPr>
        <w:t xml:space="preserve">Uruguay </w:t>
      </w:r>
      <w:r w:rsidR="003924A6" w:rsidRPr="00F7089E">
        <w:rPr>
          <w:lang w:val="en-GB"/>
        </w:rPr>
        <w:t xml:space="preserve">(Dieguez, 2012). </w:t>
      </w:r>
      <w:r w:rsidR="003C1EDB" w:rsidRPr="008B7C2F">
        <w:rPr>
          <w:lang w:val="en-GB"/>
        </w:rPr>
        <w:t xml:space="preserve">MEGANE is a </w:t>
      </w:r>
      <w:r w:rsidR="001622D7">
        <w:rPr>
          <w:lang w:val="en-GB"/>
        </w:rPr>
        <w:t xml:space="preserve">biophysical deterministic </w:t>
      </w:r>
      <w:r w:rsidR="003C1EDB" w:rsidRPr="008B7C2F">
        <w:rPr>
          <w:lang w:val="en-GB"/>
        </w:rPr>
        <w:t xml:space="preserve">dynamic model </w:t>
      </w:r>
      <w:r w:rsidR="00D6306D">
        <w:rPr>
          <w:lang w:val="en-GB"/>
        </w:rPr>
        <w:t>that relates</w:t>
      </w:r>
      <w:r w:rsidR="001622D7">
        <w:rPr>
          <w:lang w:val="en-GB"/>
        </w:rPr>
        <w:t xml:space="preserve"> </w:t>
      </w:r>
      <w:r w:rsidR="003C1EDB" w:rsidRPr="008B7C2F">
        <w:rPr>
          <w:lang w:val="en-GB"/>
        </w:rPr>
        <w:t>livesto</w:t>
      </w:r>
      <w:r w:rsidR="00265089">
        <w:rPr>
          <w:lang w:val="en-GB"/>
        </w:rPr>
        <w:t xml:space="preserve">ck weight with </w:t>
      </w:r>
      <w:r w:rsidR="001622D7">
        <w:rPr>
          <w:lang w:val="en-GB"/>
        </w:rPr>
        <w:t xml:space="preserve">natural </w:t>
      </w:r>
      <w:r w:rsidR="00265089" w:rsidRPr="008B7C2F">
        <w:rPr>
          <w:lang w:val="en-GB"/>
        </w:rPr>
        <w:t>grass</w:t>
      </w:r>
      <w:r w:rsidR="00265089">
        <w:rPr>
          <w:lang w:val="en-GB"/>
        </w:rPr>
        <w:t xml:space="preserve"> growth</w:t>
      </w:r>
      <w:r w:rsidR="00727273">
        <w:rPr>
          <w:lang w:val="en-GB"/>
        </w:rPr>
        <w:t xml:space="preserve">. It </w:t>
      </w:r>
      <w:r w:rsidR="00D647E6">
        <w:rPr>
          <w:lang w:val="en-GB"/>
        </w:rPr>
        <w:t>has been</w:t>
      </w:r>
      <w:r w:rsidR="00727273">
        <w:rPr>
          <w:lang w:val="en-GB"/>
        </w:rPr>
        <w:t xml:space="preserve"> extensively used for extension and policy analysis</w:t>
      </w:r>
      <w:r w:rsidR="004E72C4">
        <w:rPr>
          <w:lang w:val="en-GB"/>
        </w:rPr>
        <w:t>;</w:t>
      </w:r>
      <w:r w:rsidR="00727273">
        <w:rPr>
          <w:lang w:val="en-GB"/>
        </w:rPr>
        <w:t xml:space="preserve"> some examples are </w:t>
      </w:r>
      <w:r w:rsidR="00727273" w:rsidRPr="00CD15B4">
        <w:rPr>
          <w:lang w:val="en-GB"/>
        </w:rPr>
        <w:t>MGAP-FAO (2013</w:t>
      </w:r>
      <w:r w:rsidR="00727273">
        <w:rPr>
          <w:lang w:val="en-GB"/>
        </w:rPr>
        <w:t>a</w:t>
      </w:r>
      <w:r w:rsidR="00727273" w:rsidRPr="00CD15B4">
        <w:rPr>
          <w:lang w:val="en-GB"/>
        </w:rPr>
        <w:t>), MGAP-FAO (2013</w:t>
      </w:r>
      <w:r w:rsidR="00727273">
        <w:rPr>
          <w:lang w:val="en-GB"/>
        </w:rPr>
        <w:t>b</w:t>
      </w:r>
      <w:r w:rsidR="00727273" w:rsidRPr="00CD15B4">
        <w:rPr>
          <w:lang w:val="en-GB"/>
        </w:rPr>
        <w:t xml:space="preserve">), </w:t>
      </w:r>
      <w:r w:rsidR="00727273">
        <w:rPr>
          <w:lang w:val="en-GB"/>
        </w:rPr>
        <w:t>and</w:t>
      </w:r>
      <w:r w:rsidR="00727273" w:rsidRPr="00CD15B4">
        <w:rPr>
          <w:lang w:val="en-GB"/>
        </w:rPr>
        <w:t xml:space="preserve"> Dieguez (2012)</w:t>
      </w:r>
      <w:r w:rsidR="008928B1">
        <w:rPr>
          <w:lang w:val="en-GB"/>
        </w:rPr>
        <w:t>.</w:t>
      </w:r>
    </w:p>
    <w:p w14:paraId="67EFDD78" w14:textId="5EEBA90E" w:rsidR="00CD15B4" w:rsidRDefault="005C4C25" w:rsidP="00BC5BB2">
      <w:pPr>
        <w:rPr>
          <w:lang w:val="en-GB"/>
        </w:rPr>
      </w:pPr>
      <w:r>
        <w:rPr>
          <w:lang w:val="en-GB"/>
        </w:rPr>
        <w:t>Remarkably, t</w:t>
      </w:r>
      <w:r w:rsidR="00727273">
        <w:rPr>
          <w:lang w:val="en-GB"/>
        </w:rPr>
        <w:t>he model</w:t>
      </w:r>
      <w:r w:rsidR="00382D6D">
        <w:rPr>
          <w:lang w:val="en-GB"/>
        </w:rPr>
        <w:t xml:space="preserve"> embed</w:t>
      </w:r>
      <w:r w:rsidR="004E72C4">
        <w:rPr>
          <w:lang w:val="en-GB"/>
        </w:rPr>
        <w:t>s</w:t>
      </w:r>
      <w:r w:rsidR="00382D6D">
        <w:rPr>
          <w:lang w:val="en-GB"/>
        </w:rPr>
        <w:t xml:space="preserve"> relationships </w:t>
      </w:r>
      <w:r w:rsidR="004E72C4">
        <w:rPr>
          <w:lang w:val="en-GB"/>
        </w:rPr>
        <w:t xml:space="preserve">calibrated </w:t>
      </w:r>
      <w:r w:rsidR="00382D6D">
        <w:rPr>
          <w:lang w:val="en-GB"/>
        </w:rPr>
        <w:t xml:space="preserve">with </w:t>
      </w:r>
      <w:r w:rsidR="00382D6D" w:rsidRPr="008B7C2F">
        <w:rPr>
          <w:lang w:val="en-GB"/>
        </w:rPr>
        <w:t xml:space="preserve">experimental </w:t>
      </w:r>
      <w:r w:rsidR="00382D6D">
        <w:rPr>
          <w:lang w:val="en-GB"/>
        </w:rPr>
        <w:t>data</w:t>
      </w:r>
      <w:r w:rsidR="004E72C4">
        <w:rPr>
          <w:lang w:val="en-GB"/>
        </w:rPr>
        <w:t>, and allows users to vary farm management decisions</w:t>
      </w:r>
      <w:r w:rsidR="009E03F9">
        <w:rPr>
          <w:lang w:val="en-GB"/>
        </w:rPr>
        <w:t xml:space="preserve"> by changing model parameters</w:t>
      </w:r>
      <w:r w:rsidR="00382D6D">
        <w:rPr>
          <w:lang w:val="en-GB"/>
        </w:rPr>
        <w:t xml:space="preserve">. </w:t>
      </w:r>
      <w:r w:rsidR="00727273">
        <w:rPr>
          <w:lang w:val="en-GB"/>
        </w:rPr>
        <w:t>As a result of the simulation</w:t>
      </w:r>
      <w:r>
        <w:rPr>
          <w:lang w:val="en-GB"/>
        </w:rPr>
        <w:t xml:space="preserve">, it </w:t>
      </w:r>
      <w:r w:rsidR="00CD15B4">
        <w:rPr>
          <w:lang w:val="en-GB"/>
        </w:rPr>
        <w:t>generates a set of output variables</w:t>
      </w:r>
      <w:r w:rsidR="00727273">
        <w:rPr>
          <w:lang w:val="en-GB"/>
        </w:rPr>
        <w:t>, namely h</w:t>
      </w:r>
      <w:r w:rsidR="00A25CD4">
        <w:rPr>
          <w:lang w:val="en-GB"/>
        </w:rPr>
        <w:t xml:space="preserve">eight of pasture, </w:t>
      </w:r>
      <w:r w:rsidR="00CD15B4" w:rsidRPr="00CD15B4">
        <w:rPr>
          <w:lang w:val="en-GB"/>
        </w:rPr>
        <w:t xml:space="preserve">pregnancy </w:t>
      </w:r>
      <w:r w:rsidR="004717D4">
        <w:rPr>
          <w:lang w:val="en-GB"/>
        </w:rPr>
        <w:t>rate,</w:t>
      </w:r>
      <w:r w:rsidR="00CD15B4">
        <w:rPr>
          <w:lang w:val="en-GB"/>
        </w:rPr>
        <w:t xml:space="preserve"> </w:t>
      </w:r>
      <w:r w:rsidR="00727273">
        <w:rPr>
          <w:lang w:val="en-GB"/>
        </w:rPr>
        <w:t xml:space="preserve">weight of </w:t>
      </w:r>
      <w:r w:rsidR="00A25CD4">
        <w:rPr>
          <w:lang w:val="en-GB"/>
        </w:rPr>
        <w:t>calves and discarded cows at selling time, and number of sheep</w:t>
      </w:r>
      <w:r w:rsidR="005C5F0E">
        <w:rPr>
          <w:lang w:val="en-GB"/>
        </w:rPr>
        <w:t>, that we use to compute t</w:t>
      </w:r>
      <w:r w:rsidR="005C5F0E">
        <w:rPr>
          <w:rFonts w:eastAsiaTheme="minorEastAsia"/>
        </w:rPr>
        <w:t xml:space="preserve">he random profits for both </w:t>
      </w:r>
      <w:r w:rsidR="005C5F0E" w:rsidRPr="000A541C">
        <w:rPr>
          <w:rFonts w:eastAsia="Calibri"/>
          <w:lang w:val="en-GB"/>
        </w:rPr>
        <w:t xml:space="preserve">proactive </w:t>
      </w:r>
      <w:r w:rsidR="005C5F0E">
        <w:rPr>
          <w:rFonts w:eastAsia="Calibri"/>
          <w:lang w:val="en-GB"/>
        </w:rPr>
        <w:t>and</w:t>
      </w:r>
      <w:r w:rsidR="005C5F0E" w:rsidRPr="000A541C">
        <w:rPr>
          <w:rFonts w:eastAsia="Calibri"/>
          <w:lang w:val="en-GB"/>
        </w:rPr>
        <w:t xml:space="preserve"> reactiv</w:t>
      </w:r>
      <w:r w:rsidR="005C5F0E">
        <w:rPr>
          <w:rFonts w:eastAsia="Calibri"/>
          <w:lang w:val="en-GB"/>
        </w:rPr>
        <w:t>e farmers</w:t>
      </w:r>
      <w:r w:rsidR="005C5F0E">
        <w:rPr>
          <w:rFonts w:eastAsiaTheme="minorEastAsia"/>
        </w:rPr>
        <w:t>.</w:t>
      </w:r>
      <w:r w:rsidR="00B01C7D">
        <w:rPr>
          <w:rStyle w:val="Refdenotaalpie"/>
          <w:szCs w:val="24"/>
          <w:lang w:val="en-GB"/>
        </w:rPr>
        <w:footnoteReference w:id="12"/>
      </w:r>
      <w:r w:rsidR="005E7693">
        <w:rPr>
          <w:lang w:val="en-GB"/>
        </w:rPr>
        <w:t xml:space="preserve"> </w:t>
      </w:r>
      <w:r w:rsidR="00727273">
        <w:rPr>
          <w:rFonts w:eastAsiaTheme="minorEastAsia"/>
        </w:rPr>
        <w:t>Supplementary material 4 presents a detailed description of the model.</w:t>
      </w:r>
    </w:p>
    <w:p w14:paraId="7810398E" w14:textId="6C247841" w:rsidR="00D647E6" w:rsidRDefault="00A25CD4" w:rsidP="00BC5BB2">
      <w:pPr>
        <w:rPr>
          <w:lang w:val="en-GB"/>
        </w:rPr>
      </w:pPr>
      <w:r>
        <w:rPr>
          <w:lang w:val="en-GB"/>
        </w:rPr>
        <w:t xml:space="preserve">A key </w:t>
      </w:r>
      <w:r w:rsidR="00BB142C" w:rsidRPr="00BB142C">
        <w:rPr>
          <w:lang w:val="en-GB"/>
        </w:rPr>
        <w:t>input variable</w:t>
      </w:r>
      <w:r w:rsidR="005E7693">
        <w:rPr>
          <w:lang w:val="en-GB"/>
        </w:rPr>
        <w:t xml:space="preserve"> </w:t>
      </w:r>
      <w:r w:rsidR="005C4C25">
        <w:rPr>
          <w:lang w:val="en-GB"/>
        </w:rPr>
        <w:t xml:space="preserve">of the model </w:t>
      </w:r>
      <w:r w:rsidR="005E7693">
        <w:rPr>
          <w:lang w:val="en-GB"/>
        </w:rPr>
        <w:t xml:space="preserve">is </w:t>
      </w:r>
      <w:r>
        <w:rPr>
          <w:lang w:val="en-GB"/>
        </w:rPr>
        <w:t>a</w:t>
      </w:r>
      <w:r w:rsidR="00BB142C" w:rsidRPr="00BB142C">
        <w:rPr>
          <w:lang w:val="en-GB"/>
        </w:rPr>
        <w:t xml:space="preserve"> </w:t>
      </w:r>
      <w:r>
        <w:rPr>
          <w:lang w:val="en-GB"/>
        </w:rPr>
        <w:t>climat</w:t>
      </w:r>
      <w:r w:rsidR="004874F1">
        <w:rPr>
          <w:lang w:val="en-GB"/>
        </w:rPr>
        <w:t>ic</w:t>
      </w:r>
      <w:r w:rsidR="00BB142C" w:rsidRPr="00BB142C">
        <w:rPr>
          <w:lang w:val="en-GB"/>
        </w:rPr>
        <w:t xml:space="preserve"> coefficient (</w:t>
      </w:r>
      <w:proofErr w:type="spellStart"/>
      <w:r w:rsidRPr="00A25CD4">
        <w:rPr>
          <w:i/>
          <w:lang w:val="en-GB"/>
        </w:rPr>
        <w:t>coefclima</w:t>
      </w:r>
      <w:proofErr w:type="spellEnd"/>
      <w:r>
        <w:rPr>
          <w:rFonts w:eastAsiaTheme="minorEastAsia"/>
        </w:rPr>
        <w:t>,</w:t>
      </w:r>
      <w:r w:rsidR="004874F1" w:rsidRPr="00DE57B8">
        <w:rPr>
          <w:position w:val="-12"/>
          <w:lang w:val="en-GB"/>
        </w:rPr>
        <w:object w:dxaOrig="240" w:dyaOrig="360" w14:anchorId="7FDB656A">
          <v:shape id="_x0000_i1048" type="#_x0000_t75" style="width:12.55pt;height:18pt" o:ole="">
            <v:imagedata r:id="rId54" o:title=""/>
          </v:shape>
          <o:OLEObject Type="Embed" ProgID="Equation.DSMT4" ShapeID="_x0000_i1048" DrawAspect="Content" ObjectID="_1657379040" r:id="rId55"/>
        </w:object>
      </w:r>
      <w:r w:rsidR="00BB142C" w:rsidRPr="00BB142C">
        <w:rPr>
          <w:lang w:val="en-GB"/>
        </w:rPr>
        <w:t>)</w:t>
      </w:r>
      <w:r w:rsidR="00BB142C">
        <w:rPr>
          <w:lang w:val="en-GB"/>
        </w:rPr>
        <w:t xml:space="preserve"> </w:t>
      </w:r>
      <w:r w:rsidR="00414C33">
        <w:rPr>
          <w:lang w:val="en-GB"/>
        </w:rPr>
        <w:t>that establishes</w:t>
      </w:r>
      <w:r>
        <w:rPr>
          <w:lang w:val="en-GB"/>
        </w:rPr>
        <w:t xml:space="preserve"> </w:t>
      </w:r>
      <w:r w:rsidR="00BB142C">
        <w:rPr>
          <w:lang w:val="en-GB"/>
        </w:rPr>
        <w:t xml:space="preserve">the link between </w:t>
      </w:r>
      <w:r>
        <w:rPr>
          <w:lang w:val="en-GB"/>
        </w:rPr>
        <w:t xml:space="preserve">climate </w:t>
      </w:r>
      <w:r w:rsidR="00F679D7">
        <w:rPr>
          <w:lang w:val="en-GB"/>
        </w:rPr>
        <w:t xml:space="preserve">and grass </w:t>
      </w:r>
      <w:r>
        <w:rPr>
          <w:lang w:val="en-GB"/>
        </w:rPr>
        <w:t>growth</w:t>
      </w:r>
      <w:r w:rsidR="00727273">
        <w:rPr>
          <w:lang w:val="en-GB"/>
        </w:rPr>
        <w:t xml:space="preserve">, </w:t>
      </w:r>
      <w:r w:rsidR="006E035D">
        <w:rPr>
          <w:lang w:val="en-GB"/>
        </w:rPr>
        <w:t>influencing</w:t>
      </w:r>
      <w:r w:rsidR="00727273">
        <w:rPr>
          <w:lang w:val="en-GB"/>
        </w:rPr>
        <w:t xml:space="preserve"> the </w:t>
      </w:r>
      <w:r w:rsidR="00727273" w:rsidRPr="008B7C2F">
        <w:rPr>
          <w:lang w:val="en-GB"/>
        </w:rPr>
        <w:t xml:space="preserve">development of </w:t>
      </w:r>
      <w:r w:rsidR="00727273">
        <w:rPr>
          <w:lang w:val="en-GB"/>
        </w:rPr>
        <w:t>livestock categories</w:t>
      </w:r>
      <w:r w:rsidR="00F679D7">
        <w:rPr>
          <w:lang w:val="en-GB"/>
        </w:rPr>
        <w:t xml:space="preserve">. </w:t>
      </w:r>
      <w:r w:rsidR="00424F25">
        <w:rPr>
          <w:rFonts w:eastAsiaTheme="minorEastAsia"/>
          <w:lang w:val="en-GB"/>
        </w:rPr>
        <w:t xml:space="preserve">The coefficient is </w:t>
      </w:r>
      <w:r w:rsidR="004874F1">
        <w:rPr>
          <w:rFonts w:eastAsiaTheme="minorEastAsia"/>
        </w:rPr>
        <w:t xml:space="preserve">centered </w:t>
      </w:r>
      <w:r w:rsidR="00D647E6">
        <w:rPr>
          <w:rFonts w:eastAsiaTheme="minorEastAsia"/>
        </w:rPr>
        <w:t>around</w:t>
      </w:r>
      <w:r w:rsidR="004874F1">
        <w:rPr>
          <w:rFonts w:eastAsiaTheme="minorEastAsia"/>
        </w:rPr>
        <w:t xml:space="preserve"> 1</w:t>
      </w:r>
      <w:r w:rsidR="00D647E6">
        <w:rPr>
          <w:rFonts w:eastAsiaTheme="minorEastAsia"/>
        </w:rPr>
        <w:t>,</w:t>
      </w:r>
      <w:r w:rsidR="004874F1">
        <w:rPr>
          <w:rFonts w:eastAsiaTheme="minorEastAsia"/>
        </w:rPr>
        <w:t xml:space="preserve"> and higher (smaller) values imply a more (less) favorable climate for grass growth. </w:t>
      </w:r>
      <w:r w:rsidR="00424F25">
        <w:rPr>
          <w:rFonts w:eastAsiaTheme="minorEastAsia"/>
        </w:rPr>
        <w:t xml:space="preserve">The values of </w:t>
      </w:r>
      <w:r w:rsidR="00424F25" w:rsidRPr="00DE57B8">
        <w:rPr>
          <w:position w:val="-12"/>
          <w:lang w:val="en-GB"/>
        </w:rPr>
        <w:object w:dxaOrig="240" w:dyaOrig="360" w14:anchorId="1ECE8CE5">
          <v:shape id="_x0000_i1049" type="#_x0000_t75" style="width:12.55pt;height:18pt" o:ole="">
            <v:imagedata r:id="rId56" o:title=""/>
          </v:shape>
          <o:OLEObject Type="Embed" ProgID="Equation.DSMT4" ShapeID="_x0000_i1049" DrawAspect="Content" ObjectID="_1657379041" r:id="rId57"/>
        </w:object>
      </w:r>
      <w:r w:rsidR="00424F25">
        <w:rPr>
          <w:rFonts w:eastAsiaTheme="minorEastAsia"/>
        </w:rPr>
        <w:t xml:space="preserve"> </w:t>
      </w:r>
      <w:r w:rsidR="007C798D">
        <w:rPr>
          <w:lang w:val="en-GB"/>
        </w:rPr>
        <w:t>were</w:t>
      </w:r>
      <w:r w:rsidR="00424F25">
        <w:rPr>
          <w:lang w:val="en-GB"/>
        </w:rPr>
        <w:t xml:space="preserve"> obtained from the average dry matter </w:t>
      </w:r>
      <w:r w:rsidR="006E035D">
        <w:rPr>
          <w:lang w:val="en-GB"/>
        </w:rPr>
        <w:t xml:space="preserve">growth rate </w:t>
      </w:r>
      <w:r w:rsidR="00424F25">
        <w:rPr>
          <w:lang w:val="en-GB"/>
        </w:rPr>
        <w:t xml:space="preserve">(DMGR in </w:t>
      </w:r>
      <w:proofErr w:type="spellStart"/>
      <w:r w:rsidR="00424F25">
        <w:rPr>
          <w:lang w:val="en-GB"/>
        </w:rPr>
        <w:t>kgDM</w:t>
      </w:r>
      <w:proofErr w:type="spellEnd"/>
      <w:r w:rsidR="00424F25">
        <w:rPr>
          <w:lang w:val="en-GB"/>
        </w:rPr>
        <w:t xml:space="preserve">/day/ha) of the </w:t>
      </w:r>
      <w:r w:rsidR="001A0EF4">
        <w:rPr>
          <w:lang w:val="en-GB"/>
        </w:rPr>
        <w:t>e</w:t>
      </w:r>
      <w:r w:rsidR="00424F25" w:rsidRPr="004874F1">
        <w:rPr>
          <w:lang w:val="en-GB"/>
        </w:rPr>
        <w:t>co</w:t>
      </w:r>
      <w:r w:rsidR="001A0EF4">
        <w:rPr>
          <w:lang w:val="en-GB"/>
        </w:rPr>
        <w:t>-</w:t>
      </w:r>
      <w:r w:rsidR="00424F25" w:rsidRPr="004874F1">
        <w:rPr>
          <w:lang w:val="en-GB"/>
        </w:rPr>
        <w:t>zone Basaltic Cuesta</w:t>
      </w:r>
      <w:r w:rsidR="00424F25" w:rsidRPr="004874F1">
        <w:rPr>
          <w:rStyle w:val="Refdenotaalpie"/>
          <w:szCs w:val="24"/>
          <w:lang w:val="en-GB"/>
        </w:rPr>
        <w:footnoteReference w:id="13"/>
      </w:r>
      <w:r w:rsidR="00424F25" w:rsidRPr="004874F1">
        <w:rPr>
          <w:lang w:val="en-GB"/>
        </w:rPr>
        <w:t xml:space="preserve"> from March 2000 to </w:t>
      </w:r>
      <w:r w:rsidR="00424F25">
        <w:rPr>
          <w:lang w:val="en-GB"/>
        </w:rPr>
        <w:t>February 2016</w:t>
      </w:r>
      <w:r w:rsidR="00582B8D">
        <w:rPr>
          <w:lang w:val="en-GB"/>
        </w:rPr>
        <w:t>,</w:t>
      </w:r>
      <w:r w:rsidR="00424F25">
        <w:rPr>
          <w:lang w:val="en-GB"/>
        </w:rPr>
        <w:t xml:space="preserve"> provided by the Regional Laboratory of Remote Sensing of the University of Buenos Aires (LART). </w:t>
      </w:r>
      <w:r w:rsidR="004874F1" w:rsidRPr="004874F1">
        <w:rPr>
          <w:lang w:val="en-GB"/>
        </w:rPr>
        <w:t xml:space="preserve">The observed values of </w:t>
      </w:r>
      <w:r w:rsidR="004874F1" w:rsidRPr="004874F1">
        <w:rPr>
          <w:position w:val="-12"/>
          <w:lang w:val="en-GB"/>
        </w:rPr>
        <w:object w:dxaOrig="240" w:dyaOrig="360" w14:anchorId="74FFEA8E">
          <v:shape id="_x0000_i1050" type="#_x0000_t75" style="width:12.55pt;height:18pt" o:ole="">
            <v:imagedata r:id="rId56" o:title=""/>
          </v:shape>
          <o:OLEObject Type="Embed" ProgID="Equation.DSMT4" ShapeID="_x0000_i1050" DrawAspect="Content" ObjectID="_1657379042" r:id="rId58"/>
        </w:object>
      </w:r>
      <w:r w:rsidR="004874F1" w:rsidRPr="004874F1">
        <w:rPr>
          <w:rFonts w:eastAsiaTheme="minorEastAsia"/>
          <w:lang w:val="en-GB"/>
        </w:rPr>
        <w:t xml:space="preserve">are computed </w:t>
      </w:r>
      <w:r w:rsidR="004874F1" w:rsidRPr="004874F1">
        <w:rPr>
          <w:lang w:val="en-GB"/>
        </w:rPr>
        <w:t xml:space="preserve">as the deviation of the </w:t>
      </w:r>
      <w:r w:rsidR="004874F1" w:rsidRPr="004874F1">
        <w:rPr>
          <w:i/>
          <w:lang w:val="en-GB"/>
        </w:rPr>
        <w:t>DMGR</w:t>
      </w:r>
      <w:r w:rsidR="004874F1" w:rsidRPr="004874F1">
        <w:rPr>
          <w:lang w:val="en-GB"/>
        </w:rPr>
        <w:t xml:space="preserve"> of station </w:t>
      </w:r>
      <w:r w:rsidR="004874F1" w:rsidRPr="004874F1">
        <w:rPr>
          <w:i/>
          <w:lang w:val="en-GB"/>
        </w:rPr>
        <w:t>i</w:t>
      </w:r>
      <w:r w:rsidR="004874F1" w:rsidRPr="004874F1">
        <w:rPr>
          <w:lang w:val="en-GB"/>
        </w:rPr>
        <w:t xml:space="preserve"> in period </w:t>
      </w:r>
      <w:r w:rsidR="004874F1" w:rsidRPr="004874F1">
        <w:rPr>
          <w:i/>
          <w:lang w:val="en-GB"/>
        </w:rPr>
        <w:t>t</w:t>
      </w:r>
      <w:r w:rsidR="004874F1" w:rsidRPr="004874F1">
        <w:rPr>
          <w:lang w:val="en-GB"/>
        </w:rPr>
        <w:t xml:space="preserve"> relative to its historical average</w:t>
      </w:r>
      <w:r w:rsidR="00BB142C" w:rsidRPr="004874F1">
        <w:rPr>
          <w:lang w:val="en-GB"/>
        </w:rPr>
        <w:t xml:space="preserve">: </w:t>
      </w:r>
    </w:p>
    <w:p w14:paraId="217CEB2F" w14:textId="425D1FB7" w:rsidR="004874F1" w:rsidRPr="00BB142C" w:rsidRDefault="006E035D" w:rsidP="00582B8D">
      <w:pPr>
        <w:jc w:val="right"/>
      </w:pPr>
      <w:r w:rsidRPr="006E035D">
        <w:rPr>
          <w:position w:val="-32"/>
        </w:rPr>
        <w:object w:dxaOrig="1359" w:dyaOrig="700" w14:anchorId="18D640BA">
          <v:shape id="_x0000_i1051" type="#_x0000_t75" style="width:67.65pt;height:34.9pt" o:ole="">
            <v:imagedata r:id="rId59" o:title=""/>
          </v:shape>
          <o:OLEObject Type="Embed" ProgID="Equation.DSMT4" ShapeID="_x0000_i1051" DrawAspect="Content" ObjectID="_1657379043" r:id="rId60"/>
        </w:object>
      </w:r>
      <w:r w:rsidR="004874F1">
        <w:t xml:space="preserve"> </w:t>
      </w:r>
      <w:r w:rsidR="004874F1" w:rsidRPr="00D647E6">
        <w:tab/>
      </w:r>
      <w:r w:rsidR="00D647E6">
        <w:tab/>
      </w:r>
      <w:r w:rsidR="00582B8D">
        <w:tab/>
      </w:r>
      <w:r w:rsidR="00582B8D">
        <w:tab/>
      </w:r>
      <w:r w:rsidR="00582B8D">
        <w:tab/>
      </w:r>
      <w:r w:rsidR="00D647E6">
        <w:tab/>
      </w:r>
      <w:r w:rsidR="00D647E6">
        <w:tab/>
      </w:r>
      <w:r w:rsidR="00BC4BA4" w:rsidRPr="00D647E6">
        <w:fldChar w:fldCharType="begin"/>
      </w:r>
      <w:r w:rsidR="00B8613C" w:rsidRPr="00D647E6">
        <w:instrText xml:space="preserve"> MACROBUTTON MTPlaceRef \* MERGEFORMAT </w:instrText>
      </w:r>
      <w:r w:rsidR="00BC4BA4" w:rsidRPr="00D647E6">
        <w:fldChar w:fldCharType="begin"/>
      </w:r>
      <w:r w:rsidR="00B8613C" w:rsidRPr="00D647E6">
        <w:instrText xml:space="preserve"> SEQ MTEqn \h \* MERGEFORMAT </w:instrText>
      </w:r>
      <w:r w:rsidR="00BC4BA4" w:rsidRPr="00D647E6">
        <w:fldChar w:fldCharType="end"/>
      </w:r>
      <w:r w:rsidR="00B8613C" w:rsidRPr="00D647E6">
        <w:instrText>(</w:instrText>
      </w:r>
      <w:fldSimple w:instr=" SEQ MTEqn \c \* Arabic \* MERGEFORMAT ">
        <w:r w:rsidR="00286363">
          <w:rPr>
            <w:noProof/>
          </w:rPr>
          <w:instrText>3</w:instrText>
        </w:r>
      </w:fldSimple>
      <w:r w:rsidR="00B8613C" w:rsidRPr="00D647E6">
        <w:instrText>)</w:instrText>
      </w:r>
      <w:r w:rsidR="00BC4BA4" w:rsidRPr="00D647E6">
        <w:fldChar w:fldCharType="end"/>
      </w:r>
    </w:p>
    <w:p w14:paraId="50572172" w14:textId="4B80BBA1" w:rsidR="00D647E6" w:rsidRDefault="004874F1" w:rsidP="00BC5BB2">
      <w:r>
        <w:rPr>
          <w:lang w:val="en-GB"/>
        </w:rPr>
        <w:t xml:space="preserve">We run the model </w:t>
      </w:r>
      <w:r w:rsidR="00A020F4">
        <w:rPr>
          <w:lang w:val="en-GB"/>
        </w:rPr>
        <w:t>on</w:t>
      </w:r>
      <w:r>
        <w:rPr>
          <w:lang w:val="en-GB"/>
        </w:rPr>
        <w:t xml:space="preserve"> simulated values of the climatic </w:t>
      </w:r>
      <w:proofErr w:type="gramStart"/>
      <w:r>
        <w:rPr>
          <w:lang w:val="en-GB"/>
        </w:rPr>
        <w:t xml:space="preserve">coefficient </w:t>
      </w:r>
      <w:proofErr w:type="gramEnd"/>
      <w:r w:rsidRPr="00DE57B8">
        <w:rPr>
          <w:position w:val="-12"/>
          <w:lang w:val="en-GB"/>
        </w:rPr>
        <w:object w:dxaOrig="240" w:dyaOrig="360" w14:anchorId="6E7DCBDA">
          <v:shape id="_x0000_i1052" type="#_x0000_t75" style="width:12.55pt;height:18pt" o:ole="">
            <v:imagedata r:id="rId54" o:title=""/>
          </v:shape>
          <o:OLEObject Type="Embed" ProgID="Equation.DSMT4" ShapeID="_x0000_i1052" DrawAspect="Content" ObjectID="_1657379044" r:id="rId61"/>
        </w:object>
      </w:r>
      <w:r>
        <w:rPr>
          <w:lang w:val="en-GB"/>
        </w:rPr>
        <w:t>, calibrated using their observed counterparts</w:t>
      </w:r>
      <w:r w:rsidR="00A05E9A">
        <w:rPr>
          <w:lang w:val="en-GB"/>
        </w:rPr>
        <w:t>,</w:t>
      </w:r>
      <w:r w:rsidR="00A3339E">
        <w:rPr>
          <w:lang w:val="en-GB"/>
        </w:rPr>
        <w:t xml:space="preserve"> </w:t>
      </w:r>
      <w:r w:rsidR="00A3339E" w:rsidRPr="004874F1">
        <w:rPr>
          <w:position w:val="-12"/>
          <w:lang w:val="en-GB"/>
        </w:rPr>
        <w:object w:dxaOrig="240" w:dyaOrig="360" w14:anchorId="6B025172">
          <v:shape id="_x0000_i1053" type="#_x0000_t75" style="width:12.55pt;height:18pt" o:ole="">
            <v:imagedata r:id="rId56" o:title=""/>
          </v:shape>
          <o:OLEObject Type="Embed" ProgID="Equation.DSMT4" ShapeID="_x0000_i1053" DrawAspect="Content" ObjectID="_1657379045" r:id="rId62"/>
        </w:object>
      </w:r>
      <w:r>
        <w:rPr>
          <w:lang w:val="en-GB"/>
        </w:rPr>
        <w:t xml:space="preserve">. </w:t>
      </w:r>
      <w:r w:rsidR="00A31CD7">
        <w:rPr>
          <w:lang w:val="en-GB"/>
        </w:rPr>
        <w:t xml:space="preserve">Monthly random deviates of </w:t>
      </w:r>
      <w:r w:rsidRPr="00DE57B8">
        <w:rPr>
          <w:position w:val="-12"/>
          <w:lang w:val="en-GB"/>
        </w:rPr>
        <w:object w:dxaOrig="240" w:dyaOrig="360" w14:anchorId="52FB67F1">
          <v:shape id="_x0000_i1054" type="#_x0000_t75" style="width:12.55pt;height:18pt" o:ole="">
            <v:imagedata r:id="rId54" o:title=""/>
          </v:shape>
          <o:OLEObject Type="Embed" ProgID="Equation.DSMT4" ShapeID="_x0000_i1054" DrawAspect="Content" ObjectID="_1657379046" r:id="rId63"/>
        </w:object>
      </w:r>
      <w:r w:rsidR="00424F25">
        <w:rPr>
          <w:lang w:val="en-GB"/>
        </w:rPr>
        <w:t>were</w:t>
      </w:r>
      <w:r w:rsidR="00A31CD7">
        <w:rPr>
          <w:lang w:val="en-GB"/>
        </w:rPr>
        <w:t xml:space="preserve"> drawn by </w:t>
      </w:r>
      <w:r w:rsidR="00F07E73">
        <w:rPr>
          <w:lang w:val="en-GB"/>
        </w:rPr>
        <w:t xml:space="preserve">Monte Carlo simulations following </w:t>
      </w:r>
      <w:r w:rsidR="00F07E73" w:rsidRPr="00F07E73">
        <w:rPr>
          <w:lang w:val="en-GB"/>
        </w:rPr>
        <w:t xml:space="preserve">Dieguez </w:t>
      </w:r>
      <w:r w:rsidR="008A5781">
        <w:rPr>
          <w:lang w:val="en-GB"/>
        </w:rPr>
        <w:t>and</w:t>
      </w:r>
      <w:r w:rsidR="00F07E73" w:rsidRPr="00F07E73">
        <w:rPr>
          <w:lang w:val="en-GB"/>
        </w:rPr>
        <w:t xml:space="preserve"> Terra (2014)</w:t>
      </w:r>
      <w:r w:rsidR="00F679D7">
        <w:rPr>
          <w:lang w:val="en-GB"/>
        </w:rPr>
        <w:t>.</w:t>
      </w:r>
      <w:r w:rsidR="00424F25">
        <w:rPr>
          <w:lang w:val="en-GB"/>
        </w:rPr>
        <w:t xml:space="preserve"> Briefly, </w:t>
      </w:r>
      <w:r w:rsidR="00A31CD7">
        <w:rPr>
          <w:lang w:val="en-GB"/>
        </w:rPr>
        <w:t xml:space="preserve">we </w:t>
      </w:r>
      <w:r w:rsidR="002F2879">
        <w:rPr>
          <w:lang w:val="en-GB"/>
        </w:rPr>
        <w:t xml:space="preserve">first </w:t>
      </w:r>
      <w:r w:rsidR="00807DA7">
        <w:rPr>
          <w:lang w:val="en-GB"/>
        </w:rPr>
        <w:t xml:space="preserve">take </w:t>
      </w:r>
      <w:r w:rsidR="00A31CD7">
        <w:rPr>
          <w:lang w:val="en-GB"/>
        </w:rPr>
        <w:t>a draw from</w:t>
      </w:r>
      <w:r w:rsidR="00F679D7">
        <w:rPr>
          <w:lang w:val="en-GB"/>
        </w:rPr>
        <w:t xml:space="preserve"> </w:t>
      </w:r>
      <w:r w:rsidR="00A31CD7">
        <w:rPr>
          <w:lang w:val="en-GB"/>
        </w:rPr>
        <w:t xml:space="preserve">a </w:t>
      </w:r>
      <w:r w:rsidR="00A31CD7" w:rsidRPr="00A020F4">
        <w:rPr>
          <w:lang w:val="en-GB"/>
        </w:rPr>
        <w:t>N</w:t>
      </w:r>
      <w:r w:rsidR="00BF5907" w:rsidRPr="00A020F4">
        <w:rPr>
          <w:lang w:val="en-GB"/>
        </w:rPr>
        <w:t>ormal</w:t>
      </w:r>
      <w:r w:rsidR="00BF5907">
        <w:rPr>
          <w:lang w:val="en-GB"/>
        </w:rPr>
        <w:t xml:space="preserve"> distribution with </w:t>
      </w:r>
      <w:r w:rsidR="00A31CD7">
        <w:rPr>
          <w:lang w:val="en-GB"/>
        </w:rPr>
        <w:t xml:space="preserve">mean </w:t>
      </w:r>
      <w:r w:rsidR="00BF5907">
        <w:rPr>
          <w:lang w:val="en-GB"/>
        </w:rPr>
        <w:t xml:space="preserve">zero and standard deviation </w:t>
      </w:r>
      <w:r w:rsidR="00BF5907" w:rsidRPr="004874F1">
        <w:rPr>
          <w:i/>
          <w:lang w:val="en-GB"/>
        </w:rPr>
        <w:t>DE</w:t>
      </w:r>
      <w:r w:rsidR="00F679D7">
        <w:rPr>
          <w:lang w:val="en-GB"/>
        </w:rPr>
        <w:t xml:space="preserve">, </w:t>
      </w:r>
      <w:r w:rsidR="002F2879">
        <w:rPr>
          <w:lang w:val="en-GB"/>
        </w:rPr>
        <w:t>to represent</w:t>
      </w:r>
      <w:r w:rsidR="00F679D7">
        <w:rPr>
          <w:lang w:val="en-GB"/>
        </w:rPr>
        <w:t xml:space="preserve"> the first month</w:t>
      </w:r>
      <w:r w:rsidR="002E7488">
        <w:rPr>
          <w:lang w:val="en-GB"/>
        </w:rPr>
        <w:t>.</w:t>
      </w:r>
      <w:r w:rsidR="002F2879">
        <w:rPr>
          <w:lang w:val="en-GB"/>
        </w:rPr>
        <w:t xml:space="preserve"> </w:t>
      </w:r>
      <w:r w:rsidR="00A05E9A">
        <w:rPr>
          <w:lang w:val="en-GB"/>
        </w:rPr>
        <w:t>We</w:t>
      </w:r>
      <w:r w:rsidR="002E7488" w:rsidRPr="004874F1">
        <w:rPr>
          <w:lang w:val="en-GB"/>
        </w:rPr>
        <w:t xml:space="preserve"> obtain </w:t>
      </w:r>
      <w:r w:rsidR="00A05E9A">
        <w:rPr>
          <w:lang w:val="en-GB"/>
        </w:rPr>
        <w:t xml:space="preserve">the following </w:t>
      </w:r>
      <w:r w:rsidR="002E7488" w:rsidRPr="004874F1">
        <w:rPr>
          <w:lang w:val="en-GB"/>
        </w:rPr>
        <w:t>months</w:t>
      </w:r>
      <w:r w:rsidR="00A05E9A">
        <w:rPr>
          <w:lang w:val="en-GB"/>
        </w:rPr>
        <w:t xml:space="preserve"> as</w:t>
      </w:r>
      <w:r w:rsidR="002E7488" w:rsidRPr="004874F1">
        <w:rPr>
          <w:lang w:val="en-GB"/>
        </w:rPr>
        <w:t xml:space="preserve">: </w:t>
      </w:r>
      <w:r w:rsidRPr="004874F1">
        <w:tab/>
      </w:r>
    </w:p>
    <w:p w14:paraId="39AAF52C" w14:textId="65C313B1" w:rsidR="004874F1" w:rsidRPr="004874F1" w:rsidRDefault="00A3339E" w:rsidP="00582B8D">
      <w:pPr>
        <w:jc w:val="right"/>
      </w:pPr>
      <w:r w:rsidRPr="004874F1">
        <w:rPr>
          <w:position w:val="-12"/>
        </w:rPr>
        <w:object w:dxaOrig="1540" w:dyaOrig="360" w14:anchorId="11CF6730">
          <v:shape id="_x0000_i1055" type="#_x0000_t75" style="width:78pt;height:18pt" o:ole="">
            <v:imagedata r:id="rId64" o:title=""/>
          </v:shape>
          <o:OLEObject Type="Embed" ProgID="Equation.DSMT4" ShapeID="_x0000_i1055" DrawAspect="Content" ObjectID="_1657379047" r:id="rId65"/>
        </w:object>
      </w:r>
      <w:r w:rsidR="004874F1" w:rsidRPr="004874F1">
        <w:t xml:space="preserve"> </w:t>
      </w:r>
      <w:r w:rsidR="004874F1" w:rsidRPr="004874F1">
        <w:tab/>
      </w:r>
      <w:r w:rsidR="00D647E6">
        <w:tab/>
      </w:r>
      <w:r w:rsidR="00D647E6">
        <w:tab/>
      </w:r>
      <w:r w:rsidR="00D647E6">
        <w:tab/>
      </w:r>
      <w:r w:rsidR="00D647E6">
        <w:tab/>
      </w:r>
      <w:r w:rsidR="00D647E6">
        <w:tab/>
      </w:r>
      <w:r w:rsidR="00BC4BA4" w:rsidRPr="00D647E6">
        <w:fldChar w:fldCharType="begin"/>
      </w:r>
      <w:r w:rsidR="00B8613C" w:rsidRPr="00D647E6">
        <w:instrText xml:space="preserve"> MACROBUTTON MTPlaceRef \* MERGEFORMAT </w:instrText>
      </w:r>
      <w:r w:rsidR="00BC4BA4" w:rsidRPr="00D647E6">
        <w:fldChar w:fldCharType="begin"/>
      </w:r>
      <w:r w:rsidR="00B8613C" w:rsidRPr="00D647E6">
        <w:instrText xml:space="preserve"> SEQ MTEqn \h \* MERGEFORMAT </w:instrText>
      </w:r>
      <w:r w:rsidR="00BC4BA4" w:rsidRPr="00D647E6">
        <w:fldChar w:fldCharType="end"/>
      </w:r>
      <w:r w:rsidR="00B8613C" w:rsidRPr="00D647E6">
        <w:instrText>(</w:instrText>
      </w:r>
      <w:fldSimple w:instr=" SEQ MTEqn \c \* Arabic \* MERGEFORMAT ">
        <w:r w:rsidR="00286363">
          <w:rPr>
            <w:noProof/>
          </w:rPr>
          <w:instrText>4</w:instrText>
        </w:r>
      </w:fldSimple>
      <w:r w:rsidR="00B8613C" w:rsidRPr="00D647E6">
        <w:instrText>)</w:instrText>
      </w:r>
      <w:r w:rsidR="00BC4BA4" w:rsidRPr="00D647E6">
        <w:fldChar w:fldCharType="end"/>
      </w:r>
    </w:p>
    <w:p w14:paraId="6E8C5BE5" w14:textId="36ACE1C7" w:rsidR="00264309" w:rsidRDefault="004874F1" w:rsidP="00BC5BB2">
      <w:pPr>
        <w:rPr>
          <w:rFonts w:eastAsiaTheme="minorEastAsia"/>
          <w:lang w:val="en-GB"/>
        </w:rPr>
      </w:pPr>
      <w:proofErr w:type="gramStart"/>
      <w:r w:rsidRPr="004874F1">
        <w:t>where</w:t>
      </w:r>
      <w:proofErr w:type="gramEnd"/>
      <w:r w:rsidRPr="004874F1">
        <w:t xml:space="preserve"> </w:t>
      </w:r>
      <w:r w:rsidRPr="004874F1">
        <w:rPr>
          <w:i/>
        </w:rPr>
        <w:t>a</w:t>
      </w:r>
      <w:r w:rsidRPr="004874F1">
        <w:rPr>
          <w:vertAlign w:val="subscript"/>
        </w:rPr>
        <w:t>t</w:t>
      </w:r>
      <w:r w:rsidRPr="004874F1">
        <w:t xml:space="preserve"> is the historical autocorrelation of the</w:t>
      </w:r>
      <w:r>
        <w:t xml:space="preserve"> observed</w:t>
      </w:r>
      <w:r w:rsidRPr="004874F1">
        <w:t xml:space="preserve"> variable </w:t>
      </w:r>
      <w:r w:rsidRPr="004874F1">
        <w:rPr>
          <w:position w:val="-12"/>
          <w:lang w:val="en-GB"/>
        </w:rPr>
        <w:object w:dxaOrig="240" w:dyaOrig="360" w14:anchorId="5CB65FB9">
          <v:shape id="_x0000_i1056" type="#_x0000_t75" style="width:12.55pt;height:18pt" o:ole="">
            <v:imagedata r:id="rId56" o:title=""/>
          </v:shape>
          <o:OLEObject Type="Embed" ProgID="Equation.DSMT4" ShapeID="_x0000_i1056" DrawAspect="Content" ObjectID="_1657379048" r:id="rId66"/>
        </w:object>
      </w:r>
      <w:r w:rsidRPr="004874F1">
        <w:t xml:space="preserve">of the involved months </w:t>
      </w:r>
      <w:r w:rsidRPr="004874F1">
        <w:rPr>
          <w:i/>
        </w:rPr>
        <w:t>t</w:t>
      </w:r>
      <w:r w:rsidRPr="004874F1">
        <w:t xml:space="preserve"> and (</w:t>
      </w:r>
      <w:r w:rsidRPr="004874F1">
        <w:rPr>
          <w:i/>
        </w:rPr>
        <w:t>t</w:t>
      </w:r>
      <w:r w:rsidRPr="004874F1">
        <w:t xml:space="preserve">+1), </w:t>
      </w:r>
      <w:r w:rsidRPr="004874F1">
        <w:rPr>
          <w:i/>
        </w:rPr>
        <w:t>b</w:t>
      </w:r>
      <w:r w:rsidRPr="004874F1">
        <w:rPr>
          <w:vertAlign w:val="subscript"/>
        </w:rPr>
        <w:t>t</w:t>
      </w:r>
      <w:r w:rsidRPr="004874F1">
        <w:t xml:space="preserve"> is such that</w:t>
      </w:r>
      <w:bookmarkStart w:id="1" w:name="MTToggleStart"/>
      <w:bookmarkStart w:id="2" w:name="MTToggleEnd"/>
      <w:bookmarkEnd w:id="1"/>
      <w:bookmarkEnd w:id="2"/>
      <w:r w:rsidRPr="004874F1">
        <w:t xml:space="preserve"> </w:t>
      </w:r>
      <w:r w:rsidRPr="004874F1">
        <w:rPr>
          <w:position w:val="-12"/>
        </w:rPr>
        <w:object w:dxaOrig="1060" w:dyaOrig="380" w14:anchorId="5B831A64">
          <v:shape id="_x0000_i1057" type="#_x0000_t75" style="width:50.75pt;height:21.25pt" o:ole="">
            <v:imagedata r:id="rId67" o:title=""/>
          </v:shape>
          <o:OLEObject Type="Embed" ProgID="Equation.DSMT4" ShapeID="_x0000_i1057" DrawAspect="Content" ObjectID="_1657379049" r:id="rId68"/>
        </w:object>
      </w:r>
      <w:r w:rsidRPr="004874F1">
        <w:t xml:space="preserve">, and </w:t>
      </w:r>
      <w:r w:rsidR="00807DA7" w:rsidRPr="00C80694">
        <w:rPr>
          <w:position w:val="-12"/>
        </w:rPr>
        <w:object w:dxaOrig="480" w:dyaOrig="360" w14:anchorId="4F985488">
          <v:shape id="_x0000_i1058" type="#_x0000_t75" style="width:25.1pt;height:18pt" o:ole="">
            <v:imagedata r:id="rId69" o:title=""/>
          </v:shape>
          <o:OLEObject Type="Embed" ProgID="Equation.DSMT4" ShapeID="_x0000_i1058" DrawAspect="Content" ObjectID="_1657379050" r:id="rId70"/>
        </w:object>
      </w:r>
      <w:r w:rsidRPr="004874F1">
        <w:rPr>
          <w:i/>
        </w:rPr>
        <w:t>N</w:t>
      </w:r>
      <w:r w:rsidR="003E166F" w:rsidRPr="003E166F">
        <w:t>(</w:t>
      </w:r>
      <w:r w:rsidR="003E166F">
        <w:t>0,</w:t>
      </w:r>
      <w:r w:rsidR="003E166F" w:rsidRPr="003E166F">
        <w:rPr>
          <w:i/>
        </w:rPr>
        <w:t>DE</w:t>
      </w:r>
      <w:r w:rsidR="003E166F" w:rsidRPr="003E166F">
        <w:t>)</w:t>
      </w:r>
      <w:r w:rsidRPr="004874F1">
        <w:t xml:space="preserve">. As it is a lineal combination of </w:t>
      </w:r>
      <w:r w:rsidR="00F24E9B" w:rsidRPr="00A020F4">
        <w:rPr>
          <w:lang w:val="en-GB"/>
        </w:rPr>
        <w:t>Normal</w:t>
      </w:r>
      <w:r w:rsidR="00F24E9B" w:rsidRPr="004874F1">
        <w:t xml:space="preserve"> </w:t>
      </w:r>
      <w:r w:rsidRPr="004874F1">
        <w:t xml:space="preserve">distributions, </w:t>
      </w:r>
      <w:r w:rsidRPr="004874F1">
        <w:rPr>
          <w:position w:val="-12"/>
          <w:lang w:val="en-GB"/>
        </w:rPr>
        <w:object w:dxaOrig="360" w:dyaOrig="360" w14:anchorId="21EFB5F5">
          <v:shape id="_x0000_i1059" type="#_x0000_t75" style="width:18pt;height:18pt" o:ole="">
            <v:imagedata r:id="rId71" o:title=""/>
          </v:shape>
          <o:OLEObject Type="Embed" ProgID="Equation.DSMT4" ShapeID="_x0000_i1059" DrawAspect="Content" ObjectID="_1657379051" r:id="rId72"/>
        </w:object>
      </w:r>
      <w:r w:rsidRPr="004874F1">
        <w:t xml:space="preserve"> is also</w:t>
      </w:r>
      <w:r w:rsidR="00EA17CC">
        <w:t xml:space="preserve"> </w:t>
      </w:r>
      <w:r w:rsidR="00EA17CC" w:rsidRPr="00A020F4">
        <w:rPr>
          <w:lang w:val="en-GB"/>
        </w:rPr>
        <w:t>Normal</w:t>
      </w:r>
      <w:r w:rsidRPr="00A020F4">
        <w:t>, with</w:t>
      </w:r>
      <w:r w:rsidR="007D6E66" w:rsidRPr="00A020F4">
        <w:t xml:space="preserve"> </w:t>
      </w:r>
      <w:r w:rsidRPr="00A020F4">
        <w:t xml:space="preserve">mean one and standard deviation DE, and therefore, the </w:t>
      </w:r>
      <w:r w:rsidR="007D6E66" w:rsidRPr="00A020F4">
        <w:rPr>
          <w:lang w:val="en-GB"/>
        </w:rPr>
        <w:t>Normal</w:t>
      </w:r>
      <w:r w:rsidR="007D6E66" w:rsidRPr="004874F1">
        <w:t xml:space="preserve"> </w:t>
      </w:r>
      <w:r w:rsidRPr="004874F1">
        <w:t xml:space="preserve">distribution and the historical correlation between </w:t>
      </w:r>
      <w:r w:rsidRPr="004874F1">
        <w:rPr>
          <w:position w:val="-12"/>
          <w:lang w:val="en-GB"/>
        </w:rPr>
        <w:object w:dxaOrig="360" w:dyaOrig="360" w14:anchorId="04243599">
          <v:shape id="_x0000_i1060" type="#_x0000_t75" style="width:18pt;height:18pt" o:ole="">
            <v:imagedata r:id="rId71" o:title=""/>
          </v:shape>
          <o:OLEObject Type="Embed" ProgID="Equation.DSMT4" ShapeID="_x0000_i1060" DrawAspect="Content" ObjectID="_1657379052" r:id="rId73"/>
        </w:object>
      </w:r>
      <w:r w:rsidRPr="004874F1">
        <w:rPr>
          <w:lang w:val="en-GB"/>
        </w:rPr>
        <w:t xml:space="preserve">and </w:t>
      </w:r>
      <w:r w:rsidRPr="004874F1">
        <w:rPr>
          <w:position w:val="-12"/>
          <w:lang w:val="en-GB"/>
        </w:rPr>
        <w:object w:dxaOrig="240" w:dyaOrig="360" w14:anchorId="7C28EDE5">
          <v:shape id="_x0000_i1061" type="#_x0000_t75" style="width:12.55pt;height:18pt" o:ole="">
            <v:imagedata r:id="rId54" o:title=""/>
          </v:shape>
          <o:OLEObject Type="Embed" ProgID="Equation.DSMT4" ShapeID="_x0000_i1061" DrawAspect="Content" ObjectID="_1657379053" r:id="rId74"/>
        </w:object>
      </w:r>
      <w:r w:rsidRPr="004874F1">
        <w:t xml:space="preserve">are approximately maintained. </w:t>
      </w:r>
      <w:r w:rsidR="003E166F">
        <w:t xml:space="preserve">We set </w:t>
      </w:r>
      <w:r w:rsidRPr="004874F1">
        <w:rPr>
          <w:i/>
        </w:rPr>
        <w:t>DE</w:t>
      </w:r>
      <w:r w:rsidRPr="004874F1">
        <w:t xml:space="preserve"> = 1.75 and generate climatic coefficient</w:t>
      </w:r>
      <w:r w:rsidR="003E166F">
        <w:t>s</w:t>
      </w:r>
      <w:r w:rsidRPr="004874F1">
        <w:t xml:space="preserve"> for 30 years.</w:t>
      </w:r>
      <w:r w:rsidR="005C5F0E">
        <w:t xml:space="preserve"> W</w:t>
      </w:r>
      <w:r w:rsidR="00CE5845">
        <w:rPr>
          <w:rFonts w:eastAsiaTheme="minorEastAsia"/>
        </w:rPr>
        <w:t xml:space="preserve">e </w:t>
      </w:r>
      <w:r w:rsidR="005C5F0E">
        <w:rPr>
          <w:rFonts w:eastAsiaTheme="minorEastAsia"/>
        </w:rPr>
        <w:t xml:space="preserve">then </w:t>
      </w:r>
      <w:r w:rsidR="00CE5845" w:rsidRPr="004E0A23">
        <w:rPr>
          <w:rFonts w:eastAsiaTheme="minorEastAsia"/>
        </w:rPr>
        <w:t xml:space="preserve">use </w:t>
      </w:r>
      <w:r w:rsidR="00CE5845" w:rsidRPr="00A05E9A">
        <w:rPr>
          <w:rFonts w:eastAsiaTheme="minorEastAsia"/>
          <w:lang w:val="en-GB"/>
        </w:rPr>
        <w:t>quantile matching</w:t>
      </w:r>
      <w:r w:rsidR="00CE5845">
        <w:rPr>
          <w:rFonts w:eastAsiaTheme="minorEastAsia"/>
          <w:lang w:val="en-GB"/>
        </w:rPr>
        <w:t xml:space="preserve"> to obtain the </w:t>
      </w:r>
      <w:r w:rsidR="00CE5845">
        <w:rPr>
          <w:rFonts w:eastAsiaTheme="minorEastAsia"/>
        </w:rPr>
        <w:t>simulated</w:t>
      </w:r>
      <w:r w:rsidR="004E0A23">
        <w:rPr>
          <w:rFonts w:eastAsiaTheme="minorEastAsia"/>
        </w:rPr>
        <w:t xml:space="preserve"> </w:t>
      </w:r>
      <w:r w:rsidR="003E166F">
        <w:rPr>
          <w:rFonts w:eastAsiaTheme="minorEastAsia"/>
        </w:rPr>
        <w:t xml:space="preserve">climatic coefficient </w:t>
      </w:r>
      <w:r w:rsidR="0040110E">
        <w:rPr>
          <w:rFonts w:eastAsiaTheme="minorEastAsia"/>
        </w:rPr>
        <w:t>based on the observed</w:t>
      </w:r>
      <w:r w:rsidR="003E166F">
        <w:rPr>
          <w:rFonts w:eastAsiaTheme="minorEastAsia"/>
        </w:rPr>
        <w:t xml:space="preserve"> series of climatic </w:t>
      </w:r>
      <w:r w:rsidR="0017490C">
        <w:rPr>
          <w:rFonts w:eastAsiaTheme="minorEastAsia"/>
        </w:rPr>
        <w:t>coefficient</w:t>
      </w:r>
      <w:r w:rsidR="003E166F">
        <w:rPr>
          <w:rFonts w:eastAsiaTheme="minorEastAsia"/>
        </w:rPr>
        <w:t xml:space="preserve"> </w:t>
      </w:r>
      <w:r w:rsidR="005C2DE6">
        <w:rPr>
          <w:rFonts w:eastAsiaTheme="minorEastAsia"/>
        </w:rPr>
        <w:t>of</w:t>
      </w:r>
      <w:r w:rsidR="00A05E9A">
        <w:rPr>
          <w:rFonts w:eastAsiaTheme="minorEastAsia"/>
        </w:rPr>
        <w:t xml:space="preserve"> the desired e</w:t>
      </w:r>
      <w:r w:rsidR="0040110E">
        <w:rPr>
          <w:rFonts w:eastAsiaTheme="minorEastAsia"/>
        </w:rPr>
        <w:t>co</w:t>
      </w:r>
      <w:r w:rsidR="00A05E9A">
        <w:rPr>
          <w:rFonts w:eastAsiaTheme="minorEastAsia"/>
        </w:rPr>
        <w:t>-</w:t>
      </w:r>
      <w:r w:rsidR="0040110E">
        <w:rPr>
          <w:rFonts w:eastAsiaTheme="minorEastAsia"/>
        </w:rPr>
        <w:t>zone,</w:t>
      </w:r>
      <w:r w:rsidR="003E166F" w:rsidRPr="003E166F">
        <w:rPr>
          <w:rStyle w:val="Refdenotaalpie"/>
          <w:rFonts w:eastAsiaTheme="minorEastAsia"/>
          <w:szCs w:val="24"/>
        </w:rPr>
        <w:t xml:space="preserve"> </w:t>
      </w:r>
      <w:r w:rsidR="003E166F">
        <w:rPr>
          <w:rStyle w:val="Refdenotaalpie"/>
          <w:rFonts w:eastAsiaTheme="minorEastAsia"/>
          <w:szCs w:val="24"/>
        </w:rPr>
        <w:footnoteReference w:id="14"/>
      </w:r>
      <w:r w:rsidR="0040110E">
        <w:rPr>
          <w:rFonts w:eastAsiaTheme="minorEastAsia"/>
        </w:rPr>
        <w:t xml:space="preserve"> and normalize it to be centered </w:t>
      </w:r>
      <w:r w:rsidR="005C2DE6">
        <w:rPr>
          <w:rFonts w:eastAsiaTheme="minorEastAsia"/>
        </w:rPr>
        <w:t>around</w:t>
      </w:r>
      <w:r w:rsidR="0040110E">
        <w:rPr>
          <w:rFonts w:eastAsiaTheme="minorEastAsia"/>
        </w:rPr>
        <w:t xml:space="preserve"> 1</w:t>
      </w:r>
      <w:r w:rsidR="007E4757">
        <w:rPr>
          <w:rFonts w:eastAsiaTheme="minorEastAsia"/>
        </w:rPr>
        <w:t>.</w:t>
      </w:r>
      <w:r w:rsidR="00264309">
        <w:rPr>
          <w:rFonts w:eastAsiaTheme="minorEastAsia"/>
          <w:lang w:val="en-GB"/>
        </w:rPr>
        <w:t xml:space="preserve"> </w:t>
      </w:r>
      <w:r w:rsidR="00041AF8">
        <w:rPr>
          <w:rFonts w:eastAsiaTheme="minorEastAsia"/>
          <w:lang w:val="en-GB"/>
        </w:rPr>
        <w:t xml:space="preserve">See </w:t>
      </w:r>
      <w:r w:rsidR="0017490C">
        <w:rPr>
          <w:rFonts w:eastAsiaTheme="minorEastAsia"/>
        </w:rPr>
        <w:t>supplementary</w:t>
      </w:r>
      <w:r w:rsidR="0063548F">
        <w:rPr>
          <w:rFonts w:eastAsiaTheme="minorEastAsia"/>
        </w:rPr>
        <w:t xml:space="preserve"> material </w:t>
      </w:r>
      <w:r w:rsidR="00D860CF">
        <w:rPr>
          <w:rFonts w:eastAsiaTheme="minorEastAsia"/>
        </w:rPr>
        <w:t>5</w:t>
      </w:r>
      <w:r w:rsidR="00041AF8">
        <w:rPr>
          <w:rFonts w:eastAsiaTheme="minorEastAsia"/>
        </w:rPr>
        <w:t xml:space="preserve"> for detail</w:t>
      </w:r>
      <w:r w:rsidR="00EA17CC">
        <w:rPr>
          <w:rFonts w:eastAsiaTheme="minorEastAsia"/>
        </w:rPr>
        <w:t>s.</w:t>
      </w:r>
    </w:p>
    <w:p w14:paraId="19AE41E7" w14:textId="126E32A0" w:rsidR="0063548F" w:rsidRDefault="005C5F0E" w:rsidP="00BC5BB2">
      <w:pPr>
        <w:rPr>
          <w:lang w:val="en-GB"/>
        </w:rPr>
      </w:pPr>
      <w:r>
        <w:t>O</w:t>
      </w:r>
      <w:r w:rsidR="00E3346F">
        <w:t xml:space="preserve">ther </w:t>
      </w:r>
      <w:r>
        <w:t xml:space="preserve">key </w:t>
      </w:r>
      <w:r w:rsidR="00E3346F">
        <w:t xml:space="preserve">inputs </w:t>
      </w:r>
      <w:r>
        <w:t>to</w:t>
      </w:r>
      <w:r w:rsidR="002F2879">
        <w:t xml:space="preserve"> MEGANE </w:t>
      </w:r>
      <w:r>
        <w:t>include</w:t>
      </w:r>
      <w:r w:rsidR="00E3346F">
        <w:t xml:space="preserve"> </w:t>
      </w:r>
      <w:r w:rsidR="00A05E9A">
        <w:t>farm</w:t>
      </w:r>
      <w:r w:rsidR="006C6DA9">
        <w:t xml:space="preserve"> </w:t>
      </w:r>
      <w:r w:rsidR="00A05E9A">
        <w:t>area</w:t>
      </w:r>
      <w:r w:rsidR="006C6DA9">
        <w:t xml:space="preserve">, number of cows and sheep, </w:t>
      </w:r>
      <w:r w:rsidR="00E3346F">
        <w:t>initial livesto</w:t>
      </w:r>
      <w:r w:rsidR="006C6DA9">
        <w:t>ck weight, and initial grass height</w:t>
      </w:r>
      <w:r>
        <w:t>, while t</w:t>
      </w:r>
      <w:r w:rsidR="00E3346F">
        <w:t>he rest of the variables a</w:t>
      </w:r>
      <w:r w:rsidR="00DF5C1F">
        <w:t xml:space="preserve">re endogenous </w:t>
      </w:r>
      <w:r w:rsidR="0076030B">
        <w:t xml:space="preserve">to </w:t>
      </w:r>
      <w:r w:rsidR="00E3346F">
        <w:t xml:space="preserve">the model. </w:t>
      </w:r>
    </w:p>
    <w:p w14:paraId="4D22E900" w14:textId="3DD81B94" w:rsidR="00A06063" w:rsidRPr="00A06063" w:rsidRDefault="00E459CC" w:rsidP="00BC5BB2">
      <w:pPr>
        <w:rPr>
          <w:lang w:val="en-GB"/>
        </w:rPr>
      </w:pPr>
      <w:r>
        <w:lastRenderedPageBreak/>
        <w:t>For this application, w</w:t>
      </w:r>
      <w:r w:rsidR="0077378D">
        <w:t xml:space="preserve">e assume a </w:t>
      </w:r>
      <w:r w:rsidR="00A25F34">
        <w:t xml:space="preserve">farmer devoted to </w:t>
      </w:r>
      <w:r w:rsidR="00D53190">
        <w:t xml:space="preserve">the commercial breeding of cows </w:t>
      </w:r>
      <w:r w:rsidR="00821ED9">
        <w:t xml:space="preserve">and </w:t>
      </w:r>
      <w:r w:rsidR="00A25F34">
        <w:t>sheep</w:t>
      </w:r>
      <w:r w:rsidR="00821ED9">
        <w:t xml:space="preserve"> </w:t>
      </w:r>
      <w:r w:rsidR="00A25F34">
        <w:t>on</w:t>
      </w:r>
      <w:r w:rsidR="00821ED9">
        <w:t xml:space="preserve"> natural rangelands. Although there </w:t>
      </w:r>
      <w:r w:rsidR="00A25F34">
        <w:t xml:space="preserve">may </w:t>
      </w:r>
      <w:r w:rsidR="00821ED9">
        <w:t xml:space="preserve">be other </w:t>
      </w:r>
      <w:r w:rsidR="003377E6">
        <w:t>production</w:t>
      </w:r>
      <w:r>
        <w:t xml:space="preserve"> activities, we restrict the revenues to </w:t>
      </w:r>
      <w:r w:rsidR="007E4757">
        <w:rPr>
          <w:lang w:val="en-GB"/>
        </w:rPr>
        <w:t xml:space="preserve">the </w:t>
      </w:r>
      <w:r w:rsidR="00A06063">
        <w:rPr>
          <w:lang w:val="en-GB"/>
        </w:rPr>
        <w:t xml:space="preserve">sale of </w:t>
      </w:r>
      <w:r w:rsidR="00C62016">
        <w:rPr>
          <w:lang w:val="en-GB"/>
        </w:rPr>
        <w:t>weaned</w:t>
      </w:r>
      <w:r w:rsidR="00A06063">
        <w:rPr>
          <w:lang w:val="en-GB"/>
        </w:rPr>
        <w:t xml:space="preserve"> calves, discarded cows, </w:t>
      </w:r>
      <w:r w:rsidR="00A25F34">
        <w:rPr>
          <w:lang w:val="en-GB"/>
        </w:rPr>
        <w:t xml:space="preserve">and </w:t>
      </w:r>
      <w:r w:rsidR="00A06063">
        <w:rPr>
          <w:lang w:val="en-GB"/>
        </w:rPr>
        <w:t>s</w:t>
      </w:r>
      <w:r w:rsidR="00DF5C1F">
        <w:rPr>
          <w:lang w:val="en-GB"/>
        </w:rPr>
        <w:t xml:space="preserve">heep </w:t>
      </w:r>
      <w:r w:rsidR="00A05E9A">
        <w:rPr>
          <w:lang w:val="en-GB"/>
        </w:rPr>
        <w:t>meat and wool</w:t>
      </w:r>
      <w:r w:rsidR="00A06063">
        <w:rPr>
          <w:lang w:val="en-GB"/>
        </w:rPr>
        <w:t xml:space="preserve">. </w:t>
      </w:r>
    </w:p>
    <w:p w14:paraId="4F5173AD" w14:textId="144BCA97" w:rsidR="00FB293A" w:rsidRDefault="00821ED9" w:rsidP="00BC5BB2">
      <w:pPr>
        <w:rPr>
          <w:lang w:val="en-GB"/>
        </w:rPr>
      </w:pPr>
      <w:r>
        <w:rPr>
          <w:lang w:val="en-GB"/>
        </w:rPr>
        <w:t>A</w:t>
      </w:r>
      <w:r w:rsidR="00A06063">
        <w:rPr>
          <w:lang w:val="en-GB"/>
        </w:rPr>
        <w:t xml:space="preserve"> reactive </w:t>
      </w:r>
      <w:r w:rsidR="005E526D">
        <w:rPr>
          <w:lang w:val="en-GB"/>
        </w:rPr>
        <w:t xml:space="preserve">(proactive) </w:t>
      </w:r>
      <w:r w:rsidR="00A06063">
        <w:rPr>
          <w:lang w:val="en-GB"/>
        </w:rPr>
        <w:t>strateg</w:t>
      </w:r>
      <w:r w:rsidR="007A2C54">
        <w:rPr>
          <w:lang w:val="en-GB"/>
        </w:rPr>
        <w:t xml:space="preserve">y </w:t>
      </w:r>
      <w:r w:rsidR="00A50E76">
        <w:rPr>
          <w:lang w:val="en-GB"/>
        </w:rPr>
        <w:t xml:space="preserve">of </w:t>
      </w:r>
      <w:r w:rsidR="00A25F34">
        <w:rPr>
          <w:lang w:val="en-GB"/>
        </w:rPr>
        <w:t>rangeland</w:t>
      </w:r>
      <w:r w:rsidR="00A50E76">
        <w:rPr>
          <w:lang w:val="en-GB"/>
        </w:rPr>
        <w:t xml:space="preserve"> </w:t>
      </w:r>
      <w:r w:rsidR="007A2C54">
        <w:rPr>
          <w:lang w:val="en-GB"/>
        </w:rPr>
        <w:t>manage</w:t>
      </w:r>
      <w:r w:rsidR="00A50E76">
        <w:rPr>
          <w:lang w:val="en-GB"/>
        </w:rPr>
        <w:t>ment</w:t>
      </w:r>
      <w:r w:rsidR="007A2C54">
        <w:rPr>
          <w:lang w:val="en-GB"/>
        </w:rPr>
        <w:t xml:space="preserve"> implies </w:t>
      </w:r>
      <w:r w:rsidR="005C2DE6">
        <w:rPr>
          <w:lang w:val="en-GB"/>
        </w:rPr>
        <w:t xml:space="preserve">in this paper </w:t>
      </w:r>
      <w:r w:rsidR="007A2C54">
        <w:rPr>
          <w:lang w:val="en-GB"/>
        </w:rPr>
        <w:t xml:space="preserve">an </w:t>
      </w:r>
      <w:r w:rsidR="00A25F34">
        <w:rPr>
          <w:lang w:val="en-GB"/>
        </w:rPr>
        <w:t xml:space="preserve">average stocking rate </w:t>
      </w:r>
      <w:r w:rsidR="007A2C54">
        <w:rPr>
          <w:lang w:val="en-GB"/>
        </w:rPr>
        <w:t xml:space="preserve">of 1.10 </w:t>
      </w:r>
      <w:r w:rsidR="005E526D">
        <w:rPr>
          <w:lang w:val="en-GB"/>
        </w:rPr>
        <w:t xml:space="preserve">(0.8) </w:t>
      </w:r>
      <w:r w:rsidR="007A2C54">
        <w:rPr>
          <w:lang w:val="en-GB"/>
        </w:rPr>
        <w:t>livestock units per h</w:t>
      </w:r>
      <w:r w:rsidR="00A25F34">
        <w:rPr>
          <w:lang w:val="en-GB"/>
        </w:rPr>
        <w:t>ectare (LU/ha)</w:t>
      </w:r>
      <w:r w:rsidR="007A2C54">
        <w:rPr>
          <w:lang w:val="en-GB"/>
        </w:rPr>
        <w:t xml:space="preserve">, </w:t>
      </w:r>
      <w:r w:rsidR="005E526D">
        <w:rPr>
          <w:lang w:val="en-GB"/>
        </w:rPr>
        <w:t xml:space="preserve">cows with </w:t>
      </w:r>
      <w:r w:rsidR="007A2C54">
        <w:rPr>
          <w:lang w:val="en-GB"/>
        </w:rPr>
        <w:t xml:space="preserve">initial </w:t>
      </w:r>
      <w:r w:rsidR="005E526D">
        <w:rPr>
          <w:lang w:val="en-GB"/>
        </w:rPr>
        <w:t xml:space="preserve">live </w:t>
      </w:r>
      <w:r w:rsidR="007A2C54">
        <w:rPr>
          <w:lang w:val="en-GB"/>
        </w:rPr>
        <w:t>weight of 320kg</w:t>
      </w:r>
      <w:r w:rsidR="005E526D">
        <w:rPr>
          <w:lang w:val="en-GB"/>
        </w:rPr>
        <w:t xml:space="preserve"> (350kg)</w:t>
      </w:r>
      <w:r w:rsidR="007A2C54">
        <w:rPr>
          <w:lang w:val="en-GB"/>
        </w:rPr>
        <w:t xml:space="preserve">, initial </w:t>
      </w:r>
      <w:r w:rsidR="005E526D">
        <w:rPr>
          <w:lang w:val="en-GB"/>
        </w:rPr>
        <w:t xml:space="preserve">grass </w:t>
      </w:r>
      <w:r w:rsidR="007A2C54">
        <w:rPr>
          <w:lang w:val="en-GB"/>
        </w:rPr>
        <w:t>height of 5cm</w:t>
      </w:r>
      <w:r w:rsidR="005E526D">
        <w:rPr>
          <w:lang w:val="en-GB"/>
        </w:rPr>
        <w:t xml:space="preserve"> (7cm)</w:t>
      </w:r>
      <w:r w:rsidR="007A2C54">
        <w:rPr>
          <w:lang w:val="en-GB"/>
        </w:rPr>
        <w:t>, and a s</w:t>
      </w:r>
      <w:r w:rsidR="006B4C73">
        <w:rPr>
          <w:lang w:val="en-GB"/>
        </w:rPr>
        <w:t xml:space="preserve">heep/cow </w:t>
      </w:r>
      <w:r w:rsidR="005E526D">
        <w:rPr>
          <w:lang w:val="en-GB"/>
        </w:rPr>
        <w:t xml:space="preserve">ratio </w:t>
      </w:r>
      <w:r w:rsidR="006B4C73">
        <w:rPr>
          <w:lang w:val="en-GB"/>
        </w:rPr>
        <w:t>of 4</w:t>
      </w:r>
      <w:r w:rsidR="00807DA7">
        <w:rPr>
          <w:lang w:val="en-GB"/>
        </w:rPr>
        <w:t>:</w:t>
      </w:r>
      <w:r w:rsidR="006B4C73">
        <w:rPr>
          <w:lang w:val="en-GB"/>
        </w:rPr>
        <w:t>1</w:t>
      </w:r>
      <w:r w:rsidR="005E526D">
        <w:rPr>
          <w:lang w:val="en-GB"/>
        </w:rPr>
        <w:t xml:space="preserve"> (1</w:t>
      </w:r>
      <w:r w:rsidR="00807DA7">
        <w:rPr>
          <w:lang w:val="en-GB"/>
        </w:rPr>
        <w:t>:</w:t>
      </w:r>
      <w:r w:rsidR="005E526D">
        <w:rPr>
          <w:lang w:val="en-GB"/>
        </w:rPr>
        <w:t>1)</w:t>
      </w:r>
      <w:r w:rsidR="006B4C73">
        <w:rPr>
          <w:lang w:val="en-GB"/>
        </w:rPr>
        <w:t xml:space="preserve">. </w:t>
      </w:r>
      <w:r w:rsidR="007A2C54">
        <w:rPr>
          <w:lang w:val="en-GB"/>
        </w:rPr>
        <w:t>The</w:t>
      </w:r>
      <w:r w:rsidR="006B4C73">
        <w:rPr>
          <w:lang w:val="en-GB"/>
        </w:rPr>
        <w:t>se</w:t>
      </w:r>
      <w:r w:rsidR="00A50E76">
        <w:rPr>
          <w:lang w:val="en-GB"/>
        </w:rPr>
        <w:t xml:space="preserve"> initial values </w:t>
      </w:r>
      <w:r w:rsidR="005E526D">
        <w:rPr>
          <w:lang w:val="en-GB"/>
        </w:rPr>
        <w:t xml:space="preserve">are extracted from </w:t>
      </w:r>
      <w:r w:rsidR="007A2C54">
        <w:rPr>
          <w:color w:val="000000" w:themeColor="text1"/>
          <w:lang w:val="en-GB"/>
        </w:rPr>
        <w:t>MGAP-FAO (</w:t>
      </w:r>
      <w:r w:rsidR="007A2C54" w:rsidRPr="007A2C54">
        <w:rPr>
          <w:color w:val="000000" w:themeColor="text1"/>
          <w:lang w:val="en-GB"/>
        </w:rPr>
        <w:t>2013</w:t>
      </w:r>
      <w:r w:rsidR="001117CF">
        <w:rPr>
          <w:color w:val="000000" w:themeColor="text1"/>
          <w:lang w:val="en-GB"/>
        </w:rPr>
        <w:t>b</w:t>
      </w:r>
      <w:r w:rsidR="007A2C54">
        <w:rPr>
          <w:color w:val="000000" w:themeColor="text1"/>
          <w:lang w:val="en-GB"/>
        </w:rPr>
        <w:t>)</w:t>
      </w:r>
      <w:r w:rsidR="007A2C54" w:rsidRPr="007A2C54">
        <w:rPr>
          <w:color w:val="000000" w:themeColor="text1"/>
          <w:lang w:val="en-GB"/>
        </w:rPr>
        <w:t xml:space="preserve"> </w:t>
      </w:r>
      <w:r w:rsidR="007A2C54">
        <w:rPr>
          <w:color w:val="000000" w:themeColor="text1"/>
          <w:lang w:val="en-GB"/>
        </w:rPr>
        <w:t xml:space="preserve">and are summarized in </w:t>
      </w:r>
      <w:r w:rsidR="00570D2E">
        <w:rPr>
          <w:color w:val="000000" w:themeColor="text1"/>
          <w:lang w:val="en-GB"/>
        </w:rPr>
        <w:t>Table S.6</w:t>
      </w:r>
      <w:r w:rsidR="005E526D">
        <w:rPr>
          <w:color w:val="000000" w:themeColor="text1"/>
          <w:lang w:val="en-GB"/>
        </w:rPr>
        <w:t xml:space="preserve"> </w:t>
      </w:r>
      <w:r w:rsidR="00570D2E">
        <w:rPr>
          <w:color w:val="000000" w:themeColor="text1"/>
          <w:lang w:val="en-GB"/>
        </w:rPr>
        <w:t>in supplementary material 5.</w:t>
      </w:r>
      <w:r w:rsidR="00B6636B">
        <w:rPr>
          <w:color w:val="000000" w:themeColor="text1"/>
          <w:lang w:val="en-GB"/>
        </w:rPr>
        <w:t xml:space="preserve"> </w:t>
      </w:r>
      <w:r w:rsidR="005E526D">
        <w:rPr>
          <w:rFonts w:eastAsia="Calibri"/>
          <w:lang w:val="en-GB"/>
        </w:rPr>
        <w:t xml:space="preserve">The proactive farmer owns </w:t>
      </w:r>
      <w:r w:rsidR="00EC0216">
        <w:rPr>
          <w:rFonts w:eastAsia="Calibri"/>
          <w:lang w:val="en-GB"/>
        </w:rPr>
        <w:t xml:space="preserve">a total of 700ha </w:t>
      </w:r>
      <w:r w:rsidR="005E526D">
        <w:rPr>
          <w:rFonts w:eastAsia="Calibri"/>
          <w:lang w:val="en-GB"/>
        </w:rPr>
        <w:t xml:space="preserve">with </w:t>
      </w:r>
      <w:r w:rsidR="00FB293A">
        <w:rPr>
          <w:rFonts w:eastAsia="Calibri"/>
          <w:lang w:val="en-GB"/>
        </w:rPr>
        <w:t>500ha</w:t>
      </w:r>
      <w:r w:rsidR="00EC0216">
        <w:rPr>
          <w:rFonts w:eastAsia="Calibri"/>
          <w:lang w:val="en-GB"/>
        </w:rPr>
        <w:t xml:space="preserve"> </w:t>
      </w:r>
      <w:r w:rsidR="00FB293A">
        <w:rPr>
          <w:rFonts w:eastAsia="Calibri"/>
          <w:lang w:val="en-GB"/>
        </w:rPr>
        <w:t xml:space="preserve">dedicated to </w:t>
      </w:r>
      <w:r w:rsidR="005E526D">
        <w:rPr>
          <w:rFonts w:eastAsia="Calibri"/>
          <w:lang w:val="en-GB"/>
        </w:rPr>
        <w:t xml:space="preserve">cow </w:t>
      </w:r>
      <w:r w:rsidR="00FB293A">
        <w:rPr>
          <w:rFonts w:eastAsia="Calibri"/>
          <w:lang w:val="en-GB"/>
        </w:rPr>
        <w:t xml:space="preserve">breeding. </w:t>
      </w:r>
      <w:r w:rsidR="00FB293A" w:rsidRPr="00FB293A">
        <w:rPr>
          <w:rFonts w:eastAsia="Calibri"/>
          <w:lang w:val="en-GB"/>
        </w:rPr>
        <w:t xml:space="preserve">The categories are calves, </w:t>
      </w:r>
      <w:r w:rsidR="00E459CC">
        <w:rPr>
          <w:rFonts w:eastAsia="Calibri"/>
          <w:lang w:val="en-GB"/>
        </w:rPr>
        <w:t>“</w:t>
      </w:r>
      <w:r w:rsidR="00054714">
        <w:rPr>
          <w:lang w:val="en-GB"/>
        </w:rPr>
        <w:t>cows in service</w:t>
      </w:r>
      <w:r w:rsidR="00E459CC">
        <w:rPr>
          <w:lang w:val="en-GB"/>
        </w:rPr>
        <w:t>”</w:t>
      </w:r>
      <w:r w:rsidR="00B944AE" w:rsidRPr="00FB293A">
        <w:rPr>
          <w:lang w:val="en-GB"/>
        </w:rPr>
        <w:t xml:space="preserve"> (</w:t>
      </w:r>
      <w:r w:rsidR="005C2DE6">
        <w:rPr>
          <w:lang w:val="en-GB"/>
        </w:rPr>
        <w:t>“</w:t>
      </w:r>
      <w:r w:rsidR="00FB293A" w:rsidRPr="00FB293A">
        <w:rPr>
          <w:lang w:val="en-GB"/>
        </w:rPr>
        <w:t>cows of more than one offspring</w:t>
      </w:r>
      <w:r w:rsidR="00A05E9A">
        <w:rPr>
          <w:lang w:val="en-GB"/>
        </w:rPr>
        <w:t>,</w:t>
      </w:r>
      <w:r w:rsidR="005C2DE6">
        <w:rPr>
          <w:lang w:val="en-GB"/>
        </w:rPr>
        <w:t>”</w:t>
      </w:r>
      <w:r w:rsidR="00A05E9A">
        <w:rPr>
          <w:lang w:val="en-GB"/>
        </w:rPr>
        <w:t xml:space="preserve"> “</w:t>
      </w:r>
      <w:r w:rsidR="00A56597">
        <w:rPr>
          <w:lang w:val="en-GB"/>
        </w:rPr>
        <w:t>heifers</w:t>
      </w:r>
      <w:r w:rsidR="00A56597" w:rsidRPr="00FB293A">
        <w:rPr>
          <w:lang w:val="en-GB"/>
        </w:rPr>
        <w:t xml:space="preserve"> </w:t>
      </w:r>
      <w:r w:rsidR="00FB293A">
        <w:rPr>
          <w:lang w:val="en-GB"/>
        </w:rPr>
        <w:t xml:space="preserve">of first </w:t>
      </w:r>
      <w:r w:rsidR="00FB293A" w:rsidRPr="00FB293A">
        <w:rPr>
          <w:lang w:val="en-GB"/>
        </w:rPr>
        <w:t>offspring</w:t>
      </w:r>
      <w:r w:rsidR="00A05E9A">
        <w:rPr>
          <w:lang w:val="en-GB"/>
        </w:rPr>
        <w:t>,</w:t>
      </w:r>
      <w:r w:rsidR="005C2DE6">
        <w:rPr>
          <w:lang w:val="en-GB"/>
        </w:rPr>
        <w:t>”</w:t>
      </w:r>
      <w:r w:rsidR="00A05E9A">
        <w:rPr>
          <w:lang w:val="en-GB"/>
        </w:rPr>
        <w:t xml:space="preserve"> “</w:t>
      </w:r>
      <w:r w:rsidR="00A56597">
        <w:rPr>
          <w:lang w:val="en-GB"/>
        </w:rPr>
        <w:t>heifers</w:t>
      </w:r>
      <w:r w:rsidR="00B944AE" w:rsidRPr="00FB293A">
        <w:rPr>
          <w:lang w:val="en-GB"/>
        </w:rPr>
        <w:t xml:space="preserve"> </w:t>
      </w:r>
      <w:r w:rsidR="00FB293A">
        <w:rPr>
          <w:lang w:val="en-GB"/>
        </w:rPr>
        <w:t xml:space="preserve">of </w:t>
      </w:r>
      <w:r w:rsidR="004A1B43">
        <w:rPr>
          <w:lang w:val="en-GB"/>
        </w:rPr>
        <w:t>one and two</w:t>
      </w:r>
      <w:r w:rsidR="00FB293A">
        <w:rPr>
          <w:lang w:val="en-GB"/>
        </w:rPr>
        <w:t xml:space="preserve"> years</w:t>
      </w:r>
      <w:r w:rsidR="00A05E9A">
        <w:rPr>
          <w:lang w:val="en-GB"/>
        </w:rPr>
        <w:t>,</w:t>
      </w:r>
      <w:r w:rsidR="005C2DE6">
        <w:rPr>
          <w:lang w:val="en-GB"/>
        </w:rPr>
        <w:t>”</w:t>
      </w:r>
      <w:r w:rsidR="00B944AE" w:rsidRPr="00FB293A">
        <w:rPr>
          <w:lang w:val="en-GB"/>
        </w:rPr>
        <w:t xml:space="preserve"> </w:t>
      </w:r>
      <w:r w:rsidR="00FB293A">
        <w:rPr>
          <w:lang w:val="en-GB"/>
        </w:rPr>
        <w:t>and</w:t>
      </w:r>
      <w:r w:rsidR="00B944AE" w:rsidRPr="00FB293A">
        <w:rPr>
          <w:lang w:val="en-GB"/>
        </w:rPr>
        <w:t xml:space="preserve"> </w:t>
      </w:r>
      <w:r w:rsidR="00C62016">
        <w:rPr>
          <w:lang w:val="en-GB"/>
        </w:rPr>
        <w:t xml:space="preserve">weaned </w:t>
      </w:r>
      <w:r w:rsidR="00A56597">
        <w:rPr>
          <w:lang w:val="en-GB"/>
        </w:rPr>
        <w:t>heifers</w:t>
      </w:r>
      <w:r w:rsidR="00B944AE" w:rsidRPr="00FB293A">
        <w:rPr>
          <w:lang w:val="en-GB"/>
        </w:rPr>
        <w:t xml:space="preserve">), </w:t>
      </w:r>
      <w:r w:rsidR="00FB293A">
        <w:rPr>
          <w:lang w:val="en-GB"/>
        </w:rPr>
        <w:t>and sheep</w:t>
      </w:r>
      <w:r w:rsidR="00B944AE" w:rsidRPr="00FB293A">
        <w:rPr>
          <w:lang w:val="en-GB"/>
        </w:rPr>
        <w:t xml:space="preserve">. </w:t>
      </w:r>
      <w:r w:rsidR="00FB293A" w:rsidRPr="00FB293A">
        <w:rPr>
          <w:lang w:val="en-GB"/>
        </w:rPr>
        <w:t xml:space="preserve">The </w:t>
      </w:r>
      <w:r w:rsidR="00C62016">
        <w:rPr>
          <w:lang w:val="en-GB"/>
        </w:rPr>
        <w:t xml:space="preserve">weaned </w:t>
      </w:r>
      <w:r w:rsidR="00A56597">
        <w:rPr>
          <w:lang w:val="en-GB"/>
        </w:rPr>
        <w:t>heifers</w:t>
      </w:r>
      <w:r w:rsidR="00A56597" w:rsidRPr="00FB293A">
        <w:rPr>
          <w:lang w:val="en-GB"/>
        </w:rPr>
        <w:t xml:space="preserve"> </w:t>
      </w:r>
      <w:r w:rsidR="00FB293A" w:rsidRPr="00FB293A">
        <w:rPr>
          <w:lang w:val="en-GB"/>
        </w:rPr>
        <w:t>and</w:t>
      </w:r>
      <w:r w:rsidR="00B944AE" w:rsidRPr="00FB293A">
        <w:rPr>
          <w:lang w:val="en-GB"/>
        </w:rPr>
        <w:t xml:space="preserve"> </w:t>
      </w:r>
      <w:r w:rsidR="005C2DE6">
        <w:rPr>
          <w:lang w:val="en-GB"/>
        </w:rPr>
        <w:t>“</w:t>
      </w:r>
      <w:r w:rsidR="00A56597">
        <w:rPr>
          <w:lang w:val="en-GB"/>
        </w:rPr>
        <w:t>heifers</w:t>
      </w:r>
      <w:r w:rsidR="00A56597" w:rsidRPr="00FB293A">
        <w:rPr>
          <w:lang w:val="en-GB"/>
        </w:rPr>
        <w:t xml:space="preserve"> </w:t>
      </w:r>
      <w:r w:rsidR="00FB293A" w:rsidRPr="00FB293A">
        <w:rPr>
          <w:lang w:val="en-GB"/>
        </w:rPr>
        <w:t xml:space="preserve">of </w:t>
      </w:r>
      <w:r w:rsidR="004A1B43">
        <w:rPr>
          <w:lang w:val="en-GB"/>
        </w:rPr>
        <w:t>one and two</w:t>
      </w:r>
      <w:r w:rsidR="00FB293A" w:rsidRPr="00FB293A">
        <w:rPr>
          <w:lang w:val="en-GB"/>
        </w:rPr>
        <w:t xml:space="preserve"> years</w:t>
      </w:r>
      <w:r w:rsidR="005C2DE6">
        <w:rPr>
          <w:lang w:val="en-GB"/>
        </w:rPr>
        <w:t>” a</w:t>
      </w:r>
      <w:r w:rsidR="005E526D">
        <w:rPr>
          <w:lang w:val="en-GB"/>
        </w:rPr>
        <w:t>re the replacement for</w:t>
      </w:r>
      <w:r w:rsidR="00FB293A">
        <w:rPr>
          <w:lang w:val="en-GB"/>
        </w:rPr>
        <w:t xml:space="preserve"> </w:t>
      </w:r>
      <w:r w:rsidR="005C2DE6">
        <w:rPr>
          <w:lang w:val="en-GB"/>
        </w:rPr>
        <w:t>“</w:t>
      </w:r>
      <w:r w:rsidR="00054714">
        <w:rPr>
          <w:lang w:val="en-GB"/>
        </w:rPr>
        <w:t>cows in service</w:t>
      </w:r>
      <w:r w:rsidR="005C2DE6">
        <w:rPr>
          <w:lang w:val="en-GB"/>
        </w:rPr>
        <w:t>”</w:t>
      </w:r>
      <w:r w:rsidR="00B944AE" w:rsidRPr="00FB293A">
        <w:rPr>
          <w:lang w:val="en-GB"/>
        </w:rPr>
        <w:t xml:space="preserve">. </w:t>
      </w:r>
      <w:r w:rsidR="00F24E9B">
        <w:rPr>
          <w:lang w:val="en-GB"/>
        </w:rPr>
        <w:t>T</w:t>
      </w:r>
      <w:r w:rsidR="00FB293A">
        <w:rPr>
          <w:lang w:val="en-GB"/>
        </w:rPr>
        <w:t xml:space="preserve">o simplify the presentation, </w:t>
      </w:r>
      <w:r w:rsidR="005E526D">
        <w:rPr>
          <w:lang w:val="en-GB"/>
        </w:rPr>
        <w:t xml:space="preserve">our simulation </w:t>
      </w:r>
      <w:r w:rsidR="00FB293A">
        <w:rPr>
          <w:lang w:val="en-GB"/>
        </w:rPr>
        <w:t>focus</w:t>
      </w:r>
      <w:r w:rsidR="005E526D">
        <w:rPr>
          <w:lang w:val="en-GB"/>
        </w:rPr>
        <w:t>es</w:t>
      </w:r>
      <w:r w:rsidR="00FB293A">
        <w:rPr>
          <w:lang w:val="en-GB"/>
        </w:rPr>
        <w:t xml:space="preserve"> </w:t>
      </w:r>
      <w:r w:rsidR="00604C04">
        <w:rPr>
          <w:lang w:val="en-GB"/>
        </w:rPr>
        <w:t>on</w:t>
      </w:r>
      <w:r w:rsidR="00FB293A">
        <w:rPr>
          <w:lang w:val="en-GB"/>
        </w:rPr>
        <w:t xml:space="preserve"> </w:t>
      </w:r>
      <w:r w:rsidR="005C2DE6">
        <w:rPr>
          <w:lang w:val="en-GB"/>
        </w:rPr>
        <w:t>“</w:t>
      </w:r>
      <w:r w:rsidR="00FB293A">
        <w:rPr>
          <w:lang w:val="en-GB"/>
        </w:rPr>
        <w:t>cows of mo</w:t>
      </w:r>
      <w:r w:rsidR="005C2DE6">
        <w:rPr>
          <w:lang w:val="en-GB"/>
        </w:rPr>
        <w:t>re than one offspring” and calves</w:t>
      </w:r>
      <w:r w:rsidR="00FB293A">
        <w:rPr>
          <w:lang w:val="en-GB"/>
        </w:rPr>
        <w:t>.</w:t>
      </w:r>
      <w:r w:rsidR="00BE6F7A">
        <w:rPr>
          <w:lang w:val="en-GB"/>
        </w:rPr>
        <w:t xml:space="preserve"> Incorporating profits of the remaining categ</w:t>
      </w:r>
      <w:r w:rsidR="00A309B8">
        <w:rPr>
          <w:lang w:val="en-GB"/>
        </w:rPr>
        <w:t>ories does not affect our final conclusions.</w:t>
      </w:r>
      <w:r w:rsidR="00FB293A">
        <w:rPr>
          <w:lang w:val="en-GB"/>
        </w:rPr>
        <w:t xml:space="preserve"> </w:t>
      </w:r>
    </w:p>
    <w:p w14:paraId="02CF830D" w14:textId="14FC8B95" w:rsidR="00EE50B5" w:rsidRDefault="005C4079" w:rsidP="00BC5BB2">
      <w:pPr>
        <w:rPr>
          <w:lang w:val="en-GB"/>
        </w:rPr>
      </w:pPr>
      <w:r>
        <w:rPr>
          <w:lang w:val="en-GB"/>
        </w:rPr>
        <w:t>T</w:t>
      </w:r>
      <w:r w:rsidR="00EE50B5">
        <w:rPr>
          <w:lang w:val="en-GB"/>
        </w:rPr>
        <w:t xml:space="preserve">he </w:t>
      </w:r>
      <w:r w:rsidR="003377E6">
        <w:rPr>
          <w:lang w:val="en-GB"/>
        </w:rPr>
        <w:t>production</w:t>
      </w:r>
      <w:r w:rsidR="00EE50B5">
        <w:rPr>
          <w:lang w:val="en-GB"/>
        </w:rPr>
        <w:t xml:space="preserve"> cycle starts with the summer </w:t>
      </w:r>
      <w:r w:rsidR="00054714">
        <w:rPr>
          <w:lang w:val="en-GB"/>
        </w:rPr>
        <w:t>breeding</w:t>
      </w:r>
      <w:r w:rsidR="00EE50B5">
        <w:rPr>
          <w:lang w:val="en-GB"/>
        </w:rPr>
        <w:t xml:space="preserve"> of the </w:t>
      </w:r>
      <w:r w:rsidR="005C2DE6">
        <w:rPr>
          <w:lang w:val="en-GB"/>
        </w:rPr>
        <w:t>“</w:t>
      </w:r>
      <w:r w:rsidR="00EE50B5">
        <w:rPr>
          <w:lang w:val="en-GB"/>
        </w:rPr>
        <w:t>cows</w:t>
      </w:r>
      <w:r w:rsidR="001A623F">
        <w:rPr>
          <w:lang w:val="en-GB"/>
        </w:rPr>
        <w:t xml:space="preserve"> in service</w:t>
      </w:r>
      <w:r w:rsidR="00A309B8">
        <w:rPr>
          <w:lang w:val="en-GB"/>
        </w:rPr>
        <w:t>.</w:t>
      </w:r>
      <w:r w:rsidR="005C2DE6">
        <w:rPr>
          <w:lang w:val="en-GB"/>
        </w:rPr>
        <w:t>”</w:t>
      </w:r>
      <w:r w:rsidR="00604C04">
        <w:rPr>
          <w:lang w:val="en-GB"/>
        </w:rPr>
        <w:t xml:space="preserve"> </w:t>
      </w:r>
      <w:r w:rsidR="005E526D">
        <w:rPr>
          <w:lang w:val="en-GB"/>
        </w:rPr>
        <w:t xml:space="preserve">The model computes an </w:t>
      </w:r>
      <w:r w:rsidR="00EE50B5">
        <w:rPr>
          <w:lang w:val="en-GB"/>
        </w:rPr>
        <w:t xml:space="preserve">average pregnancy </w:t>
      </w:r>
      <w:r w:rsidR="009117D6">
        <w:rPr>
          <w:lang w:val="en-GB"/>
        </w:rPr>
        <w:t>rate</w:t>
      </w:r>
      <w:r w:rsidR="00EE50B5">
        <w:rPr>
          <w:lang w:val="en-GB"/>
        </w:rPr>
        <w:t xml:space="preserve"> </w:t>
      </w:r>
      <w:r w:rsidR="005E526D">
        <w:rPr>
          <w:lang w:val="en-GB"/>
        </w:rPr>
        <w:t xml:space="preserve">based on </w:t>
      </w:r>
      <w:r w:rsidR="00604C04">
        <w:rPr>
          <w:lang w:val="en-GB"/>
        </w:rPr>
        <w:t xml:space="preserve">the average weight of the herd </w:t>
      </w:r>
      <w:r w:rsidR="005E526D">
        <w:rPr>
          <w:lang w:val="en-GB"/>
        </w:rPr>
        <w:t>and grass height</w:t>
      </w:r>
      <w:r w:rsidR="00EE50B5">
        <w:rPr>
          <w:lang w:val="en-GB"/>
        </w:rPr>
        <w:t xml:space="preserve">. The pregnant cows continue their </w:t>
      </w:r>
      <w:r w:rsidR="009117D6">
        <w:rPr>
          <w:lang w:val="en-GB"/>
        </w:rPr>
        <w:t>gestation</w:t>
      </w:r>
      <w:r w:rsidR="00EE50B5">
        <w:rPr>
          <w:lang w:val="en-GB"/>
        </w:rPr>
        <w:t xml:space="preserve"> </w:t>
      </w:r>
      <w:r w:rsidR="009117D6">
        <w:rPr>
          <w:lang w:val="en-GB"/>
        </w:rPr>
        <w:t>period</w:t>
      </w:r>
      <w:r w:rsidR="00EE50B5">
        <w:rPr>
          <w:lang w:val="en-GB"/>
        </w:rPr>
        <w:t xml:space="preserve"> towards the next season (</w:t>
      </w:r>
      <w:r w:rsidR="00BF287E">
        <w:rPr>
          <w:lang w:val="en-GB"/>
        </w:rPr>
        <w:t>fall</w:t>
      </w:r>
      <w:r w:rsidR="00EE50B5">
        <w:rPr>
          <w:lang w:val="en-GB"/>
        </w:rPr>
        <w:t xml:space="preserve">) gaining or losing </w:t>
      </w:r>
      <w:r w:rsidR="005E526D">
        <w:rPr>
          <w:lang w:val="en-GB"/>
        </w:rPr>
        <w:t>weight</w:t>
      </w:r>
      <w:r w:rsidR="00EE50B5">
        <w:rPr>
          <w:lang w:val="en-GB"/>
        </w:rPr>
        <w:t xml:space="preserve">, while the failed cows are discarded </w:t>
      </w:r>
      <w:r w:rsidR="005E526D">
        <w:rPr>
          <w:lang w:val="en-GB"/>
        </w:rPr>
        <w:t xml:space="preserve">from </w:t>
      </w:r>
      <w:r w:rsidR="00EE50B5">
        <w:rPr>
          <w:lang w:val="en-GB"/>
        </w:rPr>
        <w:t xml:space="preserve">the herd and </w:t>
      </w:r>
      <w:r w:rsidR="005E526D">
        <w:rPr>
          <w:lang w:val="en-GB"/>
        </w:rPr>
        <w:t>send</w:t>
      </w:r>
      <w:r w:rsidR="00EE50B5">
        <w:rPr>
          <w:lang w:val="en-GB"/>
        </w:rPr>
        <w:t xml:space="preserve"> to </w:t>
      </w:r>
      <w:r w:rsidR="006013D9">
        <w:rPr>
          <w:lang w:val="en-GB"/>
        </w:rPr>
        <w:t>finishing</w:t>
      </w:r>
      <w:r w:rsidR="00B16311">
        <w:rPr>
          <w:lang w:val="en-GB"/>
        </w:rPr>
        <w:t xml:space="preserve"> to be sold in summer</w:t>
      </w:r>
      <w:r w:rsidR="00EE50B5">
        <w:rPr>
          <w:lang w:val="en-GB"/>
        </w:rPr>
        <w:t>.</w:t>
      </w:r>
      <w:r w:rsidR="00B944AE">
        <w:rPr>
          <w:rStyle w:val="Refdenotaalpie"/>
          <w:szCs w:val="24"/>
        </w:rPr>
        <w:footnoteReference w:id="15"/>
      </w:r>
      <w:r w:rsidR="00EE50B5">
        <w:rPr>
          <w:lang w:val="en-GB"/>
        </w:rPr>
        <w:t xml:space="preserve"> </w:t>
      </w:r>
      <w:r w:rsidR="00E459CC">
        <w:rPr>
          <w:lang w:val="en-GB"/>
        </w:rPr>
        <w:t xml:space="preserve">In spring, </w:t>
      </w:r>
      <w:r w:rsidR="00330775">
        <w:rPr>
          <w:lang w:val="en-GB"/>
        </w:rPr>
        <w:t xml:space="preserve">cows have their offspring, </w:t>
      </w:r>
      <w:r w:rsidR="005C2DE6">
        <w:rPr>
          <w:lang w:val="en-GB"/>
        </w:rPr>
        <w:t>switching category to</w:t>
      </w:r>
      <w:r w:rsidR="00330775">
        <w:rPr>
          <w:lang w:val="en-GB"/>
        </w:rPr>
        <w:t xml:space="preserve"> </w:t>
      </w:r>
      <w:r w:rsidR="00E459CC">
        <w:rPr>
          <w:lang w:val="en-GB"/>
        </w:rPr>
        <w:t>“</w:t>
      </w:r>
      <w:r w:rsidR="00330775">
        <w:rPr>
          <w:lang w:val="en-GB"/>
        </w:rPr>
        <w:t>cows with calves</w:t>
      </w:r>
      <w:r w:rsidR="00E459CC">
        <w:rPr>
          <w:lang w:val="en-GB"/>
        </w:rPr>
        <w:t>” and therefore their</w:t>
      </w:r>
      <w:r w:rsidR="00B16311">
        <w:rPr>
          <w:lang w:val="en-GB"/>
        </w:rPr>
        <w:t xml:space="preserve"> </w:t>
      </w:r>
      <w:r w:rsidR="00A309B8">
        <w:rPr>
          <w:lang w:val="en-GB"/>
        </w:rPr>
        <w:t xml:space="preserve">weight </w:t>
      </w:r>
      <w:r w:rsidR="00B16311">
        <w:rPr>
          <w:lang w:val="en-GB"/>
        </w:rPr>
        <w:t>equation gain</w:t>
      </w:r>
      <w:r w:rsidR="00E459CC">
        <w:rPr>
          <w:lang w:val="en-GB"/>
        </w:rPr>
        <w:t xml:space="preserve"> also </w:t>
      </w:r>
      <w:r w:rsidR="0074184B">
        <w:rPr>
          <w:lang w:val="en-GB"/>
        </w:rPr>
        <w:t>changes</w:t>
      </w:r>
      <w:r w:rsidR="00330775">
        <w:rPr>
          <w:lang w:val="en-GB"/>
        </w:rPr>
        <w:t xml:space="preserve">. </w:t>
      </w:r>
      <w:r w:rsidR="00B16311">
        <w:rPr>
          <w:lang w:val="en-GB"/>
        </w:rPr>
        <w:t>C</w:t>
      </w:r>
      <w:r w:rsidR="00330775">
        <w:rPr>
          <w:lang w:val="en-GB"/>
        </w:rPr>
        <w:t>ow</w:t>
      </w:r>
      <w:r w:rsidR="00B16311">
        <w:rPr>
          <w:lang w:val="en-GB"/>
        </w:rPr>
        <w:t xml:space="preserve"> weight is </w:t>
      </w:r>
      <w:r w:rsidR="00330775">
        <w:rPr>
          <w:lang w:val="en-GB"/>
        </w:rPr>
        <w:lastRenderedPageBreak/>
        <w:t xml:space="preserve">adjusted </w:t>
      </w:r>
      <w:r w:rsidR="0003134F">
        <w:rPr>
          <w:lang w:val="en-GB"/>
        </w:rPr>
        <w:t xml:space="preserve">down </w:t>
      </w:r>
      <w:r w:rsidR="00B16311">
        <w:rPr>
          <w:lang w:val="en-GB"/>
        </w:rPr>
        <w:t xml:space="preserve">by the </w:t>
      </w:r>
      <w:r w:rsidR="0003134F">
        <w:rPr>
          <w:lang w:val="en-GB"/>
        </w:rPr>
        <w:t xml:space="preserve">weight </w:t>
      </w:r>
      <w:r w:rsidR="00B16311">
        <w:rPr>
          <w:lang w:val="en-GB"/>
        </w:rPr>
        <w:t xml:space="preserve">of the new </w:t>
      </w:r>
      <w:r w:rsidR="0003134F">
        <w:rPr>
          <w:lang w:val="en-GB"/>
        </w:rPr>
        <w:t xml:space="preserve">born calf. </w:t>
      </w:r>
      <w:r w:rsidR="00E459CC">
        <w:rPr>
          <w:lang w:val="en-GB"/>
        </w:rPr>
        <w:t xml:space="preserve"> The </w:t>
      </w:r>
      <w:r w:rsidR="00807DA7">
        <w:rPr>
          <w:lang w:val="en-GB"/>
        </w:rPr>
        <w:t>male/</w:t>
      </w:r>
      <w:r w:rsidR="0074184B">
        <w:rPr>
          <w:lang w:val="en-GB"/>
        </w:rPr>
        <w:t>female ratio of</w:t>
      </w:r>
      <w:r w:rsidR="00E459CC">
        <w:rPr>
          <w:lang w:val="en-GB"/>
        </w:rPr>
        <w:t xml:space="preserve"> births is set to 1:1. </w:t>
      </w:r>
    </w:p>
    <w:p w14:paraId="56220C0B" w14:textId="77777777" w:rsidR="008A33DB" w:rsidRDefault="0003134F" w:rsidP="00BC5BB2">
      <w:pPr>
        <w:rPr>
          <w:rFonts w:eastAsiaTheme="minorEastAsia"/>
        </w:rPr>
      </w:pPr>
      <w:r>
        <w:rPr>
          <w:lang w:val="en-GB"/>
        </w:rPr>
        <w:t>In</w:t>
      </w:r>
      <w:r w:rsidR="00B16311">
        <w:rPr>
          <w:lang w:val="en-GB"/>
        </w:rPr>
        <w:t xml:space="preserve"> the</w:t>
      </w:r>
      <w:r w:rsidR="005C2DE6">
        <w:rPr>
          <w:lang w:val="en-GB"/>
        </w:rPr>
        <w:t xml:space="preserve"> summer</w:t>
      </w:r>
      <w:r w:rsidR="003377E6">
        <w:rPr>
          <w:lang w:val="en-GB"/>
        </w:rPr>
        <w:t>,</w:t>
      </w:r>
      <w:r>
        <w:rPr>
          <w:lang w:val="en-GB"/>
        </w:rPr>
        <w:t xml:space="preserve"> </w:t>
      </w:r>
      <w:r w:rsidR="00903531">
        <w:rPr>
          <w:lang w:val="en-GB"/>
        </w:rPr>
        <w:t xml:space="preserve">the </w:t>
      </w:r>
      <w:r w:rsidR="003377E6">
        <w:rPr>
          <w:lang w:val="en-GB"/>
        </w:rPr>
        <w:t xml:space="preserve">reproductive </w:t>
      </w:r>
      <w:r w:rsidR="00903531">
        <w:rPr>
          <w:lang w:val="en-GB"/>
        </w:rPr>
        <w:t xml:space="preserve">cycle </w:t>
      </w:r>
      <w:r w:rsidR="00E459CC">
        <w:rPr>
          <w:lang w:val="en-GB"/>
        </w:rPr>
        <w:t>ends</w:t>
      </w:r>
      <w:r w:rsidR="005C2DE6">
        <w:rPr>
          <w:lang w:val="en-GB"/>
        </w:rPr>
        <w:t>,</w:t>
      </w:r>
      <w:r w:rsidR="00E459CC">
        <w:rPr>
          <w:lang w:val="en-GB"/>
        </w:rPr>
        <w:t xml:space="preserve"> and t</w:t>
      </w:r>
      <w:r w:rsidR="00B16311">
        <w:rPr>
          <w:lang w:val="en-GB"/>
        </w:rPr>
        <w:t xml:space="preserve">he </w:t>
      </w:r>
      <w:r>
        <w:rPr>
          <w:lang w:val="en-GB"/>
        </w:rPr>
        <w:t xml:space="preserve">following management </w:t>
      </w:r>
      <w:r w:rsidR="00B16311">
        <w:rPr>
          <w:lang w:val="en-GB"/>
        </w:rPr>
        <w:t>decisions are made</w:t>
      </w:r>
      <w:r w:rsidR="005C2DE6">
        <w:rPr>
          <w:lang w:val="en-GB"/>
        </w:rPr>
        <w:t>.</w:t>
      </w:r>
      <w:r>
        <w:rPr>
          <w:lang w:val="en-GB"/>
        </w:rPr>
        <w:t xml:space="preserve"> (a) 20% of the </w:t>
      </w:r>
      <w:r w:rsidR="001A623F">
        <w:rPr>
          <w:lang w:val="en-GB"/>
        </w:rPr>
        <w:t xml:space="preserve">cows in service </w:t>
      </w:r>
      <w:r w:rsidR="0077378D">
        <w:rPr>
          <w:lang w:val="en-GB"/>
        </w:rPr>
        <w:t>are</w:t>
      </w:r>
      <w:r>
        <w:rPr>
          <w:lang w:val="en-GB"/>
        </w:rPr>
        <w:t xml:space="preserve"> discarded </w:t>
      </w:r>
      <w:r w:rsidR="00B16311">
        <w:rPr>
          <w:lang w:val="en-GB"/>
        </w:rPr>
        <w:t xml:space="preserve">after </w:t>
      </w:r>
      <w:r>
        <w:rPr>
          <w:lang w:val="en-GB"/>
        </w:rPr>
        <w:t>their</w:t>
      </w:r>
      <w:r w:rsidR="00B16311">
        <w:rPr>
          <w:lang w:val="en-GB"/>
        </w:rPr>
        <w:t xml:space="preserve"> fifth </w:t>
      </w:r>
      <w:r>
        <w:rPr>
          <w:lang w:val="en-GB"/>
        </w:rPr>
        <w:t xml:space="preserve">offspring. </w:t>
      </w:r>
      <w:r w:rsidRPr="00A17747">
        <w:rPr>
          <w:lang w:val="en-GB"/>
        </w:rPr>
        <w:t xml:space="preserve">(b) </w:t>
      </w:r>
      <w:r w:rsidR="001258CB">
        <w:rPr>
          <w:lang w:val="en-GB"/>
        </w:rPr>
        <w:t xml:space="preserve">Cows in service increase by one category: </w:t>
      </w:r>
      <w:r w:rsidR="00E459CC">
        <w:rPr>
          <w:lang w:val="en-GB"/>
        </w:rPr>
        <w:t>“</w:t>
      </w:r>
      <w:r w:rsidR="00A56597">
        <w:rPr>
          <w:lang w:val="en-GB"/>
        </w:rPr>
        <w:t>heifers</w:t>
      </w:r>
      <w:r w:rsidR="00A56597" w:rsidRPr="00FB293A">
        <w:rPr>
          <w:lang w:val="en-GB"/>
        </w:rPr>
        <w:t xml:space="preserve"> </w:t>
      </w:r>
      <w:r w:rsidR="00A17747" w:rsidRPr="00A17747">
        <w:rPr>
          <w:lang w:val="en-GB"/>
        </w:rPr>
        <w:t>of first offspring</w:t>
      </w:r>
      <w:r w:rsidR="00A309B8">
        <w:rPr>
          <w:lang w:val="en-GB"/>
        </w:rPr>
        <w:t xml:space="preserve">” </w:t>
      </w:r>
      <w:r w:rsidR="00A17747">
        <w:rPr>
          <w:lang w:val="en-GB"/>
        </w:rPr>
        <w:t xml:space="preserve">change to </w:t>
      </w:r>
      <w:r w:rsidR="00E459CC">
        <w:rPr>
          <w:lang w:val="en-GB"/>
        </w:rPr>
        <w:t>“</w:t>
      </w:r>
      <w:r w:rsidR="00A17747">
        <w:rPr>
          <w:lang w:val="en-GB"/>
        </w:rPr>
        <w:t>cows with more than one offspring</w:t>
      </w:r>
      <w:r w:rsidR="00A309B8">
        <w:rPr>
          <w:lang w:val="en-GB"/>
        </w:rPr>
        <w:t>,</w:t>
      </w:r>
      <w:r w:rsidR="00E459CC">
        <w:rPr>
          <w:lang w:val="en-GB"/>
        </w:rPr>
        <w:t>”</w:t>
      </w:r>
      <w:r w:rsidR="008A33DB">
        <w:rPr>
          <w:lang w:val="en-GB"/>
        </w:rPr>
        <w:t xml:space="preserve"> </w:t>
      </w:r>
      <w:r w:rsidR="001258CB">
        <w:rPr>
          <w:lang w:val="en-GB"/>
        </w:rPr>
        <w:t xml:space="preserve">and </w:t>
      </w:r>
      <w:r w:rsidR="00E459CC">
        <w:rPr>
          <w:lang w:val="en-GB"/>
        </w:rPr>
        <w:t>“</w:t>
      </w:r>
      <w:r w:rsidR="001258CB">
        <w:rPr>
          <w:lang w:val="en-GB"/>
        </w:rPr>
        <w:t xml:space="preserve">heifers of </w:t>
      </w:r>
      <w:r w:rsidR="00E459CC">
        <w:rPr>
          <w:lang w:val="en-GB"/>
        </w:rPr>
        <w:t>two</w:t>
      </w:r>
      <w:r w:rsidR="001258CB">
        <w:rPr>
          <w:lang w:val="en-GB"/>
        </w:rPr>
        <w:t xml:space="preserve"> years</w:t>
      </w:r>
      <w:r w:rsidR="00E459CC">
        <w:rPr>
          <w:lang w:val="en-GB"/>
        </w:rPr>
        <w:t>”</w:t>
      </w:r>
      <w:r w:rsidR="001258CB">
        <w:rPr>
          <w:lang w:val="en-GB"/>
        </w:rPr>
        <w:t xml:space="preserve"> enter to the </w:t>
      </w:r>
      <w:r w:rsidR="00E459CC">
        <w:rPr>
          <w:lang w:val="en-GB"/>
        </w:rPr>
        <w:t>“</w:t>
      </w:r>
      <w:r w:rsidR="001258CB">
        <w:rPr>
          <w:lang w:val="en-GB"/>
        </w:rPr>
        <w:t>cows in service</w:t>
      </w:r>
      <w:r w:rsidR="00E459CC">
        <w:rPr>
          <w:lang w:val="en-GB"/>
        </w:rPr>
        <w:t>”</w:t>
      </w:r>
      <w:r w:rsidR="001258CB">
        <w:rPr>
          <w:lang w:val="en-GB"/>
        </w:rPr>
        <w:t xml:space="preserve"> category</w:t>
      </w:r>
      <w:r w:rsidR="001258CB" w:rsidRPr="00A17747">
        <w:rPr>
          <w:lang w:val="en-GB"/>
        </w:rPr>
        <w:t>.</w:t>
      </w:r>
      <w:r w:rsidR="001258CB">
        <w:rPr>
          <w:rStyle w:val="Refdenotaalpie"/>
          <w:szCs w:val="24"/>
        </w:rPr>
        <w:footnoteReference w:id="16"/>
      </w:r>
      <w:r w:rsidR="00A17747">
        <w:rPr>
          <w:lang w:val="en-GB"/>
        </w:rPr>
        <w:t xml:space="preserve"> (c) At the end of the summer, the calves are </w:t>
      </w:r>
      <w:r w:rsidR="00C32521">
        <w:rPr>
          <w:lang w:val="en-GB"/>
        </w:rPr>
        <w:t>weaned,</w:t>
      </w:r>
      <w:r w:rsidR="00A17747">
        <w:rPr>
          <w:lang w:val="en-GB"/>
        </w:rPr>
        <w:t xml:space="preserve"> the males </w:t>
      </w:r>
      <w:r w:rsidR="00E8348B">
        <w:rPr>
          <w:lang w:val="en-GB"/>
        </w:rPr>
        <w:t>and females</w:t>
      </w:r>
      <w:r w:rsidR="00C32521">
        <w:rPr>
          <w:lang w:val="en-GB"/>
        </w:rPr>
        <w:t xml:space="preserve"> that </w:t>
      </w:r>
      <w:r w:rsidR="008A33DB">
        <w:rPr>
          <w:lang w:val="en-GB"/>
        </w:rPr>
        <w:t>are</w:t>
      </w:r>
      <w:r w:rsidR="00E8348B">
        <w:rPr>
          <w:lang w:val="en-GB"/>
        </w:rPr>
        <w:t xml:space="preserve"> not for reposition </w:t>
      </w:r>
      <w:r w:rsidR="00A17747">
        <w:rPr>
          <w:lang w:val="en-GB"/>
        </w:rPr>
        <w:t>are sold</w:t>
      </w:r>
      <w:r w:rsidR="00E8348B">
        <w:rPr>
          <w:lang w:val="en-GB"/>
        </w:rPr>
        <w:t>, and so are the discarded cows.</w:t>
      </w:r>
      <w:r w:rsidR="00A17747">
        <w:rPr>
          <w:lang w:val="en-GB"/>
        </w:rPr>
        <w:t xml:space="preserve"> </w:t>
      </w:r>
      <w:r w:rsidR="007308F9">
        <w:rPr>
          <w:lang w:val="en-GB"/>
        </w:rPr>
        <w:t xml:space="preserve">(d) </w:t>
      </w:r>
      <w:r w:rsidR="00C32521">
        <w:rPr>
          <w:lang w:val="en-GB"/>
        </w:rPr>
        <w:t>S</w:t>
      </w:r>
      <w:r w:rsidR="007308F9">
        <w:rPr>
          <w:lang w:val="en-GB"/>
        </w:rPr>
        <w:t>heep production</w:t>
      </w:r>
      <w:r w:rsidR="00E8348B">
        <w:rPr>
          <w:lang w:val="en-GB"/>
        </w:rPr>
        <w:t xml:space="preserve"> (</w:t>
      </w:r>
      <w:r w:rsidR="007308F9">
        <w:rPr>
          <w:lang w:val="en-GB"/>
        </w:rPr>
        <w:t xml:space="preserve">wool and </w:t>
      </w:r>
      <w:r w:rsidR="00C32521">
        <w:rPr>
          <w:lang w:val="en-GB"/>
        </w:rPr>
        <w:t>standing</w:t>
      </w:r>
      <w:r w:rsidR="00E8348B">
        <w:rPr>
          <w:lang w:val="en-GB"/>
        </w:rPr>
        <w:t xml:space="preserve"> </w:t>
      </w:r>
      <w:r w:rsidR="007308F9">
        <w:rPr>
          <w:lang w:val="en-GB"/>
        </w:rPr>
        <w:t>lambs</w:t>
      </w:r>
      <w:r w:rsidR="00E8348B">
        <w:rPr>
          <w:lang w:val="en-GB"/>
        </w:rPr>
        <w:t>)</w:t>
      </w:r>
      <w:r w:rsidR="00C32521">
        <w:rPr>
          <w:lang w:val="en-GB"/>
        </w:rPr>
        <w:t xml:space="preserve"> is sold</w:t>
      </w:r>
      <w:r w:rsidR="00A309B8">
        <w:rPr>
          <w:lang w:val="en-GB"/>
        </w:rPr>
        <w:t>.</w:t>
      </w:r>
      <w:r w:rsidR="00C36909">
        <w:rPr>
          <w:rStyle w:val="Refdenotaalpie"/>
          <w:szCs w:val="24"/>
          <w:lang w:val="en-GB"/>
        </w:rPr>
        <w:footnoteReference w:id="17"/>
      </w:r>
      <w:r w:rsidR="007308F9">
        <w:rPr>
          <w:lang w:val="en-GB"/>
        </w:rPr>
        <w:t xml:space="preserve"> (e) </w:t>
      </w:r>
      <w:r w:rsidR="005C2DE6">
        <w:rPr>
          <w:lang w:val="en-GB"/>
        </w:rPr>
        <w:t>As it</w:t>
      </w:r>
      <w:r w:rsidR="007308F9">
        <w:rPr>
          <w:lang w:val="en-GB"/>
        </w:rPr>
        <w:t xml:space="preserve"> is the beginning of the next productive cycle, the summer </w:t>
      </w:r>
      <w:r w:rsidR="00054714">
        <w:rPr>
          <w:lang w:val="en-GB"/>
        </w:rPr>
        <w:t>breeding</w:t>
      </w:r>
      <w:r w:rsidR="007308F9">
        <w:rPr>
          <w:lang w:val="en-GB"/>
        </w:rPr>
        <w:t xml:space="preserve"> of cows </w:t>
      </w:r>
      <w:r w:rsidR="00E8348B">
        <w:rPr>
          <w:lang w:val="en-GB"/>
        </w:rPr>
        <w:t xml:space="preserve">takes place </w:t>
      </w:r>
      <w:r w:rsidR="00C32521">
        <w:rPr>
          <w:lang w:val="en-GB"/>
        </w:rPr>
        <w:t>and the process is repeated</w:t>
      </w:r>
      <w:r w:rsidR="007308F9">
        <w:rPr>
          <w:lang w:val="en-GB"/>
        </w:rPr>
        <w:t>.</w:t>
      </w:r>
      <w:r w:rsidR="00D8754D">
        <w:rPr>
          <w:lang w:val="en-GB"/>
        </w:rPr>
        <w:t xml:space="preserve"> </w:t>
      </w:r>
      <w:r w:rsidR="008A33DB">
        <w:rPr>
          <w:lang w:val="en-GB"/>
        </w:rPr>
        <w:t xml:space="preserve">For a further description of the annual management scheme, see </w:t>
      </w:r>
      <w:r w:rsidR="008A33DB">
        <w:rPr>
          <w:rFonts w:eastAsiaTheme="minorEastAsia"/>
        </w:rPr>
        <w:t>supplementary material 6.</w:t>
      </w:r>
    </w:p>
    <w:p w14:paraId="41A6FF97" w14:textId="5B00826E" w:rsidR="005E526D" w:rsidRPr="00983E8F" w:rsidRDefault="00D8754D" w:rsidP="00BC5BB2">
      <w:r>
        <w:rPr>
          <w:lang w:val="en-GB"/>
        </w:rPr>
        <w:t>C</w:t>
      </w:r>
      <w:r w:rsidR="007308F9">
        <w:rPr>
          <w:lang w:val="en-GB"/>
        </w:rPr>
        <w:t xml:space="preserve">ows are supplemented if necessary. </w:t>
      </w:r>
      <w:r w:rsidR="00E8348B">
        <w:rPr>
          <w:lang w:val="en-GB"/>
        </w:rPr>
        <w:t xml:space="preserve">Throughout </w:t>
      </w:r>
      <w:r w:rsidR="00C32521">
        <w:rPr>
          <w:lang w:val="en-GB"/>
        </w:rPr>
        <w:t>the process, when the</w:t>
      </w:r>
      <w:r w:rsidR="00E8348B">
        <w:rPr>
          <w:lang w:val="en-GB"/>
        </w:rPr>
        <w:t xml:space="preserve"> average live weight </w:t>
      </w:r>
      <w:r w:rsidR="005E526D">
        <w:rPr>
          <w:lang w:val="en-GB"/>
        </w:rPr>
        <w:t xml:space="preserve">of cows is </w:t>
      </w:r>
      <w:r w:rsidR="00E8348B">
        <w:rPr>
          <w:lang w:val="en-GB"/>
        </w:rPr>
        <w:t xml:space="preserve">below </w:t>
      </w:r>
      <w:r w:rsidR="005E526D">
        <w:rPr>
          <w:lang w:val="en-GB"/>
        </w:rPr>
        <w:t xml:space="preserve">225kg, we simulate </w:t>
      </w:r>
      <w:r w:rsidR="00E8348B">
        <w:rPr>
          <w:lang w:val="en-GB"/>
        </w:rPr>
        <w:t xml:space="preserve">feed </w:t>
      </w:r>
      <w:r w:rsidR="005E526D">
        <w:rPr>
          <w:lang w:val="en-GB"/>
        </w:rPr>
        <w:t xml:space="preserve">supplementation </w:t>
      </w:r>
      <w:r w:rsidR="00E8348B">
        <w:rPr>
          <w:lang w:val="en-GB"/>
        </w:rPr>
        <w:t xml:space="preserve">of animals </w:t>
      </w:r>
      <w:r w:rsidR="005E526D">
        <w:rPr>
          <w:lang w:val="en-GB"/>
        </w:rPr>
        <w:t xml:space="preserve">until </w:t>
      </w:r>
      <w:r w:rsidR="00E8348B">
        <w:rPr>
          <w:lang w:val="en-GB"/>
        </w:rPr>
        <w:t xml:space="preserve">they reach </w:t>
      </w:r>
      <w:r w:rsidR="00C32521">
        <w:rPr>
          <w:lang w:val="en-GB"/>
        </w:rPr>
        <w:t>the threshold</w:t>
      </w:r>
      <w:r w:rsidR="005E526D">
        <w:rPr>
          <w:lang w:val="en-GB"/>
        </w:rPr>
        <w:t>.</w:t>
      </w:r>
      <w:r w:rsidR="005E526D">
        <w:rPr>
          <w:rStyle w:val="Refdenotaalpie"/>
          <w:szCs w:val="24"/>
        </w:rPr>
        <w:footnoteReference w:id="18"/>
      </w:r>
      <w:r w:rsidR="005E526D" w:rsidRPr="00F42518">
        <w:rPr>
          <w:lang w:val="en-GB"/>
        </w:rPr>
        <w:t xml:space="preserve"> </w:t>
      </w:r>
      <w:r w:rsidR="00C32521">
        <w:rPr>
          <w:lang w:val="en-GB"/>
        </w:rPr>
        <w:t>W</w:t>
      </w:r>
      <w:r w:rsidR="00E8348B">
        <w:rPr>
          <w:lang w:val="en-GB"/>
        </w:rPr>
        <w:t xml:space="preserve">e </w:t>
      </w:r>
      <w:r w:rsidR="00C32521">
        <w:rPr>
          <w:lang w:val="en-GB"/>
        </w:rPr>
        <w:t xml:space="preserve">supplement with </w:t>
      </w:r>
      <w:r w:rsidR="00E8348B">
        <w:rPr>
          <w:lang w:val="en-GB"/>
        </w:rPr>
        <w:t xml:space="preserve">feed </w:t>
      </w:r>
      <w:r w:rsidR="00C32521">
        <w:rPr>
          <w:lang w:val="en-GB"/>
        </w:rPr>
        <w:t>sorghum, assum</w:t>
      </w:r>
      <w:r w:rsidR="00A309B8">
        <w:rPr>
          <w:lang w:val="en-GB"/>
        </w:rPr>
        <w:t>ing</w:t>
      </w:r>
      <w:r w:rsidR="00C32521">
        <w:rPr>
          <w:lang w:val="en-GB"/>
        </w:rPr>
        <w:t xml:space="preserve"> </w:t>
      </w:r>
      <w:r w:rsidR="00E8348B">
        <w:rPr>
          <w:lang w:val="en-GB"/>
        </w:rPr>
        <w:t xml:space="preserve">a </w:t>
      </w:r>
      <w:r w:rsidR="005E526D">
        <w:rPr>
          <w:lang w:val="en-GB"/>
        </w:rPr>
        <w:t xml:space="preserve">conversion efficiency of 7kg </w:t>
      </w:r>
      <w:r w:rsidR="00E8348B">
        <w:rPr>
          <w:lang w:val="en-GB"/>
        </w:rPr>
        <w:t xml:space="preserve">(8kg) </w:t>
      </w:r>
      <w:r w:rsidR="005E526D">
        <w:rPr>
          <w:lang w:val="en-GB"/>
        </w:rPr>
        <w:t xml:space="preserve">of dry </w:t>
      </w:r>
      <w:r w:rsidR="00E8348B">
        <w:rPr>
          <w:lang w:val="en-GB"/>
        </w:rPr>
        <w:t>matter</w:t>
      </w:r>
      <w:r w:rsidR="005E526D">
        <w:rPr>
          <w:lang w:val="en-GB"/>
        </w:rPr>
        <w:t xml:space="preserve"> </w:t>
      </w:r>
      <w:r w:rsidR="00E8348B">
        <w:rPr>
          <w:lang w:val="en-GB"/>
        </w:rPr>
        <w:t xml:space="preserve">per </w:t>
      </w:r>
      <w:r w:rsidR="005E526D">
        <w:rPr>
          <w:lang w:val="en-GB"/>
        </w:rPr>
        <w:t xml:space="preserve">kg of live weight for </w:t>
      </w:r>
      <w:r w:rsidR="00C32521">
        <w:rPr>
          <w:lang w:val="en-GB"/>
        </w:rPr>
        <w:t>“</w:t>
      </w:r>
      <w:r w:rsidR="005E526D">
        <w:rPr>
          <w:lang w:val="en-GB"/>
        </w:rPr>
        <w:t>heifers</w:t>
      </w:r>
      <w:r w:rsidR="005E526D" w:rsidRPr="00FB293A">
        <w:rPr>
          <w:lang w:val="en-GB"/>
        </w:rPr>
        <w:t xml:space="preserve"> </w:t>
      </w:r>
      <w:r w:rsidR="005E526D">
        <w:rPr>
          <w:lang w:val="en-GB"/>
        </w:rPr>
        <w:t>of first offspring</w:t>
      </w:r>
      <w:r w:rsidR="00C32521">
        <w:rPr>
          <w:lang w:val="en-GB"/>
        </w:rPr>
        <w:t>”</w:t>
      </w:r>
      <w:r w:rsidR="005E526D">
        <w:rPr>
          <w:lang w:val="en-GB"/>
        </w:rPr>
        <w:t xml:space="preserve"> </w:t>
      </w:r>
      <w:r w:rsidR="008A33DB">
        <w:rPr>
          <w:lang w:val="en-GB"/>
        </w:rPr>
        <w:t>(</w:t>
      </w:r>
      <w:r w:rsidR="00A309B8">
        <w:rPr>
          <w:lang w:val="en-GB"/>
        </w:rPr>
        <w:t>“</w:t>
      </w:r>
      <w:r w:rsidR="005E526D">
        <w:rPr>
          <w:lang w:val="en-GB"/>
        </w:rPr>
        <w:t>cows with more than one offspring</w:t>
      </w:r>
      <w:r w:rsidR="00A309B8">
        <w:rPr>
          <w:lang w:val="en-GB"/>
        </w:rPr>
        <w:t>”</w:t>
      </w:r>
      <w:r w:rsidR="008A33DB">
        <w:rPr>
          <w:lang w:val="en-GB"/>
        </w:rPr>
        <w:t>).</w:t>
      </w:r>
      <w:r w:rsidR="00983E8F">
        <w:rPr>
          <w:lang w:val="en-GB"/>
        </w:rPr>
        <w:t xml:space="preserve"> We compute feed costs at market prices.</w:t>
      </w:r>
    </w:p>
    <w:p w14:paraId="3EA81A40" w14:textId="25938591" w:rsidR="00A56597" w:rsidRDefault="004078C7" w:rsidP="00BC5BB2">
      <w:pPr>
        <w:rPr>
          <w:lang w:val="en-GB"/>
        </w:rPr>
      </w:pPr>
      <w:r w:rsidRPr="00EE5B47">
        <w:rPr>
          <w:lang w:val="en-GB"/>
        </w:rPr>
        <w:t xml:space="preserve">We generate random prices </w:t>
      </w:r>
      <w:r w:rsidR="00B761E5">
        <w:rPr>
          <w:lang w:val="en-GB"/>
        </w:rPr>
        <w:t>with a L</w:t>
      </w:r>
      <w:r w:rsidR="000C54A7">
        <w:rPr>
          <w:lang w:val="en-GB"/>
        </w:rPr>
        <w:t>ognormal</w:t>
      </w:r>
      <w:r w:rsidR="004C3BC1">
        <w:rPr>
          <w:lang w:val="en-GB"/>
        </w:rPr>
        <w:t xml:space="preserve"> distribut</w:t>
      </w:r>
      <w:r w:rsidR="000C54A7">
        <w:rPr>
          <w:lang w:val="en-GB"/>
        </w:rPr>
        <w:t>ion</w:t>
      </w:r>
      <w:proofErr w:type="gramStart"/>
      <w:r w:rsidR="004C3BC1">
        <w:rPr>
          <w:lang w:val="en-GB"/>
        </w:rPr>
        <w:t xml:space="preserve">, </w:t>
      </w:r>
      <w:proofErr w:type="gramEnd"/>
      <w:r w:rsidR="008A33DB" w:rsidRPr="00FA5892">
        <w:rPr>
          <w:rFonts w:eastAsiaTheme="minorEastAsia"/>
          <w:color w:val="000000"/>
          <w:position w:val="-10"/>
        </w:rPr>
        <w:object w:dxaOrig="520" w:dyaOrig="360" w14:anchorId="202C8F8A">
          <v:shape id="_x0000_i1062" type="#_x0000_t75" style="width:25.65pt;height:18pt" o:ole="">
            <v:imagedata r:id="rId26" o:title=""/>
          </v:shape>
          <o:OLEObject Type="Embed" ProgID="Equation.DSMT4" ShapeID="_x0000_i1062" DrawAspect="Content" ObjectID="_1657379054" r:id="rId75"/>
        </w:object>
      </w:r>
      <w:r w:rsidR="000E7F95">
        <w:rPr>
          <w:lang w:val="en-GB"/>
        </w:rPr>
        <w:t>, fo</w:t>
      </w:r>
      <w:r w:rsidR="000C54A7">
        <w:rPr>
          <w:lang w:val="en-GB"/>
        </w:rPr>
        <w:t>r each product the farmer sells. We set the means</w:t>
      </w:r>
      <w:r w:rsidR="000E7F95">
        <w:rPr>
          <w:lang w:val="en-GB"/>
        </w:rPr>
        <w:t xml:space="preserve"> at the February</w:t>
      </w:r>
      <w:r w:rsidR="000C54A7">
        <w:rPr>
          <w:lang w:val="en-GB"/>
        </w:rPr>
        <w:t xml:space="preserve"> price levels</w:t>
      </w:r>
      <w:r w:rsidR="000E7F95">
        <w:rPr>
          <w:lang w:val="en-GB"/>
        </w:rPr>
        <w:t xml:space="preserve"> (</w:t>
      </w:r>
      <w:r w:rsidR="008A33DB">
        <w:rPr>
          <w:lang w:val="en-GB"/>
        </w:rPr>
        <w:t xml:space="preserve">the </w:t>
      </w:r>
      <w:r w:rsidR="000E7F95">
        <w:rPr>
          <w:lang w:val="en-GB"/>
        </w:rPr>
        <w:t xml:space="preserve">selling month according to the simulation) and </w:t>
      </w:r>
      <w:r w:rsidR="000C54A7">
        <w:rPr>
          <w:lang w:val="en-GB"/>
        </w:rPr>
        <w:t xml:space="preserve">compute their </w:t>
      </w:r>
      <w:r w:rsidR="000E7F95">
        <w:rPr>
          <w:lang w:val="en-GB"/>
        </w:rPr>
        <w:t xml:space="preserve">implicit volatility </w:t>
      </w:r>
      <w:r w:rsidR="000C54A7">
        <w:rPr>
          <w:lang w:val="en-GB"/>
        </w:rPr>
        <w:t>from observed historical prices</w:t>
      </w:r>
      <w:r w:rsidR="000E7F95">
        <w:rPr>
          <w:lang w:val="en-GB"/>
        </w:rPr>
        <w:t xml:space="preserve">. </w:t>
      </w:r>
      <w:r w:rsidR="000C54A7">
        <w:rPr>
          <w:lang w:val="en-GB"/>
        </w:rPr>
        <w:lastRenderedPageBreak/>
        <w:t>F</w:t>
      </w:r>
      <w:r w:rsidR="000E7F95">
        <w:rPr>
          <w:lang w:val="en-GB"/>
        </w:rPr>
        <w:t xml:space="preserve">emale and male calves and feeder cow </w:t>
      </w:r>
      <w:r w:rsidR="000C54A7">
        <w:rPr>
          <w:lang w:val="en-GB"/>
        </w:rPr>
        <w:t xml:space="preserve">prices are </w:t>
      </w:r>
      <w:r w:rsidR="000E7F95">
        <w:rPr>
          <w:lang w:val="en-GB"/>
        </w:rPr>
        <w:t>fro</w:t>
      </w:r>
      <w:r w:rsidR="000C54A7">
        <w:rPr>
          <w:lang w:val="en-GB"/>
        </w:rPr>
        <w:t>m Plaza Rural from 2001 to 2015,</w:t>
      </w:r>
      <w:r w:rsidR="000E7F95">
        <w:rPr>
          <w:lang w:val="en-GB"/>
        </w:rPr>
        <w:t xml:space="preserve"> </w:t>
      </w:r>
      <w:r w:rsidR="002C3E62">
        <w:rPr>
          <w:lang w:val="en-GB"/>
        </w:rPr>
        <w:t>lam</w:t>
      </w:r>
      <w:r w:rsidR="000E7F95">
        <w:rPr>
          <w:lang w:val="en-GB"/>
        </w:rPr>
        <w:t>b</w:t>
      </w:r>
      <w:r w:rsidR="004D29D5">
        <w:rPr>
          <w:lang w:val="en-GB"/>
        </w:rPr>
        <w:t xml:space="preserve"> prices from the National Meat Institute (INAC) from 2011 to 2015</w:t>
      </w:r>
      <w:r w:rsidR="000C54A7">
        <w:rPr>
          <w:lang w:val="en-GB"/>
        </w:rPr>
        <w:t>,</w:t>
      </w:r>
      <w:r w:rsidR="000E7F95">
        <w:rPr>
          <w:lang w:val="en-GB"/>
        </w:rPr>
        <w:t xml:space="preserve"> and </w:t>
      </w:r>
      <w:r w:rsidR="004D29D5">
        <w:rPr>
          <w:lang w:val="en-GB"/>
        </w:rPr>
        <w:t xml:space="preserve">wool prices </w:t>
      </w:r>
      <w:r w:rsidR="000E7F95">
        <w:rPr>
          <w:lang w:val="en-GB"/>
        </w:rPr>
        <w:t xml:space="preserve">from </w:t>
      </w:r>
      <w:r w:rsidR="000C54A7">
        <w:rPr>
          <w:lang w:val="en-GB"/>
        </w:rPr>
        <w:t xml:space="preserve">the </w:t>
      </w:r>
      <w:r w:rsidR="000E7F95">
        <w:rPr>
          <w:lang w:val="en-GB"/>
        </w:rPr>
        <w:t xml:space="preserve">National Wool Institute </w:t>
      </w:r>
      <w:r w:rsidR="002C3E62">
        <w:rPr>
          <w:lang w:val="en-GB"/>
        </w:rPr>
        <w:t>(SUL)</w:t>
      </w:r>
      <w:r w:rsidR="000E7F95">
        <w:rPr>
          <w:lang w:val="en-GB"/>
        </w:rPr>
        <w:t xml:space="preserve"> </w:t>
      </w:r>
      <w:r w:rsidR="000C54A7">
        <w:rPr>
          <w:lang w:val="en-GB"/>
        </w:rPr>
        <w:t>from</w:t>
      </w:r>
      <w:r w:rsidR="000E7F95">
        <w:rPr>
          <w:lang w:val="en-GB"/>
        </w:rPr>
        <w:t xml:space="preserve"> 2004 </w:t>
      </w:r>
      <w:r w:rsidR="000C54A7">
        <w:rPr>
          <w:lang w:val="en-GB"/>
        </w:rPr>
        <w:t xml:space="preserve">to </w:t>
      </w:r>
      <w:r w:rsidR="000E7F95">
        <w:rPr>
          <w:lang w:val="en-GB"/>
        </w:rPr>
        <w:t>2015.</w:t>
      </w:r>
      <w:r w:rsidR="00AF0132">
        <w:rPr>
          <w:lang w:val="en-GB"/>
        </w:rPr>
        <w:t xml:space="preserve"> </w:t>
      </w:r>
      <w:r w:rsidR="000C54A7">
        <w:rPr>
          <w:lang w:val="en-GB"/>
        </w:rPr>
        <w:t>Following</w:t>
      </w:r>
      <w:r w:rsidR="00AF0132">
        <w:rPr>
          <w:lang w:val="en-GB"/>
        </w:rPr>
        <w:t xml:space="preserve"> the Johnson and T</w:t>
      </w:r>
      <w:r w:rsidR="000C54A7">
        <w:rPr>
          <w:lang w:val="en-GB"/>
        </w:rPr>
        <w:t xml:space="preserve">enenbein (1981) methodology, we impose correlation among prices </w:t>
      </w:r>
      <w:r w:rsidR="0074184B">
        <w:rPr>
          <w:lang w:val="en-GB"/>
        </w:rPr>
        <w:t>setting the</w:t>
      </w:r>
      <w:r w:rsidR="000C54A7">
        <w:rPr>
          <w:lang w:val="en-GB"/>
        </w:rPr>
        <w:t xml:space="preserve"> observed historical correlation as the target correlation. </w:t>
      </w:r>
    </w:p>
    <w:p w14:paraId="5203CD49" w14:textId="7684AFB5" w:rsidR="00FD5B1F" w:rsidRDefault="00AF0132" w:rsidP="00BC5BB2">
      <w:pPr>
        <w:rPr>
          <w:lang w:val="en-GB"/>
        </w:rPr>
      </w:pPr>
      <w:r>
        <w:rPr>
          <w:lang w:val="en-GB"/>
        </w:rPr>
        <w:t>Finally, we compute per-hectare profits of proactive and reactive farmer in US dollars, by aggregating revenues of the various sources and subtracting costs of supplementation.</w:t>
      </w:r>
      <w:r w:rsidR="00726EE1">
        <w:rPr>
          <w:rStyle w:val="Refdenotaalpie"/>
          <w:lang w:val="en-GB"/>
        </w:rPr>
        <w:footnoteReference w:id="19"/>
      </w:r>
      <w:r w:rsidR="008A33DB">
        <w:rPr>
          <w:lang w:val="en-GB"/>
        </w:rPr>
        <w:t xml:space="preserve"> </w:t>
      </w:r>
      <w:r w:rsidR="00C2696B">
        <w:rPr>
          <w:lang w:val="en-GB"/>
        </w:rPr>
        <w:t xml:space="preserve">We plug </w:t>
      </w:r>
      <w:r w:rsidR="0074184B">
        <w:rPr>
          <w:lang w:val="en-GB"/>
        </w:rPr>
        <w:t xml:space="preserve">profits </w:t>
      </w:r>
      <w:r w:rsidR="00C2696B">
        <w:rPr>
          <w:lang w:val="en-GB"/>
        </w:rPr>
        <w:t xml:space="preserve">in equation (2), </w:t>
      </w:r>
      <w:r w:rsidR="0074184B">
        <w:rPr>
          <w:lang w:val="en-GB"/>
        </w:rPr>
        <w:t xml:space="preserve">and add them </w:t>
      </w:r>
      <w:r w:rsidR="00C2696B">
        <w:rPr>
          <w:lang w:val="en-GB"/>
        </w:rPr>
        <w:t xml:space="preserve">to the assumed farmer´s per-hectare </w:t>
      </w:r>
      <w:r w:rsidR="00C2696B" w:rsidRPr="00AF0132">
        <w:rPr>
          <w:lang w:val="en-GB"/>
        </w:rPr>
        <w:t>initial wealth</w:t>
      </w:r>
      <w:r w:rsidR="00C2696B">
        <w:rPr>
          <w:lang w:val="en-GB"/>
        </w:rPr>
        <w:t xml:space="preserve"> (</w:t>
      </w:r>
      <w:r w:rsidR="00C2696B" w:rsidRPr="00AF0132">
        <w:rPr>
          <w:i/>
          <w:lang w:val="en-GB"/>
        </w:rPr>
        <w:t>W</w:t>
      </w:r>
      <w:r w:rsidR="00C2696B" w:rsidRPr="00AF0132">
        <w:rPr>
          <w:i/>
          <w:vertAlign w:val="subscript"/>
          <w:lang w:val="en-GB"/>
        </w:rPr>
        <w:t>0</w:t>
      </w:r>
      <w:r w:rsidR="0074184B">
        <w:rPr>
          <w:lang w:val="en-GB"/>
        </w:rPr>
        <w:t xml:space="preserve">), which was set </w:t>
      </w:r>
      <w:r w:rsidR="00C2696B">
        <w:rPr>
          <w:lang w:val="en-GB"/>
        </w:rPr>
        <w:t xml:space="preserve">to the value of the animals </w:t>
      </w:r>
      <w:r w:rsidR="0074184B">
        <w:rPr>
          <w:lang w:val="en-GB"/>
        </w:rPr>
        <w:t>kept</w:t>
      </w:r>
      <w:r w:rsidR="00A407C6">
        <w:rPr>
          <w:lang w:val="en-GB"/>
        </w:rPr>
        <w:t xml:space="preserve"> on average</w:t>
      </w:r>
      <w:r w:rsidR="0074184B">
        <w:rPr>
          <w:lang w:val="en-GB"/>
        </w:rPr>
        <w:t xml:space="preserve"> </w:t>
      </w:r>
      <w:r w:rsidR="00C2696B">
        <w:rPr>
          <w:lang w:val="en-GB"/>
        </w:rPr>
        <w:t>per hectare during the production period.</w:t>
      </w:r>
    </w:p>
    <w:p w14:paraId="76E740A8" w14:textId="77777777" w:rsidR="00C7771F" w:rsidRDefault="00C7771F" w:rsidP="00BC5BB2">
      <w:pPr>
        <w:rPr>
          <w:lang w:val="en-GB"/>
        </w:rPr>
      </w:pPr>
    </w:p>
    <w:p w14:paraId="20A876C0" w14:textId="77777777" w:rsidR="00C06623" w:rsidRPr="00FD5B1F" w:rsidRDefault="001A5616" w:rsidP="00BC5BB2">
      <w:pPr>
        <w:pStyle w:val="Prrafodelista"/>
        <w:numPr>
          <w:ilvl w:val="0"/>
          <w:numId w:val="14"/>
        </w:numPr>
        <w:rPr>
          <w:szCs w:val="24"/>
          <w:lang w:val="en-GB"/>
        </w:rPr>
      </w:pPr>
      <w:r w:rsidRPr="00FD5B1F">
        <w:rPr>
          <w:lang w:val="en-GB"/>
        </w:rPr>
        <w:t>Results and discussion</w:t>
      </w:r>
    </w:p>
    <w:p w14:paraId="23B38C23" w14:textId="77777777" w:rsidR="0002271F" w:rsidRDefault="008B0040" w:rsidP="00E14443">
      <w:pPr>
        <w:ind w:firstLine="0"/>
        <w:rPr>
          <w:lang w:val="en-GB"/>
        </w:rPr>
      </w:pPr>
      <w:r>
        <w:rPr>
          <w:lang w:val="en-GB"/>
        </w:rPr>
        <w:t xml:space="preserve">This section presents the results </w:t>
      </w:r>
      <w:r w:rsidR="00CE5DAD">
        <w:rPr>
          <w:lang w:val="en-GB"/>
        </w:rPr>
        <w:t xml:space="preserve">and discussion </w:t>
      </w:r>
      <w:r>
        <w:rPr>
          <w:lang w:val="en-GB"/>
        </w:rPr>
        <w:t>of both applications</w:t>
      </w:r>
      <w:r w:rsidR="00CE5DAD">
        <w:rPr>
          <w:lang w:val="en-GB"/>
        </w:rPr>
        <w:t>.</w:t>
      </w:r>
    </w:p>
    <w:p w14:paraId="43B1D8B1" w14:textId="61C62E9A" w:rsidR="000A0C94" w:rsidRDefault="001A5616" w:rsidP="00E14443">
      <w:pPr>
        <w:ind w:firstLine="708"/>
        <w:rPr>
          <w:lang w:val="en-GB"/>
        </w:rPr>
      </w:pPr>
      <w:r w:rsidRPr="0002271F">
        <w:rPr>
          <w:i/>
          <w:lang w:val="en-GB"/>
        </w:rPr>
        <w:t>Crop production</w:t>
      </w:r>
      <w:r w:rsidR="0002271F">
        <w:rPr>
          <w:lang w:val="en-GB"/>
        </w:rPr>
        <w:t xml:space="preserve">. </w:t>
      </w:r>
      <w:r w:rsidR="00AC6714">
        <w:rPr>
          <w:lang w:val="en-GB"/>
        </w:rPr>
        <w:t>We simulate three scenarios</w:t>
      </w:r>
      <w:r w:rsidR="00C759FE" w:rsidRPr="00C408F9">
        <w:rPr>
          <w:lang w:val="en-GB"/>
        </w:rPr>
        <w:t>, all of them facing medium level prices</w:t>
      </w:r>
      <w:r w:rsidR="00AC6714" w:rsidRPr="00C408F9">
        <w:rPr>
          <w:lang w:val="en-GB"/>
        </w:rPr>
        <w:t>.</w:t>
      </w:r>
      <w:r w:rsidR="00AC6714">
        <w:rPr>
          <w:lang w:val="en-GB"/>
        </w:rPr>
        <w:t xml:space="preserve"> </w:t>
      </w:r>
      <w:r w:rsidR="00C759FE" w:rsidRPr="00C759FE">
        <w:rPr>
          <w:i/>
          <w:lang w:val="en-GB"/>
        </w:rPr>
        <w:t>S</w:t>
      </w:r>
      <w:r w:rsidR="009B71CF" w:rsidRPr="007507BF">
        <w:rPr>
          <w:i/>
          <w:lang w:val="en-GB"/>
        </w:rPr>
        <w:t>cenario 1</w:t>
      </w:r>
      <w:r w:rsidR="009B71CF" w:rsidRPr="004B3763">
        <w:rPr>
          <w:lang w:val="en-GB"/>
        </w:rPr>
        <w:t xml:space="preserve">consists of a </w:t>
      </w:r>
      <w:r w:rsidR="00CD06B0">
        <w:rPr>
          <w:lang w:val="en-GB"/>
        </w:rPr>
        <w:t>crop-</w:t>
      </w:r>
      <w:r w:rsidR="00505329" w:rsidRPr="004B3763">
        <w:rPr>
          <w:lang w:val="en-GB"/>
        </w:rPr>
        <w:t>only</w:t>
      </w:r>
      <w:r w:rsidR="009B71CF" w:rsidRPr="004B3763">
        <w:rPr>
          <w:lang w:val="en-GB"/>
        </w:rPr>
        <w:t xml:space="preserve"> </w:t>
      </w:r>
      <w:r w:rsidR="003377E6">
        <w:rPr>
          <w:lang w:val="en-GB"/>
        </w:rPr>
        <w:t>production</w:t>
      </w:r>
      <w:r w:rsidR="009B71CF" w:rsidRPr="004B3763">
        <w:rPr>
          <w:lang w:val="en-GB"/>
        </w:rPr>
        <w:t xml:space="preserve"> activity, </w:t>
      </w:r>
      <w:r w:rsidR="00C759FE">
        <w:rPr>
          <w:lang w:val="en-GB"/>
        </w:rPr>
        <w:t xml:space="preserve">located </w:t>
      </w:r>
      <w:r w:rsidR="009B71CF" w:rsidRPr="004B3763">
        <w:rPr>
          <w:lang w:val="en-GB"/>
        </w:rPr>
        <w:t xml:space="preserve">close </w:t>
      </w:r>
      <w:r w:rsidR="004A1B43">
        <w:rPr>
          <w:lang w:val="en-GB"/>
        </w:rPr>
        <w:t xml:space="preserve">to </w:t>
      </w:r>
      <w:r w:rsidR="009B71CF" w:rsidRPr="004B3763">
        <w:rPr>
          <w:lang w:val="en-GB"/>
        </w:rPr>
        <w:t>the port</w:t>
      </w:r>
      <w:r w:rsidR="00B01C7D">
        <w:rPr>
          <w:lang w:val="en-GB"/>
        </w:rPr>
        <w:t>,</w:t>
      </w:r>
      <w:r w:rsidR="004B3763">
        <w:rPr>
          <w:lang w:val="en-GB"/>
        </w:rPr>
        <w:t xml:space="preserve"> </w:t>
      </w:r>
      <w:r w:rsidR="00C759FE">
        <w:rPr>
          <w:lang w:val="en-GB"/>
        </w:rPr>
        <w:t>and with high soil aptitude</w:t>
      </w:r>
      <w:r w:rsidR="009B71CF" w:rsidRPr="004B3763">
        <w:rPr>
          <w:lang w:val="en-GB"/>
        </w:rPr>
        <w:t>.</w:t>
      </w:r>
      <w:r w:rsidR="003A0116">
        <w:rPr>
          <w:rStyle w:val="Refdenotaalpie"/>
          <w:szCs w:val="24"/>
          <w:lang w:val="en-GB"/>
        </w:rPr>
        <w:footnoteReference w:id="20"/>
      </w:r>
      <w:r w:rsidR="009B71CF" w:rsidRPr="004B3763">
        <w:rPr>
          <w:lang w:val="en-GB"/>
        </w:rPr>
        <w:t xml:space="preserve"> </w:t>
      </w:r>
      <w:r w:rsidR="00283ED1">
        <w:rPr>
          <w:rFonts w:eastAsiaTheme="minorEastAsia"/>
          <w:lang w:val="en-GB"/>
        </w:rPr>
        <w:t>T</w:t>
      </w:r>
      <w:r w:rsidR="00283ED1" w:rsidRPr="001B12AF">
        <w:rPr>
          <w:rFonts w:eastAsiaTheme="minorEastAsia"/>
          <w:lang w:val="en-GB"/>
        </w:rPr>
        <w:t>he rotation with</w:t>
      </w:r>
      <w:r w:rsidR="00CD06B0">
        <w:rPr>
          <w:rFonts w:eastAsiaTheme="minorEastAsia"/>
          <w:lang w:val="en-GB"/>
        </w:rPr>
        <w:t xml:space="preserve"> supplement</w:t>
      </w:r>
      <w:r w:rsidR="002D3709">
        <w:rPr>
          <w:rFonts w:eastAsiaTheme="minorEastAsia"/>
          <w:lang w:val="en-GB"/>
        </w:rPr>
        <w:t>ed</w:t>
      </w:r>
      <w:r w:rsidR="00283ED1" w:rsidRPr="001B12AF">
        <w:rPr>
          <w:rFonts w:eastAsiaTheme="minorEastAsia"/>
          <w:lang w:val="en-GB"/>
        </w:rPr>
        <w:t xml:space="preserve"> irrigation</w:t>
      </w:r>
      <w:r w:rsidR="00DB7784">
        <w:rPr>
          <w:rFonts w:eastAsiaTheme="minorEastAsia"/>
          <w:lang w:val="en-GB"/>
        </w:rPr>
        <w:t xml:space="preserve"> comprises two years and is {</w:t>
      </w:r>
      <w:r w:rsidR="00283ED1" w:rsidRPr="001B12AF">
        <w:rPr>
          <w:lang w:val="en-GB"/>
        </w:rPr>
        <w:t>CC</w:t>
      </w:r>
      <w:r w:rsidR="00DB7784">
        <w:rPr>
          <w:lang w:val="en-GB"/>
        </w:rPr>
        <w:t>-</w:t>
      </w:r>
      <w:r w:rsidR="00283ED1" w:rsidRPr="001B12AF">
        <w:rPr>
          <w:lang w:val="en-GB"/>
        </w:rPr>
        <w:t>S1</w:t>
      </w:r>
      <w:r w:rsidR="00DB7784">
        <w:rPr>
          <w:lang w:val="en-GB"/>
        </w:rPr>
        <w:t>}{</w:t>
      </w:r>
      <w:r w:rsidR="00283ED1" w:rsidRPr="001B12AF">
        <w:rPr>
          <w:lang w:val="en-GB"/>
        </w:rPr>
        <w:t>CC</w:t>
      </w:r>
      <w:r w:rsidR="00DB7784">
        <w:rPr>
          <w:lang w:val="en-GB"/>
        </w:rPr>
        <w:t>-</w:t>
      </w:r>
      <w:r w:rsidR="00283ED1" w:rsidRPr="001B12AF">
        <w:rPr>
          <w:lang w:val="en-GB"/>
        </w:rPr>
        <w:t>M1</w:t>
      </w:r>
      <w:r w:rsidR="00DB7784">
        <w:rPr>
          <w:lang w:val="en-GB"/>
        </w:rPr>
        <w:t>}</w:t>
      </w:r>
      <w:r w:rsidR="00DB7784">
        <w:rPr>
          <w:rFonts w:eastAsia="Calibri"/>
        </w:rPr>
        <w:t xml:space="preserve"> while the rain-fed system is of three years {</w:t>
      </w:r>
      <w:r w:rsidR="00DB7784">
        <w:rPr>
          <w:rFonts w:eastAsia="Calibri"/>
          <w:lang w:val="en-GB"/>
        </w:rPr>
        <w:t>C</w:t>
      </w:r>
      <w:r w:rsidR="00DB7784">
        <w:rPr>
          <w:lang w:val="en-GB"/>
        </w:rPr>
        <w:t>C-S1</w:t>
      </w:r>
      <w:r w:rsidR="00DB7784">
        <w:rPr>
          <w:rFonts w:eastAsia="Calibri"/>
        </w:rPr>
        <w:t>}{</w:t>
      </w:r>
      <w:r w:rsidR="00DB7784">
        <w:rPr>
          <w:lang w:val="en-GB"/>
        </w:rPr>
        <w:t>T-S2</w:t>
      </w:r>
      <w:r w:rsidR="00DB7784">
        <w:rPr>
          <w:rFonts w:eastAsia="Calibri"/>
        </w:rPr>
        <w:t>}{</w:t>
      </w:r>
      <w:r w:rsidR="00DB7784" w:rsidRPr="001B12AF">
        <w:rPr>
          <w:lang w:val="en-GB"/>
        </w:rPr>
        <w:t>CC</w:t>
      </w:r>
      <w:r w:rsidR="00DB7784">
        <w:rPr>
          <w:lang w:val="en-GB"/>
        </w:rPr>
        <w:t>-</w:t>
      </w:r>
      <w:r w:rsidR="00DB7784" w:rsidRPr="001B12AF">
        <w:rPr>
          <w:lang w:val="en-GB"/>
        </w:rPr>
        <w:t>M1</w:t>
      </w:r>
      <w:r w:rsidR="00DB7784">
        <w:rPr>
          <w:rFonts w:eastAsia="Calibri"/>
        </w:rPr>
        <w:t>}.</w:t>
      </w:r>
      <w:r w:rsidR="00DB7784">
        <w:rPr>
          <w:rStyle w:val="Refdenotaalpie"/>
          <w:rFonts w:eastAsia="Calibri"/>
        </w:rPr>
        <w:footnoteReference w:id="21"/>
      </w:r>
      <w:r w:rsidR="00EB26C6">
        <w:rPr>
          <w:rFonts w:eastAsia="Calibri"/>
        </w:rPr>
        <w:t xml:space="preserve"> T</w:t>
      </w:r>
      <w:r w:rsidR="003C5A36">
        <w:rPr>
          <w:lang w:val="en-GB"/>
        </w:rPr>
        <w:t xml:space="preserve">he </w:t>
      </w:r>
      <w:r w:rsidR="009B71CF" w:rsidRPr="004B3763">
        <w:rPr>
          <w:lang w:val="en-GB"/>
        </w:rPr>
        <w:t xml:space="preserve">probability distributions of </w:t>
      </w:r>
      <w:r w:rsidR="003C5A36">
        <w:rPr>
          <w:lang w:val="en-GB"/>
        </w:rPr>
        <w:t xml:space="preserve">irrigated </w:t>
      </w:r>
      <w:r w:rsidR="00EB5866">
        <w:rPr>
          <w:lang w:val="en-GB"/>
        </w:rPr>
        <w:t xml:space="preserve">and rain-fed </w:t>
      </w:r>
      <w:r w:rsidR="003C5A36">
        <w:rPr>
          <w:lang w:val="en-GB"/>
        </w:rPr>
        <w:t>profits</w:t>
      </w:r>
      <w:r w:rsidR="009B71CF" w:rsidRPr="004B3763">
        <w:rPr>
          <w:lang w:val="en-GB"/>
        </w:rPr>
        <w:t xml:space="preserve">, </w:t>
      </w:r>
      <w:r w:rsidR="003C5A36">
        <w:rPr>
          <w:lang w:val="en-GB"/>
        </w:rPr>
        <w:t xml:space="preserve">are presented in figure </w:t>
      </w:r>
      <w:r w:rsidR="003C5A36">
        <w:rPr>
          <w:lang w:val="en-GB"/>
        </w:rPr>
        <w:lastRenderedPageBreak/>
        <w:t>1</w:t>
      </w:r>
      <w:r w:rsidR="003F1FA3">
        <w:rPr>
          <w:lang w:val="en-GB"/>
        </w:rPr>
        <w:t>-left panel</w:t>
      </w:r>
      <w:r w:rsidR="009B71CF" w:rsidRPr="004B3763">
        <w:rPr>
          <w:lang w:val="en-GB"/>
        </w:rPr>
        <w:t xml:space="preserve">. </w:t>
      </w:r>
      <w:r w:rsidR="00CE5DAD">
        <w:rPr>
          <w:lang w:val="en-GB"/>
        </w:rPr>
        <w:t>Irrigation p</w:t>
      </w:r>
      <w:r w:rsidR="00C04846">
        <w:rPr>
          <w:lang w:val="en-GB"/>
        </w:rPr>
        <w:t xml:space="preserve">rofits have a higher </w:t>
      </w:r>
      <w:r w:rsidR="007A070B">
        <w:rPr>
          <w:lang w:val="en-GB"/>
        </w:rPr>
        <w:t>mean</w:t>
      </w:r>
      <w:r w:rsidR="00C04846">
        <w:rPr>
          <w:lang w:val="en-GB"/>
        </w:rPr>
        <w:t xml:space="preserve"> and a lower dispersion</w:t>
      </w:r>
      <w:r w:rsidR="007A070B">
        <w:rPr>
          <w:lang w:val="en-GB"/>
        </w:rPr>
        <w:t xml:space="preserve"> than the rain-fed system</w:t>
      </w:r>
      <w:r w:rsidR="003C5A36">
        <w:rPr>
          <w:lang w:val="en-GB"/>
        </w:rPr>
        <w:t xml:space="preserve"> (the </w:t>
      </w:r>
      <w:r w:rsidR="009B71CF" w:rsidRPr="00AC26F7">
        <w:rPr>
          <w:lang w:val="en-GB"/>
        </w:rPr>
        <w:t>coefficient</w:t>
      </w:r>
      <w:r w:rsidR="00AC26F7">
        <w:rPr>
          <w:lang w:val="en-GB"/>
        </w:rPr>
        <w:t xml:space="preserve"> of variation</w:t>
      </w:r>
      <w:r w:rsidR="009B71CF" w:rsidRPr="00AC26F7">
        <w:rPr>
          <w:lang w:val="en-GB"/>
        </w:rPr>
        <w:t xml:space="preserve"> </w:t>
      </w:r>
      <w:r w:rsidR="003C5A36">
        <w:rPr>
          <w:lang w:val="en-GB"/>
        </w:rPr>
        <w:t xml:space="preserve">is </w:t>
      </w:r>
      <w:r w:rsidR="009B71CF" w:rsidRPr="00AC26F7">
        <w:rPr>
          <w:lang w:val="en-GB"/>
        </w:rPr>
        <w:t>0.36 versus 0.52</w:t>
      </w:r>
      <w:r w:rsidR="003C5A36">
        <w:rPr>
          <w:lang w:val="en-GB"/>
        </w:rPr>
        <w:t>)</w:t>
      </w:r>
      <w:r w:rsidR="00CD06B0">
        <w:rPr>
          <w:lang w:val="en-GB"/>
        </w:rPr>
        <w:t>, i.e. more compacted around their mean</w:t>
      </w:r>
      <w:r w:rsidR="009B71CF" w:rsidRPr="00AC26F7">
        <w:rPr>
          <w:lang w:val="en-GB"/>
        </w:rPr>
        <w:t xml:space="preserve">. </w:t>
      </w:r>
      <w:r w:rsidR="00283ED1">
        <w:rPr>
          <w:lang w:val="en-GB"/>
        </w:rPr>
        <w:t>R</w:t>
      </w:r>
      <w:r w:rsidR="003C5A36">
        <w:rPr>
          <w:lang w:val="en-GB"/>
        </w:rPr>
        <w:t xml:space="preserve">andom </w:t>
      </w:r>
      <w:r w:rsidR="00AC26F7">
        <w:rPr>
          <w:lang w:val="en-GB"/>
        </w:rPr>
        <w:t>profits</w:t>
      </w:r>
      <w:r w:rsidR="009B71CF" w:rsidRPr="00AC26F7">
        <w:rPr>
          <w:lang w:val="en-GB"/>
        </w:rPr>
        <w:t xml:space="preserve"> are </w:t>
      </w:r>
      <w:r w:rsidR="00CD06B0">
        <w:rPr>
          <w:lang w:val="en-GB"/>
        </w:rPr>
        <w:t xml:space="preserve">then </w:t>
      </w:r>
      <w:r w:rsidR="003C5A36">
        <w:rPr>
          <w:lang w:val="en-GB"/>
        </w:rPr>
        <w:t xml:space="preserve">plugged into the </w:t>
      </w:r>
      <w:r w:rsidR="00AC26F7">
        <w:rPr>
          <w:lang w:val="en-GB"/>
        </w:rPr>
        <w:t xml:space="preserve">CARA </w:t>
      </w:r>
      <w:r w:rsidR="009B71CF" w:rsidRPr="00AC26F7">
        <w:rPr>
          <w:lang w:val="en-GB"/>
        </w:rPr>
        <w:t>util</w:t>
      </w:r>
      <w:r w:rsidR="00716BAA">
        <w:rPr>
          <w:lang w:val="en-GB"/>
        </w:rPr>
        <w:t>ity function</w:t>
      </w:r>
      <w:r w:rsidR="000263B0">
        <w:rPr>
          <w:rStyle w:val="Refdenotaalpie"/>
          <w:rFonts w:eastAsiaTheme="minorEastAsia"/>
          <w:szCs w:val="24"/>
          <w:lang w:val="en-GB" w:eastAsia="es-MX"/>
        </w:rPr>
        <w:footnoteReference w:id="22"/>
      </w:r>
      <w:r w:rsidR="00716BAA">
        <w:rPr>
          <w:lang w:val="en-GB"/>
        </w:rPr>
        <w:t xml:space="preserve"> to compute the </w:t>
      </w:r>
      <w:r w:rsidR="00716BAA" w:rsidRPr="003C5A36">
        <w:rPr>
          <w:i/>
          <w:lang w:val="en-GB"/>
        </w:rPr>
        <w:t>CE</w:t>
      </w:r>
      <w:r w:rsidR="002D32A3">
        <w:rPr>
          <w:lang w:val="en-GB"/>
        </w:rPr>
        <w:t>.</w:t>
      </w:r>
    </w:p>
    <w:p w14:paraId="18D2D931" w14:textId="418AAC90" w:rsidR="009B71CF" w:rsidRPr="001B12AF" w:rsidRDefault="00A46A21" w:rsidP="00BC5BB2">
      <w:pPr>
        <w:rPr>
          <w:lang w:val="en-GB"/>
        </w:rPr>
      </w:pPr>
      <w:r w:rsidRPr="00CD06B0">
        <w:rPr>
          <w:lang w:val="en-GB"/>
        </w:rPr>
        <w:t xml:space="preserve">For a farmer </w:t>
      </w:r>
      <w:r w:rsidR="009B71CF" w:rsidRPr="00CD06B0">
        <w:rPr>
          <w:lang w:val="en-GB"/>
        </w:rPr>
        <w:t xml:space="preserve">with a </w:t>
      </w:r>
      <w:r w:rsidR="000263B0" w:rsidRPr="00CD06B0">
        <w:rPr>
          <w:lang w:val="en-GB"/>
        </w:rPr>
        <w:t>moderate</w:t>
      </w:r>
      <w:r w:rsidR="009B71CF" w:rsidRPr="00CD06B0">
        <w:rPr>
          <w:lang w:val="en-GB"/>
        </w:rPr>
        <w:t xml:space="preserve"> level of risk aversion (consistent with a willingness to pay </w:t>
      </w:r>
      <w:r w:rsidRPr="00CD06B0">
        <w:rPr>
          <w:lang w:val="en-GB"/>
        </w:rPr>
        <w:t>of</w:t>
      </w:r>
      <w:r w:rsidR="009B71CF" w:rsidRPr="00CD06B0">
        <w:rPr>
          <w:lang w:val="en-GB"/>
        </w:rPr>
        <w:t xml:space="preserve"> 28% of the standard deviation of his benefits to avoid the risk and keep</w:t>
      </w:r>
      <w:r w:rsidRPr="00CD06B0">
        <w:rPr>
          <w:lang w:val="en-GB"/>
        </w:rPr>
        <w:t xml:space="preserve"> </w:t>
      </w:r>
      <w:r w:rsidR="009B71CF" w:rsidRPr="00CD06B0">
        <w:rPr>
          <w:lang w:val="en-GB"/>
        </w:rPr>
        <w:t>the same utility</w:t>
      </w:r>
      <w:r w:rsidR="000263B0" w:rsidRPr="00CD06B0">
        <w:rPr>
          <w:lang w:val="en-GB"/>
        </w:rPr>
        <w:t xml:space="preserve"> level</w:t>
      </w:r>
      <w:r w:rsidR="009B71CF" w:rsidRPr="00CD06B0">
        <w:rPr>
          <w:lang w:val="en-GB"/>
        </w:rPr>
        <w:t xml:space="preserve">), we </w:t>
      </w:r>
      <w:r w:rsidR="001B12AF" w:rsidRPr="00CD06B0">
        <w:rPr>
          <w:lang w:val="en-GB"/>
        </w:rPr>
        <w:t>find</w:t>
      </w:r>
      <w:r w:rsidR="000A0C94" w:rsidRPr="00CD06B0">
        <w:rPr>
          <w:lang w:val="en-GB"/>
        </w:rPr>
        <w:t xml:space="preserve"> that supplemented</w:t>
      </w:r>
      <w:r w:rsidR="009B71CF" w:rsidRPr="00CD06B0">
        <w:rPr>
          <w:lang w:val="en-GB"/>
        </w:rPr>
        <w:t xml:space="preserve"> irrigation </w:t>
      </w:r>
      <w:r w:rsidR="001B12AF" w:rsidRPr="00CD06B0">
        <w:rPr>
          <w:lang w:val="en-GB"/>
        </w:rPr>
        <w:t>reports</w:t>
      </w:r>
      <w:r w:rsidRPr="00CD06B0">
        <w:rPr>
          <w:lang w:val="en-GB"/>
        </w:rPr>
        <w:t xml:space="preserve"> </w:t>
      </w:r>
      <w:r w:rsidR="001B12AF" w:rsidRPr="00CD06B0">
        <w:rPr>
          <w:lang w:val="en-GB"/>
        </w:rPr>
        <w:t>a</w:t>
      </w:r>
      <w:r w:rsidRPr="00CD06B0">
        <w:rPr>
          <w:lang w:val="en-GB"/>
        </w:rPr>
        <w:t>n additional</w:t>
      </w:r>
      <w:r w:rsidR="001B12AF" w:rsidRPr="00CD06B0">
        <w:rPr>
          <w:lang w:val="en-GB"/>
        </w:rPr>
        <w:t xml:space="preserve"> value </w:t>
      </w:r>
      <w:r w:rsidRPr="00CD06B0">
        <w:rPr>
          <w:lang w:val="en-GB"/>
        </w:rPr>
        <w:t>of</w:t>
      </w:r>
      <w:r w:rsidR="001B12AF" w:rsidRPr="00CD06B0">
        <w:rPr>
          <w:lang w:val="en-GB"/>
        </w:rPr>
        <w:t xml:space="preserve"> 5</w:t>
      </w:r>
      <w:r w:rsidR="00CD06B0">
        <w:rPr>
          <w:lang w:val="en-GB"/>
        </w:rPr>
        <w:t xml:space="preserve">9% </w:t>
      </w:r>
      <w:r w:rsidR="009B71CF" w:rsidRPr="00CD06B0">
        <w:rPr>
          <w:lang w:val="en-GB"/>
        </w:rPr>
        <w:t>com</w:t>
      </w:r>
      <w:r w:rsidR="009B71CF" w:rsidRPr="002F4E78">
        <w:rPr>
          <w:lang w:val="en-GB"/>
        </w:rPr>
        <w:t xml:space="preserve">pared to </w:t>
      </w:r>
      <w:r w:rsidR="001B12AF" w:rsidRPr="002F4E78">
        <w:rPr>
          <w:lang w:val="en-GB"/>
        </w:rPr>
        <w:t>the</w:t>
      </w:r>
      <w:r w:rsidR="009B71CF" w:rsidRPr="002F4E78">
        <w:rPr>
          <w:lang w:val="en-GB"/>
        </w:rPr>
        <w:t xml:space="preserve"> rain-fed</w:t>
      </w:r>
      <w:r w:rsidR="009B71CF" w:rsidRPr="001B12AF">
        <w:rPr>
          <w:lang w:val="en-GB"/>
        </w:rPr>
        <w:t xml:space="preserve"> situation</w:t>
      </w:r>
      <w:r w:rsidR="002D32A3">
        <w:rPr>
          <w:lang w:val="en-GB"/>
        </w:rPr>
        <w:t xml:space="preserve"> (table 1)</w:t>
      </w:r>
      <w:r w:rsidR="009B71CF" w:rsidRPr="001B12AF">
        <w:rPr>
          <w:lang w:val="en-GB"/>
        </w:rPr>
        <w:t>.</w:t>
      </w:r>
      <w:r>
        <w:rPr>
          <w:lang w:val="en-GB"/>
        </w:rPr>
        <w:t xml:space="preserve"> T</w:t>
      </w:r>
      <w:r w:rsidR="009B71CF" w:rsidRPr="001B12AF">
        <w:rPr>
          <w:lang w:val="en-GB"/>
        </w:rPr>
        <w:t>he certainty equivalent</w:t>
      </w:r>
      <w:proofErr w:type="gramStart"/>
      <w:r>
        <w:rPr>
          <w:lang w:val="en-GB"/>
        </w:rPr>
        <w:t>,</w:t>
      </w:r>
      <w:r w:rsidR="00E11B60">
        <w:rPr>
          <w:lang w:val="en-GB"/>
        </w:rPr>
        <w:t xml:space="preserve"> </w:t>
      </w:r>
      <w:proofErr w:type="gramEnd"/>
      <w:r w:rsidR="00E11B60" w:rsidRPr="00E11B60">
        <w:rPr>
          <w:position w:val="-10"/>
          <w:lang w:val="en-GB"/>
        </w:rPr>
        <w:object w:dxaOrig="1640" w:dyaOrig="320" w14:anchorId="575904B7">
          <v:shape id="_x0000_i1063" type="#_x0000_t75" style="width:81.8pt;height:16.35pt" o:ole="">
            <v:imagedata r:id="rId76" o:title=""/>
          </v:shape>
          <o:OLEObject Type="Embed" ProgID="Equation.DSMT4" ShapeID="_x0000_i1063" DrawAspect="Content" ObjectID="_1657379055" r:id="rId77"/>
        </w:object>
      </w:r>
      <w:r>
        <w:rPr>
          <w:lang w:val="en-GB"/>
        </w:rPr>
        <w:t>, f</w:t>
      </w:r>
      <w:r w:rsidRPr="001B12AF">
        <w:rPr>
          <w:lang w:val="en-GB"/>
        </w:rPr>
        <w:t>or the rain-fed case</w:t>
      </w:r>
      <w:r>
        <w:rPr>
          <w:lang w:val="en-GB"/>
        </w:rPr>
        <w:t xml:space="preserve"> </w:t>
      </w:r>
      <w:r w:rsidR="009B71CF" w:rsidRPr="001B12AF">
        <w:rPr>
          <w:lang w:val="en-GB"/>
        </w:rPr>
        <w:t xml:space="preserve">is lower than </w:t>
      </w:r>
      <w:r>
        <w:rPr>
          <w:lang w:val="en-GB"/>
        </w:rPr>
        <w:t>the</w:t>
      </w:r>
      <w:r w:rsidR="001B12AF">
        <w:rPr>
          <w:lang w:val="en-GB"/>
        </w:rPr>
        <w:t xml:space="preserve"> irrigat</w:t>
      </w:r>
      <w:r>
        <w:rPr>
          <w:lang w:val="en-GB"/>
        </w:rPr>
        <w:t>ion case</w:t>
      </w:r>
      <w:r w:rsidR="001B12AF">
        <w:rPr>
          <w:lang w:val="en-GB"/>
        </w:rPr>
        <w:t xml:space="preserve">, </w:t>
      </w:r>
      <w:r w:rsidR="00283ED1">
        <w:rPr>
          <w:lang w:val="en-GB"/>
        </w:rPr>
        <w:t>beca</w:t>
      </w:r>
      <w:r w:rsidR="00B27D7C">
        <w:rPr>
          <w:lang w:val="en-GB"/>
        </w:rPr>
        <w:t xml:space="preserve">use </w:t>
      </w:r>
      <w:r w:rsidR="009B71CF" w:rsidRPr="001B12AF">
        <w:rPr>
          <w:lang w:val="en-GB"/>
        </w:rPr>
        <w:t xml:space="preserve">the average </w:t>
      </w:r>
      <w:r w:rsidR="00B27D7C">
        <w:rPr>
          <w:lang w:val="en-GB"/>
        </w:rPr>
        <w:t xml:space="preserve">profits </w:t>
      </w:r>
      <w:r w:rsidR="00E11B60" w:rsidRPr="00E11B60">
        <w:rPr>
          <w:position w:val="-10"/>
          <w:lang w:val="en-GB"/>
        </w:rPr>
        <w:object w:dxaOrig="560" w:dyaOrig="320" w14:anchorId="5E9835BA">
          <v:shape id="_x0000_i1064" type="#_x0000_t75" style="width:27.8pt;height:16.35pt" o:ole="">
            <v:imagedata r:id="rId78" o:title=""/>
          </v:shape>
          <o:OLEObject Type="Embed" ProgID="Equation.DSMT4" ShapeID="_x0000_i1064" DrawAspect="Content" ObjectID="_1657379056" r:id="rId79"/>
        </w:object>
      </w:r>
      <w:r w:rsidR="009B71CF" w:rsidRPr="001B12AF">
        <w:rPr>
          <w:lang w:val="en-GB"/>
        </w:rPr>
        <w:t>are lower</w:t>
      </w:r>
      <w:r>
        <w:rPr>
          <w:lang w:val="en-GB"/>
        </w:rPr>
        <w:t>,</w:t>
      </w:r>
      <w:r w:rsidR="009B71CF" w:rsidRPr="001B12AF">
        <w:rPr>
          <w:lang w:val="en-GB"/>
        </w:rPr>
        <w:t xml:space="preserve"> </w:t>
      </w:r>
      <w:r w:rsidR="00283ED1">
        <w:rPr>
          <w:lang w:val="en-GB"/>
        </w:rPr>
        <w:t>but also because t</w:t>
      </w:r>
      <w:r w:rsidR="009B71CF" w:rsidRPr="001B12AF">
        <w:rPr>
          <w:lang w:val="en-GB"/>
        </w:rPr>
        <w:t>he risk premium (</w:t>
      </w:r>
      <w:r w:rsidR="009B71CF" w:rsidRPr="001B12AF">
        <w:rPr>
          <w:i/>
          <w:lang w:val="en-GB"/>
        </w:rPr>
        <w:t>RP</w:t>
      </w:r>
      <w:r w:rsidR="009B71CF" w:rsidRPr="001B12AF">
        <w:rPr>
          <w:lang w:val="en-GB"/>
        </w:rPr>
        <w:t xml:space="preserve">) is higher </w:t>
      </w:r>
      <w:r w:rsidR="00B27D7C">
        <w:rPr>
          <w:lang w:val="en-GB"/>
        </w:rPr>
        <w:t>(</w:t>
      </w:r>
      <w:r w:rsidR="00CD06B0">
        <w:rPr>
          <w:lang w:val="en-GB"/>
        </w:rPr>
        <w:t>due to</w:t>
      </w:r>
      <w:r w:rsidR="00B62676">
        <w:rPr>
          <w:lang w:val="en-GB"/>
        </w:rPr>
        <w:t xml:space="preserve"> the</w:t>
      </w:r>
      <w:r w:rsidR="009B71CF" w:rsidRPr="001B12AF">
        <w:rPr>
          <w:lang w:val="en-GB"/>
        </w:rPr>
        <w:t xml:space="preserve"> penalty </w:t>
      </w:r>
      <w:r w:rsidR="00B62676">
        <w:rPr>
          <w:lang w:val="en-GB"/>
        </w:rPr>
        <w:t>aris</w:t>
      </w:r>
      <w:r w:rsidR="00CD06B0">
        <w:rPr>
          <w:lang w:val="en-GB"/>
        </w:rPr>
        <w:t>ing</w:t>
      </w:r>
      <w:r w:rsidR="00B62676">
        <w:rPr>
          <w:lang w:val="en-GB"/>
        </w:rPr>
        <w:t xml:space="preserve"> from</w:t>
      </w:r>
      <w:r w:rsidR="009B71CF" w:rsidRPr="001B12AF">
        <w:rPr>
          <w:lang w:val="en-GB"/>
        </w:rPr>
        <w:t xml:space="preserve"> the higher volatility</w:t>
      </w:r>
      <w:r w:rsidR="00B27D7C">
        <w:rPr>
          <w:lang w:val="en-GB"/>
        </w:rPr>
        <w:t>)</w:t>
      </w:r>
      <w:r w:rsidR="009B71CF" w:rsidRPr="001B12AF">
        <w:rPr>
          <w:lang w:val="en-GB"/>
        </w:rPr>
        <w:t xml:space="preserve">. </w:t>
      </w:r>
      <w:r>
        <w:rPr>
          <w:lang w:val="en-GB"/>
        </w:rPr>
        <w:t>Remarkably, i</w:t>
      </w:r>
      <w:r w:rsidR="00B27D7C">
        <w:rPr>
          <w:lang w:val="en-GB"/>
        </w:rPr>
        <w:t xml:space="preserve">f we decompose the </w:t>
      </w:r>
      <w:r w:rsidR="001B12AF">
        <w:rPr>
          <w:lang w:val="en-GB"/>
        </w:rPr>
        <w:t>5</w:t>
      </w:r>
      <w:r w:rsidR="00B27D7C">
        <w:rPr>
          <w:lang w:val="en-GB"/>
        </w:rPr>
        <w:t>9%</w:t>
      </w:r>
      <w:r w:rsidR="00B62676">
        <w:rPr>
          <w:lang w:val="en-GB"/>
        </w:rPr>
        <w:t xml:space="preserve">, 65% of it </w:t>
      </w:r>
      <w:r w:rsidR="009B71CF" w:rsidRPr="001B12AF">
        <w:rPr>
          <w:lang w:val="en-GB"/>
        </w:rPr>
        <w:t xml:space="preserve">corresponds to the </w:t>
      </w:r>
      <w:r w:rsidR="00B27D7C">
        <w:rPr>
          <w:lang w:val="en-GB"/>
        </w:rPr>
        <w:t xml:space="preserve">higher </w:t>
      </w:r>
      <w:r w:rsidR="009B71CF" w:rsidRPr="001B12AF">
        <w:rPr>
          <w:lang w:val="en-GB"/>
        </w:rPr>
        <w:t xml:space="preserve">average </w:t>
      </w:r>
      <w:r w:rsidR="00B27D7C">
        <w:rPr>
          <w:lang w:val="en-GB"/>
        </w:rPr>
        <w:t>profits</w:t>
      </w:r>
      <w:r w:rsidR="009B71CF" w:rsidRPr="001B12AF">
        <w:rPr>
          <w:lang w:val="en-GB"/>
        </w:rPr>
        <w:t xml:space="preserve"> </w:t>
      </w:r>
      <w:r w:rsidR="00CD06B0">
        <w:rPr>
          <w:lang w:val="en-GB"/>
        </w:rPr>
        <w:t xml:space="preserve">of the irrigation system and </w:t>
      </w:r>
      <w:r w:rsidR="005302B6">
        <w:rPr>
          <w:lang w:val="en-GB"/>
        </w:rPr>
        <w:t xml:space="preserve">35% </w:t>
      </w:r>
      <w:r>
        <w:rPr>
          <w:lang w:val="en-GB"/>
        </w:rPr>
        <w:t>to the higher stability of</w:t>
      </w:r>
      <w:r w:rsidR="00CE5DAD">
        <w:rPr>
          <w:lang w:val="en-GB"/>
        </w:rPr>
        <w:t xml:space="preserve"> </w:t>
      </w:r>
      <w:r>
        <w:rPr>
          <w:lang w:val="en-GB"/>
        </w:rPr>
        <w:t>profits</w:t>
      </w:r>
      <w:r w:rsidR="004E10AC">
        <w:rPr>
          <w:lang w:val="en-GB"/>
        </w:rPr>
        <w:t xml:space="preserve">. </w:t>
      </w:r>
      <w:r w:rsidR="00E11B60">
        <w:rPr>
          <w:lang w:val="en-GB"/>
        </w:rPr>
        <w:t>The latter</w:t>
      </w:r>
      <w:r w:rsidR="00283ED1">
        <w:rPr>
          <w:lang w:val="en-GB"/>
        </w:rPr>
        <w:t xml:space="preserve"> seems </w:t>
      </w:r>
      <w:r w:rsidR="00E11B60">
        <w:rPr>
          <w:lang w:val="en-GB"/>
        </w:rPr>
        <w:t xml:space="preserve">to be </w:t>
      </w:r>
      <w:r w:rsidR="009B71CF" w:rsidRPr="001B12AF">
        <w:rPr>
          <w:lang w:val="en-GB"/>
        </w:rPr>
        <w:t xml:space="preserve">a significant portion, </w:t>
      </w:r>
      <w:r w:rsidR="00283ED1">
        <w:rPr>
          <w:lang w:val="en-GB"/>
        </w:rPr>
        <w:t>considering t</w:t>
      </w:r>
      <w:r w:rsidR="005302B6">
        <w:rPr>
          <w:lang w:val="en-GB"/>
        </w:rPr>
        <w:t>hat</w:t>
      </w:r>
      <w:r w:rsidR="005635CE">
        <w:rPr>
          <w:lang w:val="en-GB"/>
        </w:rPr>
        <w:t xml:space="preserve"> this value is</w:t>
      </w:r>
      <w:r w:rsidR="009B71CF" w:rsidRPr="001B12AF">
        <w:rPr>
          <w:lang w:val="en-GB"/>
        </w:rPr>
        <w:t xml:space="preserve"> typically not quantified, but solely appreciated qualitatively.</w:t>
      </w:r>
    </w:p>
    <w:p w14:paraId="6BE2ECF0" w14:textId="7998547F" w:rsidR="009B71CF" w:rsidRPr="001B12AF" w:rsidRDefault="009B71CF" w:rsidP="00BC5BB2">
      <w:pPr>
        <w:rPr>
          <w:lang w:val="en-GB"/>
        </w:rPr>
      </w:pPr>
      <w:r w:rsidRPr="001B12AF">
        <w:rPr>
          <w:lang w:val="en-GB"/>
        </w:rPr>
        <w:t>As expected, when risk aversion increases (</w:t>
      </w:r>
      <w:r w:rsidR="005302B6">
        <w:rPr>
          <w:lang w:val="en-GB"/>
        </w:rPr>
        <w:t xml:space="preserve">moving to the right </w:t>
      </w:r>
      <w:r w:rsidR="00A46A21">
        <w:rPr>
          <w:lang w:val="en-GB"/>
        </w:rPr>
        <w:t>of</w:t>
      </w:r>
      <w:r w:rsidR="005302B6">
        <w:rPr>
          <w:lang w:val="en-GB"/>
        </w:rPr>
        <w:t xml:space="preserve"> </w:t>
      </w:r>
      <w:r w:rsidR="000D17FE">
        <w:rPr>
          <w:lang w:val="en-GB"/>
        </w:rPr>
        <w:t>t</w:t>
      </w:r>
      <w:r w:rsidRPr="001B12AF">
        <w:rPr>
          <w:lang w:val="en-GB"/>
        </w:rPr>
        <w:t xml:space="preserve">able </w:t>
      </w:r>
      <w:r w:rsidR="004A1B43">
        <w:rPr>
          <w:lang w:val="en-GB"/>
        </w:rPr>
        <w:t>1</w:t>
      </w:r>
      <w:r w:rsidR="001B12AF" w:rsidRPr="001B12AF">
        <w:rPr>
          <w:lang w:val="en-GB"/>
        </w:rPr>
        <w:t>),</w:t>
      </w:r>
      <w:r w:rsidRPr="001B12AF">
        <w:rPr>
          <w:lang w:val="en-GB"/>
        </w:rPr>
        <w:t xml:space="preserve"> the value </w:t>
      </w:r>
      <w:r w:rsidR="000D17FE">
        <w:rPr>
          <w:lang w:val="en-GB"/>
        </w:rPr>
        <w:t xml:space="preserve">given </w:t>
      </w:r>
      <w:r w:rsidRPr="001B12AF">
        <w:rPr>
          <w:lang w:val="en-GB"/>
        </w:rPr>
        <w:t xml:space="preserve">to </w:t>
      </w:r>
      <w:r w:rsidR="00234BCD">
        <w:rPr>
          <w:lang w:val="en-GB"/>
        </w:rPr>
        <w:t>a</w:t>
      </w:r>
      <w:r w:rsidRPr="001B12AF">
        <w:rPr>
          <w:lang w:val="en-GB"/>
        </w:rPr>
        <w:t xml:space="preserve"> lower volatility </w:t>
      </w:r>
      <w:r w:rsidR="001B12AF" w:rsidRPr="001B12AF">
        <w:rPr>
          <w:lang w:val="en-GB"/>
        </w:rPr>
        <w:t>is higher</w:t>
      </w:r>
      <w:r w:rsidRPr="001B12AF">
        <w:rPr>
          <w:lang w:val="en-GB"/>
        </w:rPr>
        <w:t>. This is because individuals d</w:t>
      </w:r>
      <w:r w:rsidR="001B12AF">
        <w:rPr>
          <w:lang w:val="en-GB"/>
        </w:rPr>
        <w:t>islike risk to a higher extent</w:t>
      </w:r>
      <w:r w:rsidR="001F5176">
        <w:rPr>
          <w:lang w:val="en-GB"/>
        </w:rPr>
        <w:t xml:space="preserve"> </w:t>
      </w:r>
      <w:r w:rsidRPr="001B12AF">
        <w:rPr>
          <w:lang w:val="en-GB"/>
        </w:rPr>
        <w:t xml:space="preserve">and </w:t>
      </w:r>
      <w:r w:rsidR="000D17FE">
        <w:rPr>
          <w:lang w:val="en-GB"/>
        </w:rPr>
        <w:t>thus</w:t>
      </w:r>
      <w:r w:rsidRPr="001B12AF">
        <w:rPr>
          <w:lang w:val="en-GB"/>
        </w:rPr>
        <w:t xml:space="preserve"> are willing to pay a higher risk premium. </w:t>
      </w:r>
      <w:r w:rsidR="001B12AF">
        <w:rPr>
          <w:lang w:val="en-GB"/>
        </w:rPr>
        <w:t>In addition</w:t>
      </w:r>
      <w:r w:rsidR="000A0C94">
        <w:rPr>
          <w:lang w:val="en-GB"/>
        </w:rPr>
        <w:t xml:space="preserve">, the </w:t>
      </w:r>
      <w:r w:rsidR="005302B6">
        <w:rPr>
          <w:lang w:val="en-GB"/>
        </w:rPr>
        <w:t xml:space="preserve">relative </w:t>
      </w:r>
      <w:r w:rsidR="000A0C94">
        <w:rPr>
          <w:lang w:val="en-GB"/>
        </w:rPr>
        <w:t xml:space="preserve">value </w:t>
      </w:r>
      <w:r w:rsidRPr="001B12AF">
        <w:rPr>
          <w:lang w:val="en-GB"/>
        </w:rPr>
        <w:t>attributed to the higher</w:t>
      </w:r>
      <w:r w:rsidR="00AD7B92">
        <w:rPr>
          <w:lang w:val="en-GB"/>
        </w:rPr>
        <w:t xml:space="preserve"> average </w:t>
      </w:r>
      <w:r w:rsidRPr="001B12AF">
        <w:rPr>
          <w:lang w:val="en-GB"/>
        </w:rPr>
        <w:t>benefits is reduced</w:t>
      </w:r>
      <w:r w:rsidR="005635CE">
        <w:rPr>
          <w:lang w:val="en-GB"/>
        </w:rPr>
        <w:t>.</w:t>
      </w:r>
      <w:r w:rsidR="00234BCD">
        <w:rPr>
          <w:lang w:val="en-GB"/>
        </w:rPr>
        <w:t xml:space="preserve"> R</w:t>
      </w:r>
      <w:r w:rsidRPr="001B12AF">
        <w:rPr>
          <w:lang w:val="en-GB"/>
        </w:rPr>
        <w:t xml:space="preserve">isk neutral </w:t>
      </w:r>
      <w:r w:rsidRPr="000B3F20">
        <w:rPr>
          <w:lang w:val="en-GB"/>
        </w:rPr>
        <w:t>individuals (</w:t>
      </w:r>
      <w:r w:rsidR="00CE5DAD" w:rsidRPr="00CE5DAD">
        <w:rPr>
          <w:i/>
          <w:lang w:val="en-GB"/>
        </w:rPr>
        <w:t>RP</w:t>
      </w:r>
      <w:r w:rsidR="00CE5DAD">
        <w:rPr>
          <w:lang w:val="en-GB"/>
        </w:rPr>
        <w:t>=</w:t>
      </w:r>
      <w:r w:rsidRPr="000B3F20">
        <w:rPr>
          <w:lang w:val="en-GB"/>
        </w:rPr>
        <w:t xml:space="preserve"> 0% of the standard deviation of the profits), do not value the change</w:t>
      </w:r>
      <w:r w:rsidRPr="001B12AF">
        <w:rPr>
          <w:lang w:val="en-GB"/>
        </w:rPr>
        <w:t xml:space="preserve"> in volatility under irrigation,</w:t>
      </w:r>
      <w:r w:rsidR="00AD7B92">
        <w:rPr>
          <w:lang w:val="en-GB"/>
        </w:rPr>
        <w:t xml:space="preserve"> and</w:t>
      </w:r>
      <w:r w:rsidRPr="001B12AF">
        <w:rPr>
          <w:lang w:val="en-GB"/>
        </w:rPr>
        <w:t xml:space="preserve"> </w:t>
      </w:r>
      <w:r w:rsidR="004E10AC">
        <w:rPr>
          <w:lang w:val="en-GB"/>
        </w:rPr>
        <w:t xml:space="preserve">as expected, </w:t>
      </w:r>
      <w:r w:rsidR="000D17FE">
        <w:rPr>
          <w:lang w:val="en-GB"/>
        </w:rPr>
        <w:t>only</w:t>
      </w:r>
      <w:r w:rsidRPr="001B12AF">
        <w:rPr>
          <w:lang w:val="en-GB"/>
        </w:rPr>
        <w:t xml:space="preserve"> value </w:t>
      </w:r>
      <w:r w:rsidR="005635CE">
        <w:rPr>
          <w:lang w:val="en-GB"/>
        </w:rPr>
        <w:t xml:space="preserve">the </w:t>
      </w:r>
      <w:r w:rsidRPr="001B12AF">
        <w:rPr>
          <w:lang w:val="en-GB"/>
        </w:rPr>
        <w:t>higher average</w:t>
      </w:r>
      <w:r w:rsidR="005302B6">
        <w:rPr>
          <w:lang w:val="en-GB"/>
        </w:rPr>
        <w:t xml:space="preserve"> profits</w:t>
      </w:r>
      <w:r w:rsidRPr="001B12AF">
        <w:rPr>
          <w:lang w:val="en-GB"/>
        </w:rPr>
        <w:t>.</w:t>
      </w:r>
    </w:p>
    <w:p w14:paraId="7BA89F9B" w14:textId="61391238" w:rsidR="00FD5B1F" w:rsidRDefault="00680666" w:rsidP="00BC5BB2">
      <w:pPr>
        <w:rPr>
          <w:lang w:val="en-GB"/>
        </w:rPr>
      </w:pPr>
      <w:r>
        <w:rPr>
          <w:lang w:val="en-GB"/>
        </w:rPr>
        <w:lastRenderedPageBreak/>
        <w:t xml:space="preserve">We analyse other two scenarios </w:t>
      </w:r>
      <w:r w:rsidR="008F0DB2">
        <w:rPr>
          <w:lang w:val="en-GB"/>
        </w:rPr>
        <w:t>that</w:t>
      </w:r>
      <w:r>
        <w:rPr>
          <w:lang w:val="en-GB"/>
        </w:rPr>
        <w:t xml:space="preserve"> represent typical schemes found in</w:t>
      </w:r>
      <w:r w:rsidR="00234BCD">
        <w:rPr>
          <w:lang w:val="en-GB"/>
        </w:rPr>
        <w:t xml:space="preserve"> </w:t>
      </w:r>
      <w:r>
        <w:rPr>
          <w:lang w:val="en-GB"/>
        </w:rPr>
        <w:t xml:space="preserve">Uruguayan </w:t>
      </w:r>
      <w:r w:rsidR="00AD7B92">
        <w:rPr>
          <w:lang w:val="en-GB"/>
        </w:rPr>
        <w:t>crop production</w:t>
      </w:r>
      <w:r>
        <w:rPr>
          <w:lang w:val="en-GB"/>
        </w:rPr>
        <w:t xml:space="preserve">. </w:t>
      </w:r>
      <w:r w:rsidR="00CA7405">
        <w:rPr>
          <w:lang w:val="en-GB"/>
        </w:rPr>
        <w:t>The</w:t>
      </w:r>
      <w:r>
        <w:rPr>
          <w:lang w:val="en-GB"/>
        </w:rPr>
        <w:t>ir</w:t>
      </w:r>
      <w:r w:rsidR="00CA7405">
        <w:rPr>
          <w:lang w:val="en-GB"/>
        </w:rPr>
        <w:t xml:space="preserve"> results are qualitatively similar to </w:t>
      </w:r>
      <w:r w:rsidR="00CA7405" w:rsidRPr="008F0DB2">
        <w:rPr>
          <w:i/>
          <w:lang w:val="en-GB"/>
        </w:rPr>
        <w:t>scenario1</w:t>
      </w:r>
      <w:r w:rsidR="00234BCD">
        <w:rPr>
          <w:lang w:val="en-GB"/>
        </w:rPr>
        <w:t xml:space="preserve">, </w:t>
      </w:r>
      <w:r w:rsidR="004E10AC">
        <w:rPr>
          <w:lang w:val="en-GB"/>
        </w:rPr>
        <w:t xml:space="preserve">which </w:t>
      </w:r>
      <w:r w:rsidR="00E11B60">
        <w:rPr>
          <w:lang w:val="en-GB"/>
        </w:rPr>
        <w:t>is</w:t>
      </w:r>
      <w:r w:rsidR="004E10AC">
        <w:rPr>
          <w:lang w:val="en-GB"/>
        </w:rPr>
        <w:t xml:space="preserve"> indicative </w:t>
      </w:r>
      <w:r w:rsidR="00B62676">
        <w:rPr>
          <w:lang w:val="en-GB"/>
        </w:rPr>
        <w:t>that</w:t>
      </w:r>
      <w:r w:rsidR="004E10AC">
        <w:rPr>
          <w:lang w:val="en-GB"/>
        </w:rPr>
        <w:t xml:space="preserve"> </w:t>
      </w:r>
      <w:r w:rsidR="00DE1775">
        <w:rPr>
          <w:lang w:val="en-GB"/>
        </w:rPr>
        <w:t xml:space="preserve">the relatively </w:t>
      </w:r>
      <w:r w:rsidR="009B71CF" w:rsidRPr="00333510">
        <w:rPr>
          <w:lang w:val="en-GB"/>
        </w:rPr>
        <w:t>high value producer</w:t>
      </w:r>
      <w:r w:rsidR="00B62676">
        <w:rPr>
          <w:lang w:val="en-GB"/>
        </w:rPr>
        <w:t>s</w:t>
      </w:r>
      <w:r w:rsidR="009B71CF" w:rsidRPr="00333510">
        <w:rPr>
          <w:lang w:val="en-GB"/>
        </w:rPr>
        <w:t xml:space="preserve"> assign to the lower volatility </w:t>
      </w:r>
      <w:r w:rsidR="00333510">
        <w:rPr>
          <w:lang w:val="en-GB"/>
        </w:rPr>
        <w:t xml:space="preserve">when </w:t>
      </w:r>
      <w:r w:rsidR="00CA7405">
        <w:rPr>
          <w:lang w:val="en-GB"/>
        </w:rPr>
        <w:t xml:space="preserve">using </w:t>
      </w:r>
      <w:r w:rsidR="00234BCD">
        <w:rPr>
          <w:lang w:val="en-GB"/>
        </w:rPr>
        <w:t xml:space="preserve">irrigation </w:t>
      </w:r>
      <w:r w:rsidR="00B62676">
        <w:rPr>
          <w:lang w:val="en-GB"/>
        </w:rPr>
        <w:t xml:space="preserve">is </w:t>
      </w:r>
      <w:r w:rsidR="009B71CF" w:rsidRPr="00333510">
        <w:rPr>
          <w:lang w:val="en-GB"/>
        </w:rPr>
        <w:t xml:space="preserve">independent </w:t>
      </w:r>
      <w:r w:rsidR="00B62676">
        <w:rPr>
          <w:lang w:val="en-GB"/>
        </w:rPr>
        <w:t>from</w:t>
      </w:r>
      <w:r w:rsidR="009B71CF" w:rsidRPr="00333510">
        <w:rPr>
          <w:lang w:val="en-GB"/>
        </w:rPr>
        <w:t xml:space="preserve"> the </w:t>
      </w:r>
      <w:r>
        <w:rPr>
          <w:lang w:val="en-GB"/>
        </w:rPr>
        <w:t>production system</w:t>
      </w:r>
      <w:r w:rsidR="00333510">
        <w:rPr>
          <w:lang w:val="en-GB"/>
        </w:rPr>
        <w:t>,</w:t>
      </w:r>
      <w:r w:rsidR="009B71CF" w:rsidRPr="00333510">
        <w:rPr>
          <w:lang w:val="en-GB"/>
        </w:rPr>
        <w:t xml:space="preserve"> the soil aptitude, </w:t>
      </w:r>
      <w:r>
        <w:rPr>
          <w:lang w:val="en-GB"/>
        </w:rPr>
        <w:t xml:space="preserve">and </w:t>
      </w:r>
      <w:r w:rsidR="009B71CF" w:rsidRPr="00333510">
        <w:rPr>
          <w:lang w:val="en-GB"/>
        </w:rPr>
        <w:t xml:space="preserve">the distance to the port. </w:t>
      </w:r>
    </w:p>
    <w:p w14:paraId="0EFFF738" w14:textId="281D75B4" w:rsidR="00FD5B1F" w:rsidRDefault="00505329" w:rsidP="00BC5BB2">
      <w:pPr>
        <w:rPr>
          <w:rFonts w:eastAsiaTheme="minorEastAsia"/>
          <w:lang w:val="en-GB"/>
        </w:rPr>
      </w:pPr>
      <w:r w:rsidRPr="00E959E3">
        <w:rPr>
          <w:rFonts w:eastAsiaTheme="minorEastAsia"/>
          <w:i/>
          <w:lang w:val="en-GB"/>
        </w:rPr>
        <w:t>Scenario</w:t>
      </w:r>
      <w:r w:rsidRPr="00E959E3">
        <w:rPr>
          <w:rFonts w:eastAsiaTheme="minorEastAsia"/>
          <w:b/>
          <w:i/>
          <w:lang w:val="en-GB"/>
        </w:rPr>
        <w:t xml:space="preserve"> </w:t>
      </w:r>
      <w:r w:rsidR="00EF3196" w:rsidRPr="000638EA">
        <w:rPr>
          <w:rFonts w:eastAsiaTheme="minorEastAsia"/>
          <w:i/>
          <w:lang w:val="en-GB"/>
        </w:rPr>
        <w:t>2</w:t>
      </w:r>
      <w:r w:rsidR="009B71CF" w:rsidRPr="000638EA">
        <w:rPr>
          <w:lang w:val="en-GB"/>
        </w:rPr>
        <w:t>,</w:t>
      </w:r>
      <w:r w:rsidR="009B71CF" w:rsidRPr="00E959E3">
        <w:rPr>
          <w:lang w:val="en-GB"/>
        </w:rPr>
        <w:t xml:space="preserve"> </w:t>
      </w:r>
      <w:r w:rsidR="00EF3196" w:rsidRPr="00E959E3">
        <w:rPr>
          <w:rFonts w:eastAsiaTheme="minorEastAsia"/>
          <w:lang w:val="en-GB"/>
        </w:rPr>
        <w:t xml:space="preserve">which describes a </w:t>
      </w:r>
      <w:r w:rsidR="00A661AA" w:rsidRPr="00E959E3">
        <w:rPr>
          <w:lang w:val="en-GB"/>
        </w:rPr>
        <w:t xml:space="preserve">livestock </w:t>
      </w:r>
      <w:r w:rsidR="00680666">
        <w:rPr>
          <w:lang w:val="en-GB"/>
        </w:rPr>
        <w:t>and</w:t>
      </w:r>
      <w:r w:rsidR="00A661AA" w:rsidRPr="00E959E3">
        <w:rPr>
          <w:lang w:val="en-GB"/>
        </w:rPr>
        <w:t xml:space="preserve"> cattle</w:t>
      </w:r>
      <w:r w:rsidR="009B71CF" w:rsidRPr="00E959E3">
        <w:rPr>
          <w:lang w:val="en-GB"/>
        </w:rPr>
        <w:t xml:space="preserve"> </w:t>
      </w:r>
      <w:r w:rsidR="00C4612D">
        <w:rPr>
          <w:lang w:val="en-GB"/>
        </w:rPr>
        <w:t>production</w:t>
      </w:r>
      <w:r w:rsidR="009B71CF" w:rsidRPr="00E959E3">
        <w:rPr>
          <w:lang w:val="en-GB"/>
        </w:rPr>
        <w:t xml:space="preserve"> system, in high soil aptitude and close to the port</w:t>
      </w:r>
      <w:r w:rsidR="00EF3196" w:rsidRPr="00E959E3">
        <w:rPr>
          <w:lang w:val="en-GB"/>
        </w:rPr>
        <w:t xml:space="preserve">, </w:t>
      </w:r>
      <w:r w:rsidR="00234BCD">
        <w:rPr>
          <w:rFonts w:eastAsiaTheme="minorEastAsia"/>
          <w:lang w:val="en-GB"/>
        </w:rPr>
        <w:t>uses</w:t>
      </w:r>
      <w:r w:rsidR="00EF3196" w:rsidRPr="00E959E3">
        <w:rPr>
          <w:rFonts w:eastAsiaTheme="minorEastAsia"/>
          <w:lang w:val="en-GB"/>
        </w:rPr>
        <w:t xml:space="preserve"> a rotation with irrigation </w:t>
      </w:r>
      <w:r w:rsidR="00234BCD">
        <w:rPr>
          <w:rFonts w:eastAsiaTheme="minorEastAsia"/>
          <w:lang w:val="en-GB"/>
        </w:rPr>
        <w:t>that lasts</w:t>
      </w:r>
      <w:r w:rsidR="00DE1775">
        <w:rPr>
          <w:rFonts w:eastAsiaTheme="minorEastAsia"/>
          <w:lang w:val="en-GB"/>
        </w:rPr>
        <w:t xml:space="preserve"> two</w:t>
      </w:r>
      <w:r w:rsidR="00EF3196" w:rsidRPr="00E959E3">
        <w:rPr>
          <w:rFonts w:eastAsiaTheme="minorEastAsia"/>
          <w:lang w:val="en-GB"/>
        </w:rPr>
        <w:t xml:space="preserve"> years</w:t>
      </w:r>
      <w:r w:rsidR="00EB26C6">
        <w:rPr>
          <w:rFonts w:eastAsiaTheme="minorEastAsia"/>
          <w:lang w:val="en-GB"/>
        </w:rPr>
        <w:t xml:space="preserve"> {</w:t>
      </w:r>
      <w:r w:rsidR="00EB26C6" w:rsidRPr="00E959E3">
        <w:rPr>
          <w:lang w:val="en-GB"/>
        </w:rPr>
        <w:t>CC</w:t>
      </w:r>
      <w:r w:rsidR="00EB26C6">
        <w:rPr>
          <w:lang w:val="en-GB"/>
        </w:rPr>
        <w:t>-</w:t>
      </w:r>
      <w:r w:rsidR="00EB26C6" w:rsidRPr="00E959E3">
        <w:rPr>
          <w:lang w:val="en-GB"/>
        </w:rPr>
        <w:t>S1</w:t>
      </w:r>
      <w:r w:rsidR="00EB26C6">
        <w:rPr>
          <w:rFonts w:eastAsiaTheme="minorEastAsia"/>
          <w:lang w:val="en-GB"/>
        </w:rPr>
        <w:t>}{</w:t>
      </w:r>
      <w:r w:rsidR="00EB26C6" w:rsidRPr="00E959E3">
        <w:rPr>
          <w:lang w:val="en-GB"/>
        </w:rPr>
        <w:t>W</w:t>
      </w:r>
      <w:r w:rsidR="00EB26C6">
        <w:rPr>
          <w:lang w:val="en-GB"/>
        </w:rPr>
        <w:t>-</w:t>
      </w:r>
      <w:r w:rsidR="00EB26C6" w:rsidRPr="00E959E3">
        <w:rPr>
          <w:lang w:val="en-GB"/>
        </w:rPr>
        <w:t>M2</w:t>
      </w:r>
      <w:r w:rsidR="00EB26C6">
        <w:rPr>
          <w:rFonts w:eastAsiaTheme="minorEastAsia"/>
          <w:lang w:val="en-GB"/>
        </w:rPr>
        <w:t>}</w:t>
      </w:r>
      <w:r w:rsidR="009B71CF" w:rsidRPr="00E959E3">
        <w:rPr>
          <w:lang w:val="en-GB"/>
        </w:rPr>
        <w:t xml:space="preserve">. The </w:t>
      </w:r>
      <w:r w:rsidR="00E959E3" w:rsidRPr="00E959E3">
        <w:rPr>
          <w:lang w:val="en-GB"/>
        </w:rPr>
        <w:t xml:space="preserve">rain-fed rotation takes </w:t>
      </w:r>
      <w:r w:rsidR="00DE1775">
        <w:rPr>
          <w:lang w:val="en-GB"/>
        </w:rPr>
        <w:t>three</w:t>
      </w:r>
      <w:r w:rsidR="00E959E3" w:rsidRPr="00E959E3">
        <w:rPr>
          <w:lang w:val="en-GB"/>
        </w:rPr>
        <w:t xml:space="preserve"> years, </w:t>
      </w:r>
      <w:r w:rsidR="00EB26C6">
        <w:rPr>
          <w:lang w:val="en-GB"/>
        </w:rPr>
        <w:t>{</w:t>
      </w:r>
      <w:r w:rsidR="009B71CF" w:rsidRPr="00E959E3">
        <w:rPr>
          <w:lang w:val="en-GB"/>
        </w:rPr>
        <w:t>CC</w:t>
      </w:r>
      <w:r w:rsidR="00EB26C6">
        <w:rPr>
          <w:lang w:val="en-GB"/>
        </w:rPr>
        <w:t>-</w:t>
      </w:r>
      <w:r w:rsidR="009B71CF" w:rsidRPr="00E959E3">
        <w:rPr>
          <w:lang w:val="en-GB"/>
        </w:rPr>
        <w:t>S1</w:t>
      </w:r>
      <w:r w:rsidR="00EB26C6">
        <w:rPr>
          <w:lang w:val="en-GB"/>
        </w:rPr>
        <w:t>}{</w:t>
      </w:r>
      <w:r w:rsidR="009B71CF" w:rsidRPr="00E959E3">
        <w:rPr>
          <w:lang w:val="en-GB"/>
        </w:rPr>
        <w:t>W</w:t>
      </w:r>
      <w:r w:rsidR="00EB26C6">
        <w:rPr>
          <w:lang w:val="en-GB"/>
        </w:rPr>
        <w:t>-</w:t>
      </w:r>
      <w:r w:rsidR="009B71CF" w:rsidRPr="00E959E3">
        <w:rPr>
          <w:lang w:val="en-GB"/>
        </w:rPr>
        <w:t>S2</w:t>
      </w:r>
      <w:r w:rsidR="00EB26C6">
        <w:rPr>
          <w:lang w:val="en-GB"/>
        </w:rPr>
        <w:t>}{</w:t>
      </w:r>
      <w:r w:rsidR="009B71CF" w:rsidRPr="00E959E3">
        <w:rPr>
          <w:lang w:val="en-GB"/>
        </w:rPr>
        <w:t>CC</w:t>
      </w:r>
      <w:r w:rsidR="00EB26C6">
        <w:rPr>
          <w:lang w:val="en-GB"/>
        </w:rPr>
        <w:t>-</w:t>
      </w:r>
      <w:r w:rsidR="009B71CF" w:rsidRPr="00E959E3">
        <w:rPr>
          <w:lang w:val="en-GB"/>
        </w:rPr>
        <w:t>M1</w:t>
      </w:r>
      <w:r w:rsidR="00EB26C6">
        <w:rPr>
          <w:lang w:val="en-GB"/>
        </w:rPr>
        <w:t>}</w:t>
      </w:r>
      <w:r w:rsidR="009B71CF" w:rsidRPr="00E959E3">
        <w:rPr>
          <w:lang w:val="en-GB"/>
        </w:rPr>
        <w:t>. In this case, the use of irriga</w:t>
      </w:r>
      <w:r w:rsidR="00A661AA" w:rsidRPr="00E959E3">
        <w:rPr>
          <w:lang w:val="en-GB"/>
        </w:rPr>
        <w:t xml:space="preserve">tion reports to the producer a </w:t>
      </w:r>
      <w:r w:rsidR="009B71CF" w:rsidRPr="00680666">
        <w:rPr>
          <w:i/>
          <w:lang w:val="en-GB"/>
        </w:rPr>
        <w:t>C</w:t>
      </w:r>
      <w:r w:rsidR="00A661AA" w:rsidRPr="00680666">
        <w:rPr>
          <w:i/>
          <w:lang w:val="en-GB"/>
        </w:rPr>
        <w:t>E</w:t>
      </w:r>
      <w:r w:rsidR="00E959E3" w:rsidRPr="00E959E3">
        <w:rPr>
          <w:lang w:val="en-GB"/>
        </w:rPr>
        <w:t xml:space="preserve"> 75</w:t>
      </w:r>
      <w:r w:rsidR="009B71CF" w:rsidRPr="00E959E3">
        <w:rPr>
          <w:lang w:val="en-GB"/>
        </w:rPr>
        <w:t>% higher</w:t>
      </w:r>
      <w:r w:rsidR="00234BCD">
        <w:rPr>
          <w:lang w:val="en-GB"/>
        </w:rPr>
        <w:t xml:space="preserve">, where one fifth </w:t>
      </w:r>
      <w:r w:rsidR="009B71CF" w:rsidRPr="00E959E3">
        <w:rPr>
          <w:lang w:val="en-GB"/>
        </w:rPr>
        <w:t xml:space="preserve">of </w:t>
      </w:r>
      <w:r w:rsidR="00234BCD">
        <w:rPr>
          <w:lang w:val="en-GB"/>
        </w:rPr>
        <w:t>it can be</w:t>
      </w:r>
      <w:r w:rsidR="009B71CF" w:rsidRPr="00E959E3">
        <w:rPr>
          <w:lang w:val="en-GB"/>
        </w:rPr>
        <w:t xml:space="preserve"> associated </w:t>
      </w:r>
      <w:r w:rsidR="00430A67">
        <w:rPr>
          <w:lang w:val="en-GB"/>
        </w:rPr>
        <w:t>to</w:t>
      </w:r>
      <w:r w:rsidR="009B71CF" w:rsidRPr="00E959E3">
        <w:rPr>
          <w:lang w:val="en-GB"/>
        </w:rPr>
        <w:t xml:space="preserve"> the lower volatility of </w:t>
      </w:r>
      <w:r w:rsidR="00680666">
        <w:rPr>
          <w:lang w:val="en-GB"/>
        </w:rPr>
        <w:t>profits</w:t>
      </w:r>
      <w:r w:rsidR="009B71CF" w:rsidRPr="00E959E3">
        <w:rPr>
          <w:lang w:val="en-GB"/>
        </w:rPr>
        <w:t xml:space="preserve">. </w:t>
      </w:r>
    </w:p>
    <w:p w14:paraId="0CBBE734" w14:textId="40A0F32D" w:rsidR="00FD5B1F" w:rsidRDefault="00505329" w:rsidP="00BC5BB2">
      <w:pPr>
        <w:rPr>
          <w:rFonts w:eastAsiaTheme="minorEastAsia"/>
          <w:lang w:val="en-GB"/>
        </w:rPr>
      </w:pPr>
      <w:r w:rsidRPr="00E959E3">
        <w:rPr>
          <w:rFonts w:eastAsiaTheme="minorEastAsia"/>
          <w:i/>
          <w:lang w:val="en-GB"/>
        </w:rPr>
        <w:t>Scenario</w:t>
      </w:r>
      <w:r w:rsidRPr="00E959E3">
        <w:rPr>
          <w:rFonts w:eastAsiaTheme="minorEastAsia"/>
          <w:b/>
          <w:i/>
          <w:lang w:val="en-GB"/>
        </w:rPr>
        <w:t xml:space="preserve"> </w:t>
      </w:r>
      <w:r w:rsidR="00E959E3" w:rsidRPr="000638EA">
        <w:rPr>
          <w:rFonts w:eastAsiaTheme="minorEastAsia"/>
          <w:i/>
          <w:lang w:val="en-GB"/>
        </w:rPr>
        <w:t>3</w:t>
      </w:r>
      <w:r w:rsidR="009B71CF" w:rsidRPr="00E959E3">
        <w:rPr>
          <w:lang w:val="en-GB"/>
        </w:rPr>
        <w:t xml:space="preserve"> </w:t>
      </w:r>
      <w:r w:rsidR="00E959E3" w:rsidRPr="00E959E3">
        <w:rPr>
          <w:lang w:val="en-GB"/>
        </w:rPr>
        <w:t>is also</w:t>
      </w:r>
      <w:r w:rsidR="009B71CF" w:rsidRPr="00E959E3">
        <w:rPr>
          <w:lang w:val="en-GB"/>
        </w:rPr>
        <w:t xml:space="preserve"> </w:t>
      </w:r>
      <w:r w:rsidR="00A661AA" w:rsidRPr="00E959E3">
        <w:rPr>
          <w:lang w:val="en-GB"/>
        </w:rPr>
        <w:t xml:space="preserve">a </w:t>
      </w:r>
      <w:r w:rsidR="00680666">
        <w:rPr>
          <w:lang w:val="en-GB"/>
        </w:rPr>
        <w:t>livestock and</w:t>
      </w:r>
      <w:r w:rsidR="00A661AA" w:rsidRPr="00E959E3">
        <w:rPr>
          <w:lang w:val="en-GB"/>
        </w:rPr>
        <w:t xml:space="preserve"> cattle </w:t>
      </w:r>
      <w:r w:rsidR="00EB26C6">
        <w:rPr>
          <w:lang w:val="en-GB"/>
        </w:rPr>
        <w:t>production</w:t>
      </w:r>
      <w:r w:rsidR="00A661AA" w:rsidRPr="00E959E3">
        <w:rPr>
          <w:lang w:val="en-GB"/>
        </w:rPr>
        <w:t xml:space="preserve"> system</w:t>
      </w:r>
      <w:r w:rsidR="009B71CF" w:rsidRPr="00E959E3">
        <w:rPr>
          <w:lang w:val="en-GB"/>
        </w:rPr>
        <w:t>, in high soil aptitude</w:t>
      </w:r>
      <w:r w:rsidR="00E959E3" w:rsidRPr="00E959E3">
        <w:rPr>
          <w:lang w:val="en-GB"/>
        </w:rPr>
        <w:t>,</w:t>
      </w:r>
      <w:r w:rsidR="00A661AA" w:rsidRPr="00E959E3">
        <w:rPr>
          <w:lang w:val="en-GB"/>
        </w:rPr>
        <w:t xml:space="preserve"> but far</w:t>
      </w:r>
      <w:r w:rsidR="009B71CF" w:rsidRPr="00E959E3">
        <w:rPr>
          <w:lang w:val="en-GB"/>
        </w:rPr>
        <w:t xml:space="preserve"> from the port</w:t>
      </w:r>
      <w:r w:rsidR="00EB26C6">
        <w:rPr>
          <w:lang w:val="en-GB"/>
        </w:rPr>
        <w:t>. I</w:t>
      </w:r>
      <w:r w:rsidR="00DE1775">
        <w:rPr>
          <w:lang w:val="en-GB"/>
        </w:rPr>
        <w:t xml:space="preserve">t features </w:t>
      </w:r>
      <w:r w:rsidR="009B71CF" w:rsidRPr="00E959E3">
        <w:rPr>
          <w:lang w:val="en-GB"/>
        </w:rPr>
        <w:t>the same rotation with and without irrigation</w:t>
      </w:r>
      <w:r w:rsidR="00EB26C6">
        <w:rPr>
          <w:lang w:val="en-GB"/>
        </w:rPr>
        <w:t xml:space="preserve">, which </w:t>
      </w:r>
      <w:r w:rsidR="00B62676">
        <w:rPr>
          <w:lang w:val="en-GB"/>
        </w:rPr>
        <w:t>lasts</w:t>
      </w:r>
      <w:r w:rsidR="00DE1775">
        <w:rPr>
          <w:lang w:val="en-GB"/>
        </w:rPr>
        <w:t xml:space="preserve"> three</w:t>
      </w:r>
      <w:r w:rsidR="00430A67">
        <w:rPr>
          <w:lang w:val="en-GB"/>
        </w:rPr>
        <w:t xml:space="preserve"> years</w:t>
      </w:r>
      <w:r w:rsidR="00EB26C6">
        <w:rPr>
          <w:lang w:val="en-GB"/>
        </w:rPr>
        <w:t>, {CC-S1}{W-S2}{CC-M1}.</w:t>
      </w:r>
      <w:r w:rsidR="00430A67">
        <w:rPr>
          <w:lang w:val="en-GB"/>
        </w:rPr>
        <w:t xml:space="preserve"> </w:t>
      </w:r>
      <w:r w:rsidR="009B71CF" w:rsidRPr="00E959E3">
        <w:rPr>
          <w:lang w:val="en-GB"/>
        </w:rPr>
        <w:t xml:space="preserve">The value attributed to the use of irrigation is consistent with previous </w:t>
      </w:r>
      <w:r w:rsidR="00680666">
        <w:rPr>
          <w:lang w:val="en-GB"/>
        </w:rPr>
        <w:t>scenarios</w:t>
      </w:r>
      <w:r w:rsidR="009B71CF" w:rsidRPr="00E959E3">
        <w:rPr>
          <w:lang w:val="en-GB"/>
        </w:rPr>
        <w:t xml:space="preserve">. </w:t>
      </w:r>
      <w:r w:rsidR="00680666">
        <w:rPr>
          <w:lang w:val="en-GB"/>
        </w:rPr>
        <w:t xml:space="preserve">Importantly, </w:t>
      </w:r>
      <w:r w:rsidR="009B71CF" w:rsidRPr="00E959E3">
        <w:rPr>
          <w:lang w:val="en-GB"/>
        </w:rPr>
        <w:t>the fact that both rotation</w:t>
      </w:r>
      <w:r w:rsidR="00234BCD">
        <w:rPr>
          <w:lang w:val="en-GB"/>
        </w:rPr>
        <w:t>s are the same</w:t>
      </w:r>
      <w:r w:rsidR="009B71CF" w:rsidRPr="00E959E3">
        <w:rPr>
          <w:lang w:val="en-GB"/>
        </w:rPr>
        <w:t xml:space="preserve"> </w:t>
      </w:r>
      <w:r w:rsidR="00DE1775">
        <w:rPr>
          <w:lang w:val="en-GB"/>
        </w:rPr>
        <w:t>suggests</w:t>
      </w:r>
      <w:r w:rsidR="009B71CF" w:rsidRPr="00E959E3">
        <w:rPr>
          <w:lang w:val="en-GB"/>
        </w:rPr>
        <w:t xml:space="preserve"> that the results </w:t>
      </w:r>
      <w:r w:rsidR="00680666">
        <w:rPr>
          <w:lang w:val="en-GB"/>
        </w:rPr>
        <w:t xml:space="preserve">are not </w:t>
      </w:r>
      <w:r w:rsidR="00234BCD">
        <w:rPr>
          <w:lang w:val="en-GB"/>
        </w:rPr>
        <w:t xml:space="preserve">driven by differences </w:t>
      </w:r>
      <w:r w:rsidR="00DE1775">
        <w:rPr>
          <w:lang w:val="en-GB"/>
        </w:rPr>
        <w:t xml:space="preserve">in </w:t>
      </w:r>
      <w:r w:rsidR="00234BCD">
        <w:rPr>
          <w:lang w:val="en-GB"/>
        </w:rPr>
        <w:t>rotations.</w:t>
      </w:r>
    </w:p>
    <w:p w14:paraId="1FA170C9" w14:textId="08E52C52" w:rsidR="009B71CF" w:rsidRDefault="00984B04" w:rsidP="00BC5BB2">
      <w:pPr>
        <w:rPr>
          <w:lang w:val="en-GB"/>
        </w:rPr>
      </w:pPr>
      <w:r>
        <w:rPr>
          <w:lang w:val="en-GB"/>
        </w:rPr>
        <w:t xml:space="preserve">If we compare </w:t>
      </w:r>
      <w:r w:rsidR="00DE1775">
        <w:rPr>
          <w:lang w:val="en-GB"/>
        </w:rPr>
        <w:t>sc</w:t>
      </w:r>
      <w:r w:rsidR="00505329" w:rsidRPr="00680666">
        <w:rPr>
          <w:lang w:val="en-GB"/>
        </w:rPr>
        <w:t>enarios</w:t>
      </w:r>
      <w:r w:rsidR="009B71CF" w:rsidRPr="00680666">
        <w:rPr>
          <w:lang w:val="en-GB"/>
        </w:rPr>
        <w:t xml:space="preserve"> </w:t>
      </w:r>
      <w:r w:rsidR="00E959E3" w:rsidRPr="00680666">
        <w:rPr>
          <w:lang w:val="en-GB"/>
        </w:rPr>
        <w:t>2</w:t>
      </w:r>
      <w:r w:rsidR="009B71CF" w:rsidRPr="00E959E3">
        <w:rPr>
          <w:lang w:val="en-GB"/>
        </w:rPr>
        <w:t xml:space="preserve"> and </w:t>
      </w:r>
      <w:r w:rsidR="00E959E3" w:rsidRPr="00680666">
        <w:rPr>
          <w:lang w:val="en-GB"/>
        </w:rPr>
        <w:t>3</w:t>
      </w:r>
      <w:r>
        <w:rPr>
          <w:lang w:val="en-GB"/>
        </w:rPr>
        <w:t xml:space="preserve">, we show the </w:t>
      </w:r>
      <w:r w:rsidR="008A63F6">
        <w:rPr>
          <w:lang w:val="en-GB"/>
        </w:rPr>
        <w:t>result</w:t>
      </w:r>
      <w:r>
        <w:rPr>
          <w:lang w:val="en-GB"/>
        </w:rPr>
        <w:t xml:space="preserve"> of </w:t>
      </w:r>
      <w:r w:rsidR="00B62676">
        <w:rPr>
          <w:lang w:val="en-GB"/>
        </w:rPr>
        <w:t>leaving ev</w:t>
      </w:r>
      <w:r w:rsidR="00B62676" w:rsidRPr="00E959E3">
        <w:rPr>
          <w:lang w:val="en-GB"/>
        </w:rPr>
        <w:t>erything</w:t>
      </w:r>
      <w:r w:rsidR="009B71CF" w:rsidRPr="00E959E3">
        <w:rPr>
          <w:lang w:val="en-GB"/>
        </w:rPr>
        <w:t xml:space="preserve"> else equal </w:t>
      </w:r>
      <w:r w:rsidR="00B62676">
        <w:rPr>
          <w:lang w:val="en-GB"/>
        </w:rPr>
        <w:t xml:space="preserve">but changing </w:t>
      </w:r>
      <w:r w:rsidR="00F17734">
        <w:rPr>
          <w:lang w:val="en-GB"/>
        </w:rPr>
        <w:t xml:space="preserve">the </w:t>
      </w:r>
      <w:r w:rsidR="00680666">
        <w:rPr>
          <w:lang w:val="en-GB"/>
        </w:rPr>
        <w:t>distance to the port</w:t>
      </w:r>
      <w:r w:rsidR="009B71CF" w:rsidRPr="00E959E3">
        <w:rPr>
          <w:lang w:val="en-GB"/>
        </w:rPr>
        <w:t xml:space="preserve">. </w:t>
      </w:r>
      <w:r w:rsidR="000C73EA">
        <w:rPr>
          <w:lang w:val="en-GB"/>
        </w:rPr>
        <w:t>W</w:t>
      </w:r>
      <w:r w:rsidR="009B71CF" w:rsidRPr="00E959E3">
        <w:rPr>
          <w:lang w:val="en-GB"/>
        </w:rPr>
        <w:t xml:space="preserve">hen we increase </w:t>
      </w:r>
      <w:r w:rsidR="00DE1775">
        <w:rPr>
          <w:lang w:val="en-GB"/>
        </w:rPr>
        <w:t>the</w:t>
      </w:r>
      <w:r w:rsidR="009B71CF" w:rsidRPr="00E959E3">
        <w:rPr>
          <w:lang w:val="en-GB"/>
        </w:rPr>
        <w:t xml:space="preserve"> distance (</w:t>
      </w:r>
      <w:r w:rsidR="00505329" w:rsidRPr="008F0DB2">
        <w:rPr>
          <w:i/>
          <w:lang w:val="en-GB"/>
        </w:rPr>
        <w:t>scenario</w:t>
      </w:r>
      <w:r w:rsidR="000638EA" w:rsidRPr="008F0DB2">
        <w:rPr>
          <w:i/>
          <w:lang w:val="en-GB"/>
        </w:rPr>
        <w:t xml:space="preserve"> 3</w:t>
      </w:r>
      <w:r w:rsidR="009B71CF" w:rsidRPr="00E959E3">
        <w:rPr>
          <w:lang w:val="en-GB"/>
        </w:rPr>
        <w:t>)</w:t>
      </w:r>
      <w:r w:rsidR="00DE1775">
        <w:rPr>
          <w:lang w:val="en-GB"/>
        </w:rPr>
        <w:t>,</w:t>
      </w:r>
      <w:r w:rsidR="009B71CF" w:rsidRPr="00E959E3">
        <w:rPr>
          <w:lang w:val="en-GB"/>
        </w:rPr>
        <w:t xml:space="preserve"> the additional total value </w:t>
      </w:r>
      <w:r w:rsidR="00F17734">
        <w:rPr>
          <w:lang w:val="en-GB"/>
        </w:rPr>
        <w:t xml:space="preserve">attributed to irrigation </w:t>
      </w:r>
      <w:r w:rsidR="009B71CF" w:rsidRPr="00E959E3">
        <w:rPr>
          <w:lang w:val="en-GB"/>
        </w:rPr>
        <w:t>is</w:t>
      </w:r>
      <w:r w:rsidR="00F17734">
        <w:rPr>
          <w:lang w:val="en-GB"/>
        </w:rPr>
        <w:t xml:space="preserve"> </w:t>
      </w:r>
      <w:r w:rsidR="00B66007">
        <w:rPr>
          <w:lang w:val="en-GB"/>
        </w:rPr>
        <w:t>around</w:t>
      </w:r>
      <w:r w:rsidR="009B71CF" w:rsidRPr="00E959E3">
        <w:rPr>
          <w:lang w:val="en-GB"/>
        </w:rPr>
        <w:t xml:space="preserve"> </w:t>
      </w:r>
      <w:r w:rsidR="00FF5972">
        <w:rPr>
          <w:lang w:val="en-GB"/>
        </w:rPr>
        <w:t>7</w:t>
      </w:r>
      <w:r w:rsidR="009B71CF" w:rsidRPr="00E959E3">
        <w:rPr>
          <w:lang w:val="en-GB"/>
        </w:rPr>
        <w:t xml:space="preserve">% </w:t>
      </w:r>
      <w:r w:rsidR="00B66007">
        <w:rPr>
          <w:lang w:val="en-GB"/>
        </w:rPr>
        <w:t>-</w:t>
      </w:r>
      <w:r w:rsidR="009B71CF" w:rsidRPr="00E959E3">
        <w:rPr>
          <w:lang w:val="en-GB"/>
        </w:rPr>
        <w:t xml:space="preserve"> </w:t>
      </w:r>
      <w:r w:rsidR="00FF5972">
        <w:rPr>
          <w:lang w:val="en-GB"/>
        </w:rPr>
        <w:t>8</w:t>
      </w:r>
      <w:r w:rsidR="009B71CF" w:rsidRPr="00E959E3">
        <w:rPr>
          <w:lang w:val="en-GB"/>
        </w:rPr>
        <w:t xml:space="preserve">% </w:t>
      </w:r>
      <w:r w:rsidR="00F17734">
        <w:rPr>
          <w:lang w:val="en-GB"/>
        </w:rPr>
        <w:t xml:space="preserve">lower than </w:t>
      </w:r>
      <w:r w:rsidR="009B71CF" w:rsidRPr="00E959E3">
        <w:rPr>
          <w:lang w:val="en-GB"/>
        </w:rPr>
        <w:t>when</w:t>
      </w:r>
      <w:r>
        <w:rPr>
          <w:lang w:val="en-GB"/>
        </w:rPr>
        <w:t xml:space="preserve"> the farm is</w:t>
      </w:r>
      <w:r w:rsidR="00B66007">
        <w:rPr>
          <w:lang w:val="en-GB"/>
        </w:rPr>
        <w:t xml:space="preserve"> </w:t>
      </w:r>
      <w:r w:rsidR="00F17734">
        <w:rPr>
          <w:lang w:val="en-GB"/>
        </w:rPr>
        <w:t>close to the port</w:t>
      </w:r>
      <w:r w:rsidR="00DE1775">
        <w:rPr>
          <w:lang w:val="en-GB"/>
        </w:rPr>
        <w:t xml:space="preserve">, for </w:t>
      </w:r>
      <w:r w:rsidR="00DE1775" w:rsidRPr="00E959E3">
        <w:rPr>
          <w:lang w:val="en-GB"/>
        </w:rPr>
        <w:t>all levels of ri</w:t>
      </w:r>
      <w:r w:rsidR="00DE1775">
        <w:rPr>
          <w:lang w:val="en-GB"/>
        </w:rPr>
        <w:t>sk aversion</w:t>
      </w:r>
      <w:r w:rsidR="00F17734">
        <w:rPr>
          <w:lang w:val="en-GB"/>
        </w:rPr>
        <w:t>.</w:t>
      </w:r>
      <w:r w:rsidR="006D13DD">
        <w:rPr>
          <w:lang w:val="en-GB"/>
        </w:rPr>
        <w:t xml:space="preserve"> Interestingly, t</w:t>
      </w:r>
      <w:r w:rsidR="009B71CF" w:rsidRPr="00E959E3">
        <w:rPr>
          <w:lang w:val="en-GB"/>
        </w:rPr>
        <w:t xml:space="preserve">he proportion of that value associated to </w:t>
      </w:r>
      <w:r w:rsidR="000C73EA">
        <w:rPr>
          <w:lang w:val="en-GB"/>
        </w:rPr>
        <w:t>the</w:t>
      </w:r>
      <w:r w:rsidR="009B71CF" w:rsidRPr="00E959E3">
        <w:rPr>
          <w:lang w:val="en-GB"/>
        </w:rPr>
        <w:t xml:space="preserve"> lower volatility is higher </w:t>
      </w:r>
      <w:r w:rsidR="00F17734">
        <w:rPr>
          <w:lang w:val="en-GB"/>
        </w:rPr>
        <w:t xml:space="preserve">when </w:t>
      </w:r>
      <w:r w:rsidR="00C4612D">
        <w:rPr>
          <w:lang w:val="en-GB"/>
        </w:rPr>
        <w:t xml:space="preserve">the farm is </w:t>
      </w:r>
      <w:r w:rsidR="00F17734">
        <w:rPr>
          <w:lang w:val="en-GB"/>
        </w:rPr>
        <w:t xml:space="preserve">far </w:t>
      </w:r>
      <w:r w:rsidR="00FF5972">
        <w:rPr>
          <w:lang w:val="en-GB"/>
        </w:rPr>
        <w:t>from the port</w:t>
      </w:r>
      <w:r w:rsidR="00F17734">
        <w:rPr>
          <w:lang w:val="en-GB"/>
        </w:rPr>
        <w:t xml:space="preserve"> (27%) than when </w:t>
      </w:r>
      <w:r w:rsidR="00C4612D">
        <w:rPr>
          <w:lang w:val="en-GB"/>
        </w:rPr>
        <w:t xml:space="preserve">it is </w:t>
      </w:r>
      <w:r w:rsidR="00F17734">
        <w:rPr>
          <w:lang w:val="en-GB"/>
        </w:rPr>
        <w:t>close (20%).</w:t>
      </w:r>
      <w:r w:rsidR="00C4612D">
        <w:rPr>
          <w:lang w:val="en-GB"/>
        </w:rPr>
        <w:t xml:space="preserve"> </w:t>
      </w:r>
      <w:r w:rsidR="009B71CF" w:rsidRPr="00E959E3">
        <w:rPr>
          <w:lang w:val="en-GB"/>
        </w:rPr>
        <w:t xml:space="preserve">This </w:t>
      </w:r>
      <w:r w:rsidR="00B66007">
        <w:rPr>
          <w:lang w:val="en-GB"/>
        </w:rPr>
        <w:t>shades light on</w:t>
      </w:r>
      <w:r w:rsidR="009B71CF" w:rsidRPr="00E959E3">
        <w:rPr>
          <w:lang w:val="en-GB"/>
        </w:rPr>
        <w:t xml:space="preserve"> </w:t>
      </w:r>
      <w:r>
        <w:rPr>
          <w:lang w:val="en-GB"/>
        </w:rPr>
        <w:t xml:space="preserve">how important it is for farmers the use of irrigation </w:t>
      </w:r>
      <w:r w:rsidR="00B66007">
        <w:rPr>
          <w:lang w:val="en-GB"/>
        </w:rPr>
        <w:t>when moving</w:t>
      </w:r>
      <w:r w:rsidR="00B80259">
        <w:rPr>
          <w:lang w:val="en-GB"/>
        </w:rPr>
        <w:t xml:space="preserve"> away from the port</w:t>
      </w:r>
      <w:r>
        <w:rPr>
          <w:lang w:val="en-GB"/>
        </w:rPr>
        <w:t>. This is relevant because these type of farmers usually face a significant restriction in producing export-oriented crops due to freight costs</w:t>
      </w:r>
      <w:r w:rsidR="00B66007">
        <w:rPr>
          <w:lang w:val="en-GB"/>
        </w:rPr>
        <w:t>.</w:t>
      </w:r>
    </w:p>
    <w:p w14:paraId="15A2BE83" w14:textId="32D0E8B3" w:rsidR="00D51322" w:rsidRPr="00B734F9" w:rsidRDefault="00E71BAA" w:rsidP="00E14443">
      <w:pPr>
        <w:ind w:firstLine="708"/>
      </w:pPr>
      <w:r w:rsidRPr="00E14443">
        <w:rPr>
          <w:i/>
          <w:lang w:val="en-GB"/>
        </w:rPr>
        <w:t>Livestock</w:t>
      </w:r>
      <w:r w:rsidR="001A5616" w:rsidRPr="00E14443">
        <w:rPr>
          <w:i/>
          <w:lang w:val="en-GB"/>
        </w:rPr>
        <w:t xml:space="preserve"> production</w:t>
      </w:r>
      <w:r w:rsidR="00E14443">
        <w:rPr>
          <w:lang w:val="en-GB"/>
        </w:rPr>
        <w:t xml:space="preserve">. </w:t>
      </w:r>
      <w:r w:rsidR="00B734F9">
        <w:rPr>
          <w:lang w:val="en-GB"/>
        </w:rPr>
        <w:t xml:space="preserve">We </w:t>
      </w:r>
      <w:r w:rsidR="006B475C">
        <w:rPr>
          <w:lang w:val="en-GB"/>
        </w:rPr>
        <w:t>discuss</w:t>
      </w:r>
      <w:r w:rsidR="00B734F9">
        <w:rPr>
          <w:lang w:val="en-GB"/>
        </w:rPr>
        <w:t xml:space="preserve"> the</w:t>
      </w:r>
      <w:r w:rsidR="00D51322">
        <w:rPr>
          <w:lang w:val="en-GB"/>
        </w:rPr>
        <w:t xml:space="preserve"> results </w:t>
      </w:r>
      <w:r w:rsidR="006B475C">
        <w:rPr>
          <w:lang w:val="en-GB"/>
        </w:rPr>
        <w:t>of</w:t>
      </w:r>
      <w:r w:rsidR="00B734F9">
        <w:rPr>
          <w:lang w:val="en-GB"/>
        </w:rPr>
        <w:t xml:space="preserve"> the value assigned to the </w:t>
      </w:r>
      <w:r w:rsidR="00D51322">
        <w:rPr>
          <w:lang w:val="en-GB"/>
        </w:rPr>
        <w:t xml:space="preserve">proactive </w:t>
      </w:r>
      <w:r w:rsidR="006B475C">
        <w:rPr>
          <w:lang w:val="en-GB"/>
        </w:rPr>
        <w:t>and</w:t>
      </w:r>
      <w:r w:rsidR="00B734F9">
        <w:rPr>
          <w:lang w:val="en-GB"/>
        </w:rPr>
        <w:t xml:space="preserve"> </w:t>
      </w:r>
      <w:r w:rsidR="00D51322">
        <w:rPr>
          <w:lang w:val="en-GB"/>
        </w:rPr>
        <w:t xml:space="preserve">reactive </w:t>
      </w:r>
      <w:r w:rsidR="00B734F9">
        <w:rPr>
          <w:lang w:val="en-GB"/>
        </w:rPr>
        <w:t xml:space="preserve">management strategy </w:t>
      </w:r>
      <w:r w:rsidR="00152A4A">
        <w:rPr>
          <w:lang w:val="en-GB"/>
        </w:rPr>
        <w:t xml:space="preserve">of livestock </w:t>
      </w:r>
      <w:r w:rsidR="00B734F9">
        <w:rPr>
          <w:lang w:val="en-GB"/>
        </w:rPr>
        <w:t>on natural rangelands</w:t>
      </w:r>
      <w:r w:rsidR="00152A4A">
        <w:rPr>
          <w:lang w:val="en-GB"/>
        </w:rPr>
        <w:t xml:space="preserve">. We first study the </w:t>
      </w:r>
      <w:r w:rsidR="00152A4A">
        <w:rPr>
          <w:lang w:val="en-GB"/>
        </w:rPr>
        <w:lastRenderedPageBreak/>
        <w:t xml:space="preserve">case </w:t>
      </w:r>
      <w:r w:rsidR="00B734F9">
        <w:rPr>
          <w:lang w:val="en-GB"/>
        </w:rPr>
        <w:t xml:space="preserve">including </w:t>
      </w:r>
      <w:r w:rsidR="00152A4A">
        <w:rPr>
          <w:lang w:val="en-GB"/>
        </w:rPr>
        <w:t xml:space="preserve">only the </w:t>
      </w:r>
      <w:r w:rsidR="00B734F9">
        <w:rPr>
          <w:lang w:val="en-GB"/>
        </w:rPr>
        <w:t>production</w:t>
      </w:r>
      <w:r w:rsidR="00152A4A">
        <w:rPr>
          <w:lang w:val="en-GB"/>
        </w:rPr>
        <w:t xml:space="preserve"> of cows</w:t>
      </w:r>
      <w:r w:rsidR="00B734F9">
        <w:rPr>
          <w:lang w:val="en-GB"/>
        </w:rPr>
        <w:t>, and then includ</w:t>
      </w:r>
      <w:r w:rsidR="00152A4A">
        <w:rPr>
          <w:lang w:val="en-GB"/>
        </w:rPr>
        <w:t>e</w:t>
      </w:r>
      <w:r w:rsidR="00B734F9">
        <w:rPr>
          <w:lang w:val="en-GB"/>
        </w:rPr>
        <w:t xml:space="preserve"> both </w:t>
      </w:r>
      <w:r w:rsidR="006B475C">
        <w:rPr>
          <w:lang w:val="en-GB"/>
        </w:rPr>
        <w:t>cows</w:t>
      </w:r>
      <w:r w:rsidR="001D1F3F">
        <w:rPr>
          <w:lang w:val="en-GB"/>
        </w:rPr>
        <w:t xml:space="preserve"> </w:t>
      </w:r>
      <w:r w:rsidR="00B734F9">
        <w:rPr>
          <w:lang w:val="en-GB"/>
        </w:rPr>
        <w:t>and sheep production.</w:t>
      </w:r>
      <w:r w:rsidR="000C73EA">
        <w:rPr>
          <w:lang w:val="en-GB"/>
        </w:rPr>
        <w:t xml:space="preserve"> </w:t>
      </w:r>
    </w:p>
    <w:p w14:paraId="1F73700C" w14:textId="1588DDE3" w:rsidR="00FD5B1F" w:rsidRDefault="00B734F9" w:rsidP="00BC5BB2">
      <w:pPr>
        <w:rPr>
          <w:lang w:val="en-GB"/>
        </w:rPr>
      </w:pPr>
      <w:r>
        <w:rPr>
          <w:lang w:val="en-GB"/>
        </w:rPr>
        <w:t xml:space="preserve">In </w:t>
      </w:r>
      <w:r w:rsidR="006B475C">
        <w:rPr>
          <w:lang w:val="en-GB"/>
        </w:rPr>
        <w:t>the production of cows</w:t>
      </w:r>
      <w:r w:rsidR="007C1ADC">
        <w:rPr>
          <w:lang w:val="en-GB"/>
        </w:rPr>
        <w:t>,</w:t>
      </w:r>
      <w:r>
        <w:rPr>
          <w:lang w:val="en-GB"/>
        </w:rPr>
        <w:t xml:space="preserve"> </w:t>
      </w:r>
      <w:r w:rsidR="009136DC">
        <w:rPr>
          <w:lang w:val="en-GB"/>
        </w:rPr>
        <w:t>the mean</w:t>
      </w:r>
      <w:r>
        <w:rPr>
          <w:lang w:val="en-GB"/>
        </w:rPr>
        <w:t xml:space="preserve"> profits</w:t>
      </w:r>
      <w:r w:rsidR="009136DC">
        <w:rPr>
          <w:lang w:val="en-GB"/>
        </w:rPr>
        <w:t xml:space="preserve"> of the proactive producer is 44% higher </w:t>
      </w:r>
      <w:r>
        <w:rPr>
          <w:lang w:val="en-GB"/>
        </w:rPr>
        <w:t xml:space="preserve">than </w:t>
      </w:r>
      <w:r w:rsidR="009136DC">
        <w:rPr>
          <w:lang w:val="en-GB"/>
        </w:rPr>
        <w:t xml:space="preserve">the </w:t>
      </w:r>
      <w:r w:rsidR="00152A4A">
        <w:rPr>
          <w:lang w:val="en-GB"/>
        </w:rPr>
        <w:t>reactive</w:t>
      </w:r>
      <w:r w:rsidR="006B475C">
        <w:rPr>
          <w:lang w:val="en-GB"/>
        </w:rPr>
        <w:t>,</w:t>
      </w:r>
      <w:r>
        <w:rPr>
          <w:lang w:val="en-GB"/>
        </w:rPr>
        <w:t xml:space="preserve"> </w:t>
      </w:r>
      <w:r w:rsidR="006D13DD">
        <w:rPr>
          <w:lang w:val="en-GB"/>
        </w:rPr>
        <w:t>while</w:t>
      </w:r>
      <w:r>
        <w:rPr>
          <w:lang w:val="en-GB"/>
        </w:rPr>
        <w:t xml:space="preserve"> the </w:t>
      </w:r>
      <w:r w:rsidR="009136DC">
        <w:rPr>
          <w:lang w:val="en-GB"/>
        </w:rPr>
        <w:t>coefficient of variation is 25% lower</w:t>
      </w:r>
      <w:r>
        <w:rPr>
          <w:lang w:val="en-GB"/>
        </w:rPr>
        <w:t xml:space="preserve"> (figure </w:t>
      </w:r>
      <w:r w:rsidR="009C1AE6">
        <w:rPr>
          <w:lang w:val="en-GB"/>
        </w:rPr>
        <w:t>1</w:t>
      </w:r>
      <w:r w:rsidR="0015079F">
        <w:rPr>
          <w:lang w:val="en-GB"/>
        </w:rPr>
        <w:t xml:space="preserve">- </w:t>
      </w:r>
      <w:r w:rsidR="009C1AE6">
        <w:rPr>
          <w:lang w:val="en-GB"/>
        </w:rPr>
        <w:t>middle</w:t>
      </w:r>
      <w:r>
        <w:rPr>
          <w:lang w:val="en-GB"/>
        </w:rPr>
        <w:t xml:space="preserve"> panel)</w:t>
      </w:r>
      <w:r w:rsidR="009136DC">
        <w:rPr>
          <w:lang w:val="en-GB"/>
        </w:rPr>
        <w:t>.</w:t>
      </w:r>
      <w:r>
        <w:rPr>
          <w:lang w:val="en-GB"/>
        </w:rPr>
        <w:t xml:space="preserve"> </w:t>
      </w:r>
      <w:r w:rsidR="00984B04">
        <w:rPr>
          <w:lang w:val="en-GB"/>
        </w:rPr>
        <w:t>Table 2 shows</w:t>
      </w:r>
      <w:r w:rsidR="006B475C">
        <w:rPr>
          <w:lang w:val="en-GB"/>
        </w:rPr>
        <w:t xml:space="preserve">, that </w:t>
      </w:r>
      <w:r w:rsidR="00300164" w:rsidRPr="00300164">
        <w:rPr>
          <w:lang w:val="en-GB"/>
        </w:rPr>
        <w:t xml:space="preserve">the </w:t>
      </w:r>
      <w:r w:rsidR="00D82299" w:rsidRPr="00FD453E">
        <w:rPr>
          <w:i/>
          <w:lang w:val="en-GB"/>
        </w:rPr>
        <w:t>CE</w:t>
      </w:r>
      <w:r w:rsidR="00300164">
        <w:rPr>
          <w:lang w:val="en-GB"/>
        </w:rPr>
        <w:t xml:space="preserve"> of the proactive producer is </w:t>
      </w:r>
      <w:r w:rsidR="00FD453E">
        <w:rPr>
          <w:lang w:val="en-GB"/>
        </w:rPr>
        <w:t xml:space="preserve">about </w:t>
      </w:r>
      <w:r w:rsidR="00300164">
        <w:rPr>
          <w:lang w:val="en-GB"/>
        </w:rPr>
        <w:t>80% higher than</w:t>
      </w:r>
      <w:r w:rsidR="00FD453E">
        <w:rPr>
          <w:lang w:val="en-GB"/>
        </w:rPr>
        <w:t xml:space="preserve"> that of the </w:t>
      </w:r>
      <w:r w:rsidR="00300164">
        <w:rPr>
          <w:lang w:val="en-GB"/>
        </w:rPr>
        <w:t>reactive</w:t>
      </w:r>
      <w:r w:rsidR="00FD453E">
        <w:rPr>
          <w:lang w:val="en-GB"/>
        </w:rPr>
        <w:t xml:space="preserve">, </w:t>
      </w:r>
      <w:r w:rsidR="006D13DD">
        <w:rPr>
          <w:lang w:val="en-GB"/>
        </w:rPr>
        <w:t>which arises</w:t>
      </w:r>
      <w:r w:rsidR="00FD453E">
        <w:rPr>
          <w:lang w:val="en-GB"/>
        </w:rPr>
        <w:t xml:space="preserve"> from both </w:t>
      </w:r>
      <w:r w:rsidR="00984B04">
        <w:rPr>
          <w:lang w:val="en-GB"/>
        </w:rPr>
        <w:t>the</w:t>
      </w:r>
      <w:r w:rsidR="00FD453E">
        <w:rPr>
          <w:lang w:val="en-GB"/>
        </w:rPr>
        <w:t xml:space="preserve"> higher average </w:t>
      </w:r>
      <w:r w:rsidR="00300164">
        <w:rPr>
          <w:lang w:val="en-GB"/>
        </w:rPr>
        <w:t xml:space="preserve">profit and </w:t>
      </w:r>
      <w:r w:rsidR="00FD453E">
        <w:rPr>
          <w:lang w:val="en-GB"/>
        </w:rPr>
        <w:t>its lower volatility</w:t>
      </w:r>
      <w:r w:rsidR="00300164">
        <w:rPr>
          <w:lang w:val="en-GB"/>
        </w:rPr>
        <w:t xml:space="preserve">. </w:t>
      </w:r>
      <w:r w:rsidR="005A3CC7">
        <w:rPr>
          <w:lang w:val="en-GB"/>
        </w:rPr>
        <w:t>For moderate risk aversion levels (</w:t>
      </w:r>
      <w:r w:rsidR="005A3CC7" w:rsidRPr="005A5ABA">
        <w:rPr>
          <w:i/>
          <w:lang w:val="en-GB"/>
        </w:rPr>
        <w:t>RP</w:t>
      </w:r>
      <w:r w:rsidR="005A3CC7">
        <w:rPr>
          <w:lang w:val="en-GB"/>
        </w:rPr>
        <w:t xml:space="preserve"> </w:t>
      </w:r>
      <w:r w:rsidR="005A5ABA">
        <w:rPr>
          <w:lang w:val="en-GB"/>
        </w:rPr>
        <w:t xml:space="preserve">= </w:t>
      </w:r>
      <w:r w:rsidR="005A3CC7">
        <w:rPr>
          <w:lang w:val="en-GB"/>
        </w:rPr>
        <w:t>12%</w:t>
      </w:r>
      <w:r w:rsidR="009A05AB">
        <w:rPr>
          <w:lang w:val="en-GB"/>
        </w:rPr>
        <w:t xml:space="preserve"> of standard deviation of profits</w:t>
      </w:r>
      <w:r w:rsidR="005A3CC7">
        <w:rPr>
          <w:lang w:val="en-GB"/>
        </w:rPr>
        <w:t xml:space="preserve">), 90% of the total additional value is due to higher average profits, and the remaining 10% is </w:t>
      </w:r>
      <w:r w:rsidR="006B475C">
        <w:rPr>
          <w:lang w:val="en-GB"/>
        </w:rPr>
        <w:t>due to</w:t>
      </w:r>
      <w:r w:rsidR="005A3CC7">
        <w:rPr>
          <w:lang w:val="en-GB"/>
        </w:rPr>
        <w:t xml:space="preserve"> their lower volatility.</w:t>
      </w:r>
      <w:r w:rsidR="006B475C">
        <w:rPr>
          <w:lang w:val="en-GB"/>
        </w:rPr>
        <w:t xml:space="preserve"> </w:t>
      </w:r>
      <w:r w:rsidR="00FD453E">
        <w:rPr>
          <w:lang w:val="en-GB"/>
        </w:rPr>
        <w:t xml:space="preserve">As </w:t>
      </w:r>
      <w:r w:rsidR="00D82299">
        <w:rPr>
          <w:lang w:val="en-GB"/>
        </w:rPr>
        <w:t>risk aversion increases</w:t>
      </w:r>
      <w:r w:rsidR="006B475C">
        <w:rPr>
          <w:lang w:val="en-GB"/>
        </w:rPr>
        <w:t>,</w:t>
      </w:r>
      <w:r w:rsidR="00300164">
        <w:rPr>
          <w:lang w:val="en-GB"/>
        </w:rPr>
        <w:t xml:space="preserve"> the higher</w:t>
      </w:r>
      <w:r w:rsidR="006B475C">
        <w:rPr>
          <w:lang w:val="en-GB"/>
        </w:rPr>
        <w:t xml:space="preserve"> is</w:t>
      </w:r>
      <w:r w:rsidR="00300164">
        <w:rPr>
          <w:lang w:val="en-GB"/>
        </w:rPr>
        <w:t xml:space="preserve"> the value attributed by the </w:t>
      </w:r>
      <w:r w:rsidR="00FD453E">
        <w:rPr>
          <w:lang w:val="en-GB"/>
        </w:rPr>
        <w:t xml:space="preserve">farmer </w:t>
      </w:r>
      <w:r w:rsidR="00300164">
        <w:rPr>
          <w:lang w:val="en-GB"/>
        </w:rPr>
        <w:t>to the lower volatility</w:t>
      </w:r>
      <w:r w:rsidR="006B475C">
        <w:rPr>
          <w:lang w:val="en-GB"/>
        </w:rPr>
        <w:t xml:space="preserve"> (</w:t>
      </w:r>
      <w:r w:rsidR="005A3CC7">
        <w:rPr>
          <w:lang w:val="en-GB"/>
        </w:rPr>
        <w:t>reaching 14% for more risk averse individuals</w:t>
      </w:r>
      <w:r w:rsidR="006B475C">
        <w:rPr>
          <w:lang w:val="en-GB"/>
        </w:rPr>
        <w:t>)</w:t>
      </w:r>
      <w:r w:rsidR="005A3CC7">
        <w:rPr>
          <w:lang w:val="en-GB"/>
        </w:rPr>
        <w:t xml:space="preserve">, as they </w:t>
      </w:r>
      <w:r w:rsidR="00300164">
        <w:rPr>
          <w:lang w:val="en-GB"/>
        </w:rPr>
        <w:t>are willin</w:t>
      </w:r>
      <w:r w:rsidR="00D82299">
        <w:rPr>
          <w:lang w:val="en-GB"/>
        </w:rPr>
        <w:t>g to pay a higher risk premium</w:t>
      </w:r>
      <w:r w:rsidR="005A3CC7">
        <w:rPr>
          <w:lang w:val="en-GB"/>
        </w:rPr>
        <w:t xml:space="preserve"> to avoid the risk</w:t>
      </w:r>
      <w:r w:rsidR="00300164">
        <w:rPr>
          <w:lang w:val="en-GB"/>
        </w:rPr>
        <w:t xml:space="preserve">. </w:t>
      </w:r>
      <w:r w:rsidR="006B475C">
        <w:rPr>
          <w:lang w:val="en-GB"/>
        </w:rPr>
        <w:t>A</w:t>
      </w:r>
      <w:r w:rsidR="005A3CC7">
        <w:rPr>
          <w:lang w:val="en-GB"/>
        </w:rPr>
        <w:t xml:space="preserve"> </w:t>
      </w:r>
      <w:r w:rsidR="00C84E4D">
        <w:rPr>
          <w:lang w:val="en-GB"/>
        </w:rPr>
        <w:t xml:space="preserve">risk neutral producer </w:t>
      </w:r>
      <w:r w:rsidR="00C84E4D" w:rsidRPr="00C84E4D">
        <w:rPr>
          <w:lang w:val="en-GB"/>
        </w:rPr>
        <w:t>(</w:t>
      </w:r>
      <w:r w:rsidR="00C84E4D" w:rsidRPr="005A5ABA">
        <w:rPr>
          <w:i/>
          <w:lang w:val="en-GB"/>
        </w:rPr>
        <w:t>RP</w:t>
      </w:r>
      <w:r w:rsidR="005A3CC7">
        <w:rPr>
          <w:lang w:val="en-GB"/>
        </w:rPr>
        <w:t xml:space="preserve"> </w:t>
      </w:r>
      <w:r w:rsidR="005A5ABA" w:rsidRPr="00333510">
        <w:t>~</w:t>
      </w:r>
      <w:r w:rsidR="005A3CC7">
        <w:rPr>
          <w:lang w:val="en-GB"/>
        </w:rPr>
        <w:t xml:space="preserve"> </w:t>
      </w:r>
      <w:r w:rsidR="00C84E4D" w:rsidRPr="00C84E4D">
        <w:rPr>
          <w:lang w:val="en-GB"/>
        </w:rPr>
        <w:t>0%)</w:t>
      </w:r>
      <w:r w:rsidR="00C84E4D">
        <w:rPr>
          <w:lang w:val="en-GB"/>
        </w:rPr>
        <w:t xml:space="preserve"> assign</w:t>
      </w:r>
      <w:r w:rsidR="005A3CC7">
        <w:rPr>
          <w:lang w:val="en-GB"/>
        </w:rPr>
        <w:t>s</w:t>
      </w:r>
      <w:r w:rsidR="00C84E4D">
        <w:rPr>
          <w:lang w:val="en-GB"/>
        </w:rPr>
        <w:t xml:space="preserve"> value</w:t>
      </w:r>
      <w:r w:rsidR="005A3CC7">
        <w:rPr>
          <w:lang w:val="en-GB"/>
        </w:rPr>
        <w:t xml:space="preserve"> only to the higher average profits</w:t>
      </w:r>
      <w:r w:rsidR="006C7C31">
        <w:rPr>
          <w:lang w:val="en-GB"/>
        </w:rPr>
        <w:t xml:space="preserve">. </w:t>
      </w:r>
      <w:r w:rsidR="006B475C">
        <w:rPr>
          <w:lang w:val="en-GB"/>
        </w:rPr>
        <w:t xml:space="preserve">These results </w:t>
      </w:r>
      <w:r w:rsidR="00984B04">
        <w:rPr>
          <w:lang w:val="en-GB"/>
        </w:rPr>
        <w:t xml:space="preserve">show the degree to which </w:t>
      </w:r>
      <w:r w:rsidR="005A3CC7">
        <w:rPr>
          <w:lang w:val="en-GB"/>
        </w:rPr>
        <w:t xml:space="preserve">a </w:t>
      </w:r>
      <w:r w:rsidR="00C84E4D">
        <w:rPr>
          <w:lang w:val="en-GB"/>
        </w:rPr>
        <w:t xml:space="preserve">proactive management of natural rangelands </w:t>
      </w:r>
      <w:r w:rsidR="00984B04">
        <w:rPr>
          <w:lang w:val="en-GB"/>
        </w:rPr>
        <w:t xml:space="preserve">values the lower volatility of profits relative to the reactive </w:t>
      </w:r>
      <w:r w:rsidR="005A3CC7">
        <w:rPr>
          <w:lang w:val="en-GB"/>
        </w:rPr>
        <w:t>strategy</w:t>
      </w:r>
      <w:r w:rsidR="005A5ABA">
        <w:rPr>
          <w:lang w:val="en-GB"/>
        </w:rPr>
        <w:t>.</w:t>
      </w:r>
      <w:r w:rsidR="005A3CC7">
        <w:rPr>
          <w:lang w:val="en-GB"/>
        </w:rPr>
        <w:t xml:space="preserve"> </w:t>
      </w:r>
    </w:p>
    <w:p w14:paraId="2A9E48A3" w14:textId="34A1EB38" w:rsidR="00FD5B1F" w:rsidRDefault="000E1B42" w:rsidP="00BC5BB2">
      <w:pPr>
        <w:rPr>
          <w:lang w:val="en-GB"/>
        </w:rPr>
      </w:pPr>
      <w:r>
        <w:rPr>
          <w:lang w:val="en-GB"/>
        </w:rPr>
        <w:t xml:space="preserve">Interesting insights arise </w:t>
      </w:r>
      <w:r w:rsidR="006B475C">
        <w:rPr>
          <w:lang w:val="en-GB"/>
        </w:rPr>
        <w:t>when</w:t>
      </w:r>
      <w:r>
        <w:rPr>
          <w:lang w:val="en-GB"/>
        </w:rPr>
        <w:t xml:space="preserve"> </w:t>
      </w:r>
      <w:r w:rsidR="00EC0B45">
        <w:rPr>
          <w:lang w:val="en-GB"/>
        </w:rPr>
        <w:t>we consider</w:t>
      </w:r>
      <w:r>
        <w:rPr>
          <w:lang w:val="en-GB"/>
        </w:rPr>
        <w:t xml:space="preserve"> </w:t>
      </w:r>
      <w:r w:rsidR="006B475C">
        <w:rPr>
          <w:lang w:val="en-GB"/>
        </w:rPr>
        <w:t xml:space="preserve">simultaneously </w:t>
      </w:r>
      <w:r>
        <w:rPr>
          <w:lang w:val="en-GB"/>
        </w:rPr>
        <w:t xml:space="preserve">the profits </w:t>
      </w:r>
      <w:r w:rsidR="006B475C">
        <w:rPr>
          <w:lang w:val="en-GB"/>
        </w:rPr>
        <w:t>of</w:t>
      </w:r>
      <w:r>
        <w:rPr>
          <w:lang w:val="en-GB"/>
        </w:rPr>
        <w:t xml:space="preserve"> </w:t>
      </w:r>
      <w:r w:rsidR="00925BDB">
        <w:rPr>
          <w:lang w:val="en-GB"/>
        </w:rPr>
        <w:t xml:space="preserve">sheep </w:t>
      </w:r>
      <w:r w:rsidR="006B475C">
        <w:rPr>
          <w:lang w:val="en-GB"/>
        </w:rPr>
        <w:t xml:space="preserve">and cow </w:t>
      </w:r>
      <w:r w:rsidR="00925BDB">
        <w:rPr>
          <w:lang w:val="en-GB"/>
        </w:rPr>
        <w:t xml:space="preserve">production. </w:t>
      </w:r>
      <w:r>
        <w:rPr>
          <w:lang w:val="en-GB"/>
        </w:rPr>
        <w:t xml:space="preserve">Sheep production has </w:t>
      </w:r>
      <w:r w:rsidR="00EE5B47">
        <w:rPr>
          <w:lang w:val="en-GB"/>
        </w:rPr>
        <w:t xml:space="preserve">a </w:t>
      </w:r>
      <w:r w:rsidR="00925BDB">
        <w:rPr>
          <w:lang w:val="en-GB"/>
        </w:rPr>
        <w:t xml:space="preserve">good </w:t>
      </w:r>
      <w:r w:rsidR="00EE5B47">
        <w:rPr>
          <w:lang w:val="en-GB"/>
        </w:rPr>
        <w:t>performance</w:t>
      </w:r>
      <w:r w:rsidR="00505EA9">
        <w:rPr>
          <w:lang w:val="en-GB"/>
        </w:rPr>
        <w:t xml:space="preserve"> in dry years</w:t>
      </w:r>
      <w:r w:rsidR="00925BDB">
        <w:rPr>
          <w:lang w:val="en-GB"/>
        </w:rPr>
        <w:t xml:space="preserve">, </w:t>
      </w:r>
      <w:r>
        <w:rPr>
          <w:lang w:val="en-GB"/>
        </w:rPr>
        <w:t xml:space="preserve">being more resilient than </w:t>
      </w:r>
      <w:r w:rsidR="001D1F3F">
        <w:rPr>
          <w:lang w:val="en-GB"/>
        </w:rPr>
        <w:t>cows</w:t>
      </w:r>
      <w:r w:rsidR="00591077">
        <w:rPr>
          <w:lang w:val="en-GB"/>
        </w:rPr>
        <w:t xml:space="preserve">. In extreme climatic conditions, </w:t>
      </w:r>
      <w:r w:rsidR="00FB2D1A">
        <w:rPr>
          <w:lang w:val="en-GB"/>
        </w:rPr>
        <w:t xml:space="preserve">dryer years or even </w:t>
      </w:r>
      <w:r w:rsidR="00925BDB">
        <w:rPr>
          <w:lang w:val="en-GB"/>
        </w:rPr>
        <w:t xml:space="preserve">droughts, sheep tend to put up </w:t>
      </w:r>
      <w:r w:rsidR="00591077">
        <w:rPr>
          <w:lang w:val="en-GB"/>
        </w:rPr>
        <w:t xml:space="preserve">better with </w:t>
      </w:r>
      <w:r w:rsidR="00C41FE0">
        <w:rPr>
          <w:lang w:val="en-GB"/>
        </w:rPr>
        <w:t>climate</w:t>
      </w:r>
      <w:r w:rsidR="006B475C">
        <w:rPr>
          <w:lang w:val="en-GB"/>
        </w:rPr>
        <w:t xml:space="preserve"> </w:t>
      </w:r>
      <w:r w:rsidR="00925BDB">
        <w:rPr>
          <w:lang w:val="en-GB"/>
        </w:rPr>
        <w:t>translat</w:t>
      </w:r>
      <w:r w:rsidR="00FB2D1A">
        <w:rPr>
          <w:lang w:val="en-GB"/>
        </w:rPr>
        <w:t xml:space="preserve">ing </w:t>
      </w:r>
      <w:r w:rsidR="00591077">
        <w:rPr>
          <w:lang w:val="en-GB"/>
        </w:rPr>
        <w:t xml:space="preserve">into </w:t>
      </w:r>
      <w:r w:rsidR="006B475C">
        <w:rPr>
          <w:lang w:val="en-GB"/>
        </w:rPr>
        <w:t>better</w:t>
      </w:r>
      <w:r w:rsidR="00591077">
        <w:rPr>
          <w:lang w:val="en-GB"/>
        </w:rPr>
        <w:t xml:space="preserve"> </w:t>
      </w:r>
      <w:r w:rsidR="00925BDB">
        <w:rPr>
          <w:lang w:val="en-GB"/>
        </w:rPr>
        <w:t xml:space="preserve">economic results </w:t>
      </w:r>
      <w:r w:rsidR="00591077">
        <w:rPr>
          <w:lang w:val="en-GB"/>
        </w:rPr>
        <w:t xml:space="preserve">compared to </w:t>
      </w:r>
      <w:r w:rsidR="00FB2D1A">
        <w:rPr>
          <w:lang w:val="en-GB"/>
        </w:rPr>
        <w:t>cow</w:t>
      </w:r>
      <w:r w:rsidR="00591077">
        <w:rPr>
          <w:lang w:val="en-GB"/>
        </w:rPr>
        <w:t xml:space="preserve"> production</w:t>
      </w:r>
      <w:r w:rsidR="006B475C">
        <w:rPr>
          <w:lang w:val="en-GB"/>
        </w:rPr>
        <w:t xml:space="preserve"> </w:t>
      </w:r>
      <w:r w:rsidR="00FB2D1A">
        <w:rPr>
          <w:lang w:val="en-GB"/>
        </w:rPr>
        <w:t>under</w:t>
      </w:r>
      <w:r w:rsidR="00925BDB">
        <w:rPr>
          <w:lang w:val="en-GB"/>
        </w:rPr>
        <w:t xml:space="preserve"> similar circumstances</w:t>
      </w:r>
      <w:r w:rsidR="00D51322" w:rsidRPr="00925BDB">
        <w:rPr>
          <w:lang w:val="en-GB"/>
        </w:rPr>
        <w:t>.</w:t>
      </w:r>
      <w:r w:rsidR="0037633E">
        <w:rPr>
          <w:lang w:val="en-GB"/>
        </w:rPr>
        <w:t xml:space="preserve"> </w:t>
      </w:r>
      <w:r w:rsidR="00FB2D1A">
        <w:rPr>
          <w:lang w:val="en-GB"/>
        </w:rPr>
        <w:t>In fact, evi</w:t>
      </w:r>
      <w:r w:rsidR="0037633E">
        <w:rPr>
          <w:lang w:val="en-GB"/>
        </w:rPr>
        <w:t>dence shows that farmers incorporate sheep as a strategy to gain resilience in their production system (</w:t>
      </w:r>
      <w:r w:rsidR="009B79AE">
        <w:rPr>
          <w:lang w:val="en-GB"/>
        </w:rPr>
        <w:t xml:space="preserve">Picasso </w:t>
      </w:r>
      <w:r w:rsidR="007941C0">
        <w:rPr>
          <w:lang w:val="en-GB"/>
        </w:rPr>
        <w:t xml:space="preserve">et al </w:t>
      </w:r>
      <w:r w:rsidR="009B79AE">
        <w:rPr>
          <w:lang w:val="en-GB"/>
        </w:rPr>
        <w:t>2014</w:t>
      </w:r>
      <w:r w:rsidR="0037633E" w:rsidRPr="00925BDB">
        <w:rPr>
          <w:lang w:val="en-GB"/>
        </w:rPr>
        <w:t>)</w:t>
      </w:r>
      <w:r w:rsidR="0037633E">
        <w:rPr>
          <w:lang w:val="en-GB"/>
        </w:rPr>
        <w:t xml:space="preserve">. </w:t>
      </w:r>
      <w:r w:rsidR="00D51322" w:rsidRPr="00925BDB">
        <w:rPr>
          <w:lang w:val="en-GB"/>
        </w:rPr>
        <w:t xml:space="preserve"> </w:t>
      </w:r>
    </w:p>
    <w:p w14:paraId="15556B9C" w14:textId="5E934654" w:rsidR="00FD5B1F" w:rsidRDefault="000543B4" w:rsidP="00BC5BB2">
      <w:pPr>
        <w:rPr>
          <w:lang w:val="en-GB"/>
        </w:rPr>
      </w:pPr>
      <w:r>
        <w:rPr>
          <w:lang w:val="en-GB"/>
        </w:rPr>
        <w:t xml:space="preserve">When </w:t>
      </w:r>
      <w:r w:rsidR="006B475C">
        <w:rPr>
          <w:lang w:val="en-GB"/>
        </w:rPr>
        <w:t>we add</w:t>
      </w:r>
      <w:r>
        <w:rPr>
          <w:lang w:val="en-GB"/>
        </w:rPr>
        <w:t xml:space="preserve"> </w:t>
      </w:r>
      <w:r w:rsidR="006B475C">
        <w:rPr>
          <w:lang w:val="en-GB"/>
        </w:rPr>
        <w:t xml:space="preserve">the </w:t>
      </w:r>
      <w:r>
        <w:rPr>
          <w:lang w:val="en-GB"/>
        </w:rPr>
        <w:t xml:space="preserve">profits </w:t>
      </w:r>
      <w:r w:rsidR="00F744EF">
        <w:rPr>
          <w:lang w:val="en-GB"/>
        </w:rPr>
        <w:t>from sheep production</w:t>
      </w:r>
      <w:r w:rsidR="00EC0B45">
        <w:rPr>
          <w:lang w:val="en-GB"/>
        </w:rPr>
        <w:t xml:space="preserve"> to our </w:t>
      </w:r>
      <w:r w:rsidR="00FB2D1A">
        <w:rPr>
          <w:lang w:val="en-GB"/>
        </w:rPr>
        <w:t>simulations</w:t>
      </w:r>
      <w:r w:rsidR="00F744EF">
        <w:rPr>
          <w:lang w:val="en-GB"/>
        </w:rPr>
        <w:t xml:space="preserve">, </w:t>
      </w:r>
      <w:r w:rsidR="003205F2">
        <w:rPr>
          <w:lang w:val="en-GB"/>
        </w:rPr>
        <w:t xml:space="preserve">both reactive and proactive </w:t>
      </w:r>
      <w:r>
        <w:rPr>
          <w:lang w:val="en-GB"/>
        </w:rPr>
        <w:t xml:space="preserve">farmers </w:t>
      </w:r>
      <w:r w:rsidR="003205F2">
        <w:rPr>
          <w:lang w:val="en-GB"/>
        </w:rPr>
        <w:t xml:space="preserve">increase their </w:t>
      </w:r>
      <w:r>
        <w:rPr>
          <w:lang w:val="en-GB"/>
        </w:rPr>
        <w:t>average profits</w:t>
      </w:r>
      <w:r w:rsidR="003205F2">
        <w:rPr>
          <w:lang w:val="en-GB"/>
        </w:rPr>
        <w:t xml:space="preserve"> </w:t>
      </w:r>
      <w:r>
        <w:rPr>
          <w:lang w:val="en-GB"/>
        </w:rPr>
        <w:t xml:space="preserve">by about 15% and </w:t>
      </w:r>
      <w:r w:rsidR="003205F2">
        <w:rPr>
          <w:lang w:val="en-GB"/>
        </w:rPr>
        <w:t>100% respectively.</w:t>
      </w:r>
      <w:r w:rsidR="00EC0B45">
        <w:rPr>
          <w:lang w:val="en-GB"/>
        </w:rPr>
        <w:t xml:space="preserve"> M</w:t>
      </w:r>
      <w:r w:rsidR="003205F2">
        <w:rPr>
          <w:lang w:val="en-GB"/>
        </w:rPr>
        <w:t xml:space="preserve">ean </w:t>
      </w:r>
      <w:r w:rsidR="00F744EF">
        <w:rPr>
          <w:lang w:val="en-GB"/>
        </w:rPr>
        <w:t>profits</w:t>
      </w:r>
      <w:r w:rsidR="003205F2">
        <w:rPr>
          <w:lang w:val="en-GB"/>
        </w:rPr>
        <w:t xml:space="preserve"> </w:t>
      </w:r>
      <w:r w:rsidR="00F744EF">
        <w:rPr>
          <w:lang w:val="en-GB"/>
        </w:rPr>
        <w:t>of</w:t>
      </w:r>
      <w:r w:rsidR="003205F2">
        <w:rPr>
          <w:lang w:val="en-GB"/>
        </w:rPr>
        <w:t xml:space="preserve"> the proactive</w:t>
      </w:r>
      <w:r>
        <w:rPr>
          <w:lang w:val="en-GB"/>
        </w:rPr>
        <w:t xml:space="preserve"> are still </w:t>
      </w:r>
      <w:r w:rsidR="00F744EF">
        <w:rPr>
          <w:lang w:val="en-GB"/>
        </w:rPr>
        <w:t>4%</w:t>
      </w:r>
      <w:r w:rsidR="00EC0B45">
        <w:rPr>
          <w:lang w:val="en-GB"/>
        </w:rPr>
        <w:t xml:space="preserve"> higher</w:t>
      </w:r>
      <w:r>
        <w:rPr>
          <w:lang w:val="en-GB"/>
        </w:rPr>
        <w:t xml:space="preserve">, but </w:t>
      </w:r>
      <w:r w:rsidR="00EC0B45">
        <w:rPr>
          <w:lang w:val="en-GB"/>
        </w:rPr>
        <w:t>most</w:t>
      </w:r>
      <w:r>
        <w:rPr>
          <w:lang w:val="en-GB"/>
        </w:rPr>
        <w:t xml:space="preserve"> </w:t>
      </w:r>
      <w:r w:rsidR="00FB2D1A">
        <w:rPr>
          <w:lang w:val="en-GB"/>
        </w:rPr>
        <w:t xml:space="preserve">importantly, the lower volatility </w:t>
      </w:r>
      <w:r w:rsidR="00C41FE0">
        <w:rPr>
          <w:lang w:val="en-GB"/>
        </w:rPr>
        <w:t xml:space="preserve">of sheep profits of </w:t>
      </w:r>
      <w:r w:rsidR="00FB2D1A">
        <w:rPr>
          <w:lang w:val="en-GB"/>
        </w:rPr>
        <w:t>the reactive offset the variability</w:t>
      </w:r>
      <w:r w:rsidR="00C41FE0">
        <w:rPr>
          <w:lang w:val="en-GB"/>
        </w:rPr>
        <w:t xml:space="preserve"> of cow production</w:t>
      </w:r>
      <w:r w:rsidR="00725EFA">
        <w:rPr>
          <w:lang w:val="en-GB"/>
        </w:rPr>
        <w:t xml:space="preserve"> profits</w:t>
      </w:r>
      <w:r w:rsidR="003205F2" w:rsidRPr="00EC0B45">
        <w:rPr>
          <w:lang w:val="en-GB"/>
        </w:rPr>
        <w:t xml:space="preserve">, reaching a </w:t>
      </w:r>
      <w:r w:rsidR="005A5ABA" w:rsidRPr="00EC0B45">
        <w:rPr>
          <w:lang w:val="en-GB"/>
        </w:rPr>
        <w:lastRenderedPageBreak/>
        <w:t xml:space="preserve">similar </w:t>
      </w:r>
      <w:r w:rsidR="003205F2" w:rsidRPr="00EC0B45">
        <w:rPr>
          <w:lang w:val="en-GB"/>
        </w:rPr>
        <w:t xml:space="preserve">coefficient of variation </w:t>
      </w:r>
      <w:r w:rsidR="00EC0B45">
        <w:rPr>
          <w:lang w:val="en-GB"/>
        </w:rPr>
        <w:t>than</w:t>
      </w:r>
      <w:r w:rsidRPr="00EC0B45">
        <w:rPr>
          <w:lang w:val="en-GB"/>
        </w:rPr>
        <w:t xml:space="preserve"> the proactive</w:t>
      </w:r>
      <w:r w:rsidR="005A5ABA">
        <w:rPr>
          <w:lang w:val="en-GB"/>
        </w:rPr>
        <w:t>.</w:t>
      </w:r>
      <w:r w:rsidR="00EC0B45">
        <w:rPr>
          <w:lang w:val="en-GB"/>
        </w:rPr>
        <w:t xml:space="preserve"> </w:t>
      </w:r>
      <w:r w:rsidR="00C41FE0">
        <w:rPr>
          <w:lang w:val="en-GB"/>
        </w:rPr>
        <w:t>Also</w:t>
      </w:r>
      <w:r w:rsidR="00725EFA">
        <w:rPr>
          <w:lang w:val="en-GB"/>
        </w:rPr>
        <w:t>,</w:t>
      </w:r>
      <w:r w:rsidR="00C41FE0">
        <w:rPr>
          <w:lang w:val="en-GB"/>
        </w:rPr>
        <w:t xml:space="preserve"> note that sheep profits of the reactive account for a higher share of total profits than in the proactive case. These findings are </w:t>
      </w:r>
      <w:r w:rsidR="00EC0B45">
        <w:rPr>
          <w:lang w:val="en-GB"/>
        </w:rPr>
        <w:t>consistent with the existent evidence</w:t>
      </w:r>
      <w:r w:rsidR="00725EFA">
        <w:rPr>
          <w:lang w:val="en-GB"/>
        </w:rPr>
        <w:t xml:space="preserve"> about </w:t>
      </w:r>
      <w:r w:rsidR="00C41FE0">
        <w:rPr>
          <w:lang w:val="en-GB"/>
        </w:rPr>
        <w:t>the strategies adopted by farmers to cope with unfavourable climate conditions</w:t>
      </w:r>
      <w:r w:rsidR="00725EFA">
        <w:rPr>
          <w:lang w:val="en-GB"/>
        </w:rPr>
        <w:t xml:space="preserve"> in this region</w:t>
      </w:r>
      <w:r w:rsidR="004E659D">
        <w:rPr>
          <w:lang w:val="en-GB"/>
        </w:rPr>
        <w:t xml:space="preserve"> </w:t>
      </w:r>
      <w:r w:rsidR="001D1F3F" w:rsidRPr="00747FCF">
        <w:rPr>
          <w:lang w:val="en-GB"/>
        </w:rPr>
        <w:t>(F</w:t>
      </w:r>
      <w:r w:rsidR="0015079F" w:rsidRPr="00747FCF">
        <w:rPr>
          <w:lang w:val="en-GB"/>
        </w:rPr>
        <w:t xml:space="preserve">igure 1- </w:t>
      </w:r>
      <w:r w:rsidR="00725EFA">
        <w:rPr>
          <w:lang w:val="en-GB"/>
        </w:rPr>
        <w:t>right</w:t>
      </w:r>
      <w:r w:rsidR="0015079F" w:rsidRPr="00747FCF">
        <w:rPr>
          <w:lang w:val="en-GB"/>
        </w:rPr>
        <w:t xml:space="preserve"> panel)</w:t>
      </w:r>
      <w:r w:rsidR="00C41FE0">
        <w:rPr>
          <w:lang w:val="en-GB"/>
        </w:rPr>
        <w:t>.</w:t>
      </w:r>
    </w:p>
    <w:p w14:paraId="090E03B6" w14:textId="4BB783BE" w:rsidR="00E71BAA" w:rsidRDefault="00FB2D1A" w:rsidP="00BC5BB2">
      <w:pPr>
        <w:rPr>
          <w:rFonts w:eastAsiaTheme="minorEastAsia"/>
          <w:lang w:val="en-GB"/>
        </w:rPr>
      </w:pPr>
      <w:r>
        <w:rPr>
          <w:lang w:val="en-GB"/>
        </w:rPr>
        <w:t xml:space="preserve">Translated into the </w:t>
      </w:r>
      <w:r w:rsidR="00B11C55" w:rsidRPr="00747FCF">
        <w:rPr>
          <w:i/>
          <w:lang w:val="en-GB"/>
        </w:rPr>
        <w:t>CE</w:t>
      </w:r>
      <w:r w:rsidR="00B11C55">
        <w:rPr>
          <w:lang w:val="en-GB"/>
        </w:rPr>
        <w:t>,</w:t>
      </w:r>
      <w:r w:rsidR="00EC0B45">
        <w:rPr>
          <w:lang w:val="en-GB"/>
        </w:rPr>
        <w:t xml:space="preserve"> we find that the </w:t>
      </w:r>
      <w:r w:rsidR="00B11C55" w:rsidRPr="005A5ABA">
        <w:rPr>
          <w:i/>
          <w:lang w:val="en-GB"/>
        </w:rPr>
        <w:t>total additional value</w:t>
      </w:r>
      <w:r w:rsidR="00B11C55">
        <w:rPr>
          <w:lang w:val="en-GB"/>
        </w:rPr>
        <w:t xml:space="preserve"> </w:t>
      </w:r>
      <w:r w:rsidR="009B2C2A">
        <w:rPr>
          <w:lang w:val="en-GB"/>
        </w:rPr>
        <w:t>of</w:t>
      </w:r>
      <w:r w:rsidR="00B11C55">
        <w:rPr>
          <w:lang w:val="en-GB"/>
        </w:rPr>
        <w:t xml:space="preserve"> the proactive strategy is only 4.21% higher</w:t>
      </w:r>
      <w:r w:rsidR="00EC0B45">
        <w:rPr>
          <w:lang w:val="en-GB"/>
        </w:rPr>
        <w:t xml:space="preserve"> than that of the reactive</w:t>
      </w:r>
      <w:r w:rsidR="00B11C55">
        <w:rPr>
          <w:lang w:val="en-GB"/>
        </w:rPr>
        <w:t xml:space="preserve">. </w:t>
      </w:r>
      <w:r w:rsidR="009B2C2A">
        <w:rPr>
          <w:lang w:val="en-GB"/>
        </w:rPr>
        <w:t xml:space="preserve">Recall </w:t>
      </w:r>
      <w:r>
        <w:rPr>
          <w:lang w:val="en-GB"/>
        </w:rPr>
        <w:t xml:space="preserve">that </w:t>
      </w:r>
      <w:r w:rsidR="00EC0B45">
        <w:rPr>
          <w:lang w:val="en-GB"/>
        </w:rPr>
        <w:t xml:space="preserve">when we considered </w:t>
      </w:r>
      <w:r>
        <w:rPr>
          <w:lang w:val="en-GB"/>
        </w:rPr>
        <w:t xml:space="preserve">only </w:t>
      </w:r>
      <w:r w:rsidR="00EC0B45">
        <w:rPr>
          <w:lang w:val="en-GB"/>
        </w:rPr>
        <w:t xml:space="preserve">the </w:t>
      </w:r>
      <w:r w:rsidR="001D1F3F">
        <w:rPr>
          <w:lang w:val="en-GB"/>
        </w:rPr>
        <w:t>production</w:t>
      </w:r>
      <w:r w:rsidR="00EC0B45">
        <w:rPr>
          <w:lang w:val="en-GB"/>
        </w:rPr>
        <w:t xml:space="preserve"> of cows</w:t>
      </w:r>
      <w:r w:rsidR="007604E6">
        <w:rPr>
          <w:lang w:val="en-GB"/>
        </w:rPr>
        <w:t xml:space="preserve">, </w:t>
      </w:r>
      <w:r w:rsidR="00EC0B45">
        <w:rPr>
          <w:lang w:val="en-GB"/>
        </w:rPr>
        <w:t xml:space="preserve">this </w:t>
      </w:r>
      <w:r w:rsidR="007604E6">
        <w:rPr>
          <w:lang w:val="en-GB"/>
        </w:rPr>
        <w:t xml:space="preserve">value was </w:t>
      </w:r>
      <w:r w:rsidR="00EC0B45">
        <w:rPr>
          <w:lang w:val="en-GB"/>
        </w:rPr>
        <w:t>~</w:t>
      </w:r>
      <w:r w:rsidR="009F539E">
        <w:rPr>
          <w:lang w:val="en-GB"/>
        </w:rPr>
        <w:t>8</w:t>
      </w:r>
      <w:r w:rsidR="007604E6">
        <w:rPr>
          <w:lang w:val="en-GB"/>
        </w:rPr>
        <w:t>0</w:t>
      </w:r>
      <w:r w:rsidR="009F539E">
        <w:rPr>
          <w:lang w:val="en-GB"/>
        </w:rPr>
        <w:t xml:space="preserve">% higher. </w:t>
      </w:r>
      <w:r w:rsidR="009B2C2A">
        <w:rPr>
          <w:lang w:val="en-GB"/>
        </w:rPr>
        <w:t>Now, d</w:t>
      </w:r>
      <w:r w:rsidR="00EC0B45">
        <w:rPr>
          <w:lang w:val="en-GB"/>
        </w:rPr>
        <w:t>espite us</w:t>
      </w:r>
      <w:r w:rsidR="007369EC">
        <w:rPr>
          <w:lang w:val="en-GB"/>
        </w:rPr>
        <w:t>ing</w:t>
      </w:r>
      <w:r w:rsidR="009F539E">
        <w:rPr>
          <w:lang w:val="en-GB"/>
        </w:rPr>
        <w:t xml:space="preserve"> </w:t>
      </w:r>
      <w:r w:rsidR="00B37329">
        <w:rPr>
          <w:lang w:val="en-GB"/>
        </w:rPr>
        <w:t xml:space="preserve">a </w:t>
      </w:r>
      <w:r w:rsidR="009F539E">
        <w:rPr>
          <w:lang w:val="en-GB"/>
        </w:rPr>
        <w:t xml:space="preserve">higher </w:t>
      </w:r>
      <w:r w:rsidR="00B37329">
        <w:rPr>
          <w:lang w:val="en-GB"/>
        </w:rPr>
        <w:t>stocking rate</w:t>
      </w:r>
      <w:r w:rsidR="009F539E">
        <w:rPr>
          <w:lang w:val="en-GB"/>
        </w:rPr>
        <w:t xml:space="preserve">, the reactive </w:t>
      </w:r>
      <w:r w:rsidR="00EC0B45">
        <w:rPr>
          <w:lang w:val="en-GB"/>
        </w:rPr>
        <w:t xml:space="preserve">is capable of obtaining </w:t>
      </w:r>
      <w:r w:rsidR="00B37329">
        <w:rPr>
          <w:lang w:val="en-GB"/>
        </w:rPr>
        <w:t xml:space="preserve">profits </w:t>
      </w:r>
      <w:r w:rsidR="00EC0B45">
        <w:rPr>
          <w:lang w:val="en-GB"/>
        </w:rPr>
        <w:t>that are as</w:t>
      </w:r>
      <w:r w:rsidR="009F539E">
        <w:rPr>
          <w:lang w:val="en-GB"/>
        </w:rPr>
        <w:t xml:space="preserve"> stable and </w:t>
      </w:r>
      <w:r w:rsidR="00B37329">
        <w:rPr>
          <w:lang w:val="en-GB"/>
        </w:rPr>
        <w:t xml:space="preserve">as </w:t>
      </w:r>
      <w:r w:rsidR="009F539E">
        <w:rPr>
          <w:lang w:val="en-GB"/>
        </w:rPr>
        <w:t xml:space="preserve">high </w:t>
      </w:r>
      <w:r w:rsidR="00EC0B45">
        <w:rPr>
          <w:lang w:val="en-GB"/>
        </w:rPr>
        <w:t>(</w:t>
      </w:r>
      <w:r w:rsidR="009F539E">
        <w:rPr>
          <w:lang w:val="en-GB"/>
        </w:rPr>
        <w:t>on average</w:t>
      </w:r>
      <w:r w:rsidR="00EC0B45">
        <w:rPr>
          <w:lang w:val="en-GB"/>
        </w:rPr>
        <w:t>)</w:t>
      </w:r>
      <w:r w:rsidR="009F539E">
        <w:rPr>
          <w:lang w:val="en-GB"/>
        </w:rPr>
        <w:t xml:space="preserve"> as the proactive.</w:t>
      </w:r>
      <w:r w:rsidR="00ED72E8">
        <w:rPr>
          <w:rStyle w:val="Refdenotaalpie"/>
          <w:szCs w:val="24"/>
          <w:lang w:val="en-GB"/>
        </w:rPr>
        <w:footnoteReference w:id="23"/>
      </w:r>
      <w:r w:rsidR="009F539E">
        <w:rPr>
          <w:lang w:val="en-GB"/>
        </w:rPr>
        <w:t xml:space="preserve"> </w:t>
      </w:r>
      <w:r w:rsidR="009B2C2A">
        <w:rPr>
          <w:rFonts w:eastAsiaTheme="minorEastAsia"/>
          <w:lang w:val="en-GB"/>
        </w:rPr>
        <w:t>These results provide evidence that explain</w:t>
      </w:r>
      <w:r w:rsidR="00F600CC">
        <w:rPr>
          <w:rFonts w:eastAsiaTheme="minorEastAsia"/>
          <w:lang w:val="en-GB"/>
        </w:rPr>
        <w:t>s</w:t>
      </w:r>
      <w:r w:rsidR="00B11C55">
        <w:rPr>
          <w:rFonts w:eastAsiaTheme="minorEastAsia"/>
          <w:lang w:val="en-GB"/>
        </w:rPr>
        <w:t xml:space="preserve"> the rationality of farmers in the Basaltic Cuesta</w:t>
      </w:r>
      <w:r w:rsidR="00EC0B45">
        <w:rPr>
          <w:rFonts w:eastAsiaTheme="minorEastAsia"/>
          <w:lang w:val="en-GB"/>
        </w:rPr>
        <w:t xml:space="preserve"> region</w:t>
      </w:r>
      <w:r w:rsidR="00F600CC">
        <w:rPr>
          <w:rFonts w:eastAsiaTheme="minorEastAsia"/>
          <w:lang w:val="en-GB"/>
        </w:rPr>
        <w:t>,</w:t>
      </w:r>
      <w:r w:rsidR="00EC0B45">
        <w:rPr>
          <w:rStyle w:val="Refdenotaalpie"/>
          <w:rFonts w:eastAsiaTheme="minorEastAsia"/>
          <w:szCs w:val="24"/>
          <w:lang w:val="en-GB"/>
        </w:rPr>
        <w:footnoteReference w:id="24"/>
      </w:r>
      <w:r w:rsidR="00FD5B1F">
        <w:rPr>
          <w:rFonts w:eastAsiaTheme="minorEastAsia"/>
          <w:lang w:val="en-GB"/>
        </w:rPr>
        <w:t xml:space="preserve"> who keep a high stocking rate</w:t>
      </w:r>
      <w:r w:rsidR="00EC0B45">
        <w:rPr>
          <w:rFonts w:eastAsiaTheme="minorEastAsia"/>
          <w:lang w:val="en-GB"/>
        </w:rPr>
        <w:t xml:space="preserve"> but also</w:t>
      </w:r>
      <w:r w:rsidR="00F600CC">
        <w:rPr>
          <w:rFonts w:eastAsiaTheme="minorEastAsia"/>
          <w:lang w:val="en-GB"/>
        </w:rPr>
        <w:t xml:space="preserve"> </w:t>
      </w:r>
      <w:r w:rsidR="00EC0B45">
        <w:rPr>
          <w:rFonts w:eastAsiaTheme="minorEastAsia"/>
          <w:lang w:val="en-GB"/>
        </w:rPr>
        <w:t>produce sheep</w:t>
      </w:r>
      <w:r w:rsidR="00FD5B1F">
        <w:rPr>
          <w:rFonts w:eastAsiaTheme="minorEastAsia"/>
          <w:lang w:val="en-GB"/>
        </w:rPr>
        <w:t>.</w:t>
      </w:r>
    </w:p>
    <w:p w14:paraId="79B10DE4" w14:textId="77777777" w:rsidR="00A6641E" w:rsidRPr="00E71BAA" w:rsidRDefault="00F36E76" w:rsidP="00BC5BB2">
      <w:pPr>
        <w:pStyle w:val="Prrafodelista"/>
        <w:numPr>
          <w:ilvl w:val="0"/>
          <w:numId w:val="14"/>
        </w:numPr>
        <w:rPr>
          <w:rFonts w:eastAsiaTheme="minorEastAsia"/>
          <w:szCs w:val="24"/>
          <w:lang w:val="en-GB"/>
        </w:rPr>
      </w:pPr>
      <w:r w:rsidRPr="00E71BAA">
        <w:rPr>
          <w:lang w:val="en-GB"/>
        </w:rPr>
        <w:t>Conclusions</w:t>
      </w:r>
    </w:p>
    <w:p w14:paraId="186EED8D" w14:textId="6364B5F5" w:rsidR="00FD5B1F" w:rsidRDefault="00503E19" w:rsidP="00E14443">
      <w:pPr>
        <w:ind w:firstLine="0"/>
      </w:pPr>
      <w:r>
        <w:t>C</w:t>
      </w:r>
      <w:r w:rsidR="00552B36">
        <w:t>limate change</w:t>
      </w:r>
      <w:r>
        <w:t xml:space="preserve"> and variability</w:t>
      </w:r>
      <w:r w:rsidR="00552B36">
        <w:t xml:space="preserve"> have </w:t>
      </w:r>
      <w:r w:rsidR="000D69A7">
        <w:t>critical</w:t>
      </w:r>
      <w:r w:rsidR="00552B36">
        <w:t xml:space="preserve"> effects on agricultural production due to its high dependence on weather </w:t>
      </w:r>
      <w:r w:rsidR="00552B36" w:rsidRPr="000D69A7">
        <w:t xml:space="preserve">conditions. </w:t>
      </w:r>
      <w:r w:rsidR="009B2C2A" w:rsidRPr="000D69A7">
        <w:t>A</w:t>
      </w:r>
      <w:r w:rsidR="00552B36" w:rsidRPr="000D69A7">
        <w:t>dopti</w:t>
      </w:r>
      <w:r w:rsidR="009B2C2A" w:rsidRPr="000D69A7">
        <w:t xml:space="preserve">ng </w:t>
      </w:r>
      <w:r w:rsidR="00552B36" w:rsidRPr="000D69A7">
        <w:t xml:space="preserve">production practices and technologies </w:t>
      </w:r>
      <w:r w:rsidR="009B2C2A" w:rsidRPr="000D69A7">
        <w:t>that</w:t>
      </w:r>
      <w:r w:rsidR="00552B36" w:rsidRPr="000D69A7">
        <w:t xml:space="preserve"> generate resilience in production systems </w:t>
      </w:r>
      <w:r w:rsidR="000D69A7">
        <w:t>has</w:t>
      </w:r>
      <w:r w:rsidR="009B2C2A" w:rsidRPr="000D69A7">
        <w:t xml:space="preserve"> become</w:t>
      </w:r>
      <w:r w:rsidR="000D69A7">
        <w:t xml:space="preserve"> key as </w:t>
      </w:r>
      <w:r w:rsidR="006134CA">
        <w:t xml:space="preserve">an </w:t>
      </w:r>
      <w:r w:rsidR="000D69A7">
        <w:t>adaptation strategy</w:t>
      </w:r>
      <w:r w:rsidR="00552B36" w:rsidRPr="000D69A7">
        <w:t>.</w:t>
      </w:r>
      <w:r w:rsidR="00552B36" w:rsidRPr="00527FA5">
        <w:t xml:space="preserve"> </w:t>
      </w:r>
    </w:p>
    <w:p w14:paraId="729BE84D" w14:textId="76E0FF59" w:rsidR="00527FA5" w:rsidRDefault="00552B36" w:rsidP="00BC5BB2">
      <w:r>
        <w:t>In this study</w:t>
      </w:r>
      <w:r w:rsidR="006134CA">
        <w:t>,</w:t>
      </w:r>
      <w:r>
        <w:t xml:space="preserve"> we are interested in</w:t>
      </w:r>
      <w:r w:rsidR="000D69A7">
        <w:t xml:space="preserve"> analyzing</w:t>
      </w:r>
      <w:r>
        <w:t xml:space="preserve"> the set o</w:t>
      </w:r>
      <w:r w:rsidR="006134CA">
        <w:t>f technologies that generate</w:t>
      </w:r>
      <w:r w:rsidR="00527FA5">
        <w:t xml:space="preserve"> a</w:t>
      </w:r>
      <w:r>
        <w:t xml:space="preserve">n increase in average </w:t>
      </w:r>
      <w:r w:rsidR="00527FA5">
        <w:t>yields, but most importantly, a reduction in their annual volatility</w:t>
      </w:r>
      <w:r>
        <w:t xml:space="preserve">. Assuming risk </w:t>
      </w:r>
      <w:r w:rsidR="00BE66CA">
        <w:t>averse</w:t>
      </w:r>
      <w:r w:rsidR="00B339EC">
        <w:t xml:space="preserve"> farmers</w:t>
      </w:r>
      <w:r>
        <w:t xml:space="preserve">, </w:t>
      </w:r>
      <w:r w:rsidR="00527FA5">
        <w:t>the adoption of</w:t>
      </w:r>
      <w:r>
        <w:t xml:space="preserve"> practices </w:t>
      </w:r>
      <w:r w:rsidR="000934C3">
        <w:t>that generate</w:t>
      </w:r>
      <w:r>
        <w:t xml:space="preserve"> profit stability </w:t>
      </w:r>
      <w:r w:rsidR="00527FA5">
        <w:t>create</w:t>
      </w:r>
      <w:r w:rsidR="000D69A7">
        <w:t>s a good business environment and</w:t>
      </w:r>
      <w:r>
        <w:t xml:space="preserve"> a positive impact on expectations, fos</w:t>
      </w:r>
      <w:r w:rsidR="00725EFA">
        <w:t>tering</w:t>
      </w:r>
      <w:r w:rsidR="00FD5B1F">
        <w:t xml:space="preserve"> production </w:t>
      </w:r>
      <w:r w:rsidR="00725EFA">
        <w:t xml:space="preserve">expansion </w:t>
      </w:r>
      <w:r w:rsidR="00FD5B1F">
        <w:t>and investment</w:t>
      </w:r>
      <w:r w:rsidR="00527FA5">
        <w:t xml:space="preserve"> in </w:t>
      </w:r>
      <w:r w:rsidR="000D69A7">
        <w:t>agribusiness</w:t>
      </w:r>
      <w:r w:rsidR="00FD5B1F">
        <w:t>.</w:t>
      </w:r>
      <w:r w:rsidR="00527FA5">
        <w:t xml:space="preserve"> </w:t>
      </w:r>
    </w:p>
    <w:p w14:paraId="622BC702" w14:textId="0CF08CAE" w:rsidR="00527FA5" w:rsidRDefault="00552B36" w:rsidP="00BC5BB2">
      <w:r w:rsidRPr="005B2F23">
        <w:t xml:space="preserve"> </w:t>
      </w:r>
      <w:r w:rsidR="00527FA5">
        <w:t>To the best of our knowledge, t</w:t>
      </w:r>
      <w:r>
        <w:t xml:space="preserve">he economic literature </w:t>
      </w:r>
      <w:r w:rsidR="00B339EC">
        <w:t xml:space="preserve">has </w:t>
      </w:r>
      <w:r>
        <w:t xml:space="preserve">focused on evaluating the benefits </w:t>
      </w:r>
      <w:r w:rsidR="00527FA5">
        <w:t>that arise from</w:t>
      </w:r>
      <w:r>
        <w:t xml:space="preserve"> higher average productivity, but attention to the benefits associated </w:t>
      </w:r>
      <w:r>
        <w:lastRenderedPageBreak/>
        <w:t>to the lo</w:t>
      </w:r>
      <w:r w:rsidR="00FD5B1F">
        <w:t xml:space="preserve">wer volatility has been scant. </w:t>
      </w:r>
      <w:r w:rsidR="00527FA5">
        <w:t>In this paper, we monetarily quantify</w:t>
      </w:r>
      <w:r w:rsidR="00527FA5" w:rsidRPr="005B2F23">
        <w:t xml:space="preserve"> </w:t>
      </w:r>
      <w:r w:rsidR="00527FA5">
        <w:t xml:space="preserve">both, </w:t>
      </w:r>
      <w:r w:rsidR="008B0562">
        <w:t>and present</w:t>
      </w:r>
      <w:r w:rsidR="00527FA5">
        <w:t xml:space="preserve"> two different applications of adaptation technologies in the agricultural sector of Uruguay</w:t>
      </w:r>
      <w:r w:rsidR="00527FA5" w:rsidRPr="005B2F23">
        <w:t>.</w:t>
      </w:r>
      <w:r w:rsidR="00527FA5" w:rsidRPr="00527FA5">
        <w:rPr>
          <w:szCs w:val="24"/>
        </w:rPr>
        <w:t xml:space="preserve"> </w:t>
      </w:r>
      <w:r w:rsidR="00527FA5">
        <w:rPr>
          <w:lang w:val="en-GB"/>
        </w:rPr>
        <w:t xml:space="preserve">The first </w:t>
      </w:r>
      <w:r w:rsidR="008B0562">
        <w:rPr>
          <w:lang w:val="en-GB"/>
        </w:rPr>
        <w:t xml:space="preserve">application </w:t>
      </w:r>
      <w:r w:rsidR="00527FA5">
        <w:rPr>
          <w:lang w:val="en-GB"/>
        </w:rPr>
        <w:t>is the adoption of supplemented</w:t>
      </w:r>
      <w:r w:rsidR="000D69A7">
        <w:rPr>
          <w:lang w:val="en-GB"/>
        </w:rPr>
        <w:t xml:space="preserve"> irrigation on summer crops while </w:t>
      </w:r>
      <w:r w:rsidR="00725EFA">
        <w:rPr>
          <w:lang w:val="en-GB"/>
        </w:rPr>
        <w:t xml:space="preserve">the </w:t>
      </w:r>
      <w:r w:rsidR="00527FA5">
        <w:rPr>
          <w:lang w:val="en-GB"/>
        </w:rPr>
        <w:t xml:space="preserve">other involves </w:t>
      </w:r>
      <w:r w:rsidR="00527FA5">
        <w:t>livestock production on natural rangelands</w:t>
      </w:r>
      <w:r w:rsidR="000D69A7">
        <w:t>.</w:t>
      </w:r>
      <w:r w:rsidR="000D69A7" w:rsidRPr="000D69A7">
        <w:rPr>
          <w:lang w:val="en-GB"/>
        </w:rPr>
        <w:t xml:space="preserve"> </w:t>
      </w:r>
      <w:r w:rsidR="000D69A7">
        <w:rPr>
          <w:lang w:val="en-GB"/>
        </w:rPr>
        <w:t xml:space="preserve">We differentiate in each application, two </w:t>
      </w:r>
      <w:r w:rsidR="006134CA">
        <w:rPr>
          <w:lang w:val="en-GB"/>
        </w:rPr>
        <w:t>type</w:t>
      </w:r>
      <w:r w:rsidR="00080E08">
        <w:rPr>
          <w:lang w:val="en-GB"/>
        </w:rPr>
        <w:t>s</w:t>
      </w:r>
      <w:r w:rsidR="000D69A7">
        <w:rPr>
          <w:lang w:val="en-GB"/>
        </w:rPr>
        <w:t xml:space="preserve"> of producers according </w:t>
      </w:r>
      <w:r w:rsidR="006134CA">
        <w:rPr>
          <w:lang w:val="en-GB"/>
        </w:rPr>
        <w:t xml:space="preserve">to the </w:t>
      </w:r>
      <w:r w:rsidR="000D69A7">
        <w:rPr>
          <w:lang w:val="en-GB"/>
        </w:rPr>
        <w:t>technology they adopt.</w:t>
      </w:r>
    </w:p>
    <w:p w14:paraId="447E8D70" w14:textId="3C3C6472" w:rsidR="00FD5B1F" w:rsidRDefault="00552B36" w:rsidP="00BC5BB2">
      <w:r>
        <w:t xml:space="preserve">We apply an expected utility approach, and compute </w:t>
      </w:r>
      <w:r w:rsidR="00527FA5">
        <w:t>the</w:t>
      </w:r>
      <w:r>
        <w:t xml:space="preserve"> certainty equivalent (</w:t>
      </w:r>
      <w:r w:rsidRPr="009C53CD">
        <w:rPr>
          <w:i/>
        </w:rPr>
        <w:t>CE</w:t>
      </w:r>
      <w:r>
        <w:t xml:space="preserve">) </w:t>
      </w:r>
      <w:r w:rsidR="008B0562">
        <w:t>as</w:t>
      </w:r>
      <w:r>
        <w:t xml:space="preserve"> </w:t>
      </w:r>
      <w:r w:rsidR="00080E08">
        <w:t>it</w:t>
      </w:r>
      <w:r>
        <w:t xml:space="preserve"> simultaneously factor</w:t>
      </w:r>
      <w:r w:rsidR="00080E08">
        <w:t>s</w:t>
      </w:r>
      <w:r>
        <w:t xml:space="preserve"> the value to the farmer from</w:t>
      </w:r>
      <w:r w:rsidR="00527FA5">
        <w:t xml:space="preserve"> obtaining </w:t>
      </w:r>
      <w:r>
        <w:t xml:space="preserve">higher </w:t>
      </w:r>
      <w:r w:rsidR="000D69A7">
        <w:t xml:space="preserve">average </w:t>
      </w:r>
      <w:r w:rsidR="00725EFA">
        <w:t>profits</w:t>
      </w:r>
      <w:r>
        <w:t xml:space="preserve"> </w:t>
      </w:r>
      <w:r w:rsidR="008B0562">
        <w:t xml:space="preserve">on the one side, and </w:t>
      </w:r>
      <w:r w:rsidR="000D69A7">
        <w:t>more stable profits</w:t>
      </w:r>
      <w:r w:rsidR="008B0562">
        <w:t xml:space="preserve"> on the other</w:t>
      </w:r>
      <w:r>
        <w:t xml:space="preserve">. We </w:t>
      </w:r>
      <w:r w:rsidR="008B0562">
        <w:t xml:space="preserve">use </w:t>
      </w:r>
      <w:r>
        <w:t xml:space="preserve">the </w:t>
      </w:r>
      <w:r w:rsidRPr="009C53CD">
        <w:rPr>
          <w:i/>
        </w:rPr>
        <w:t>CE</w:t>
      </w:r>
      <w:r>
        <w:t xml:space="preserve"> </w:t>
      </w:r>
      <w:r w:rsidR="008B0562">
        <w:t xml:space="preserve">to compare </w:t>
      </w:r>
      <w:r>
        <w:t xml:space="preserve">the stochastic profit flows of a farmer that applies the mentioned </w:t>
      </w:r>
      <w:r w:rsidR="006134CA">
        <w:t>AT</w:t>
      </w:r>
      <w:r>
        <w:t xml:space="preserve"> with </w:t>
      </w:r>
      <w:r w:rsidR="00725EFA">
        <w:t>that of a</w:t>
      </w:r>
      <w:r w:rsidR="000D69A7">
        <w:t xml:space="preserve"> farmer that does otherwise</w:t>
      </w:r>
      <w:r w:rsidR="006134CA">
        <w:t xml:space="preserve"> (NAT)</w:t>
      </w:r>
      <w:r w:rsidR="000D69A7">
        <w:t xml:space="preserve">. </w:t>
      </w:r>
    </w:p>
    <w:p w14:paraId="4604E93D" w14:textId="16C354D8" w:rsidR="000D69A7" w:rsidRDefault="00552B36" w:rsidP="00BC5BB2">
      <w:pPr>
        <w:rPr>
          <w:lang w:val="en-GB"/>
        </w:rPr>
      </w:pPr>
      <w:r>
        <w:rPr>
          <w:lang w:val="en-GB"/>
        </w:rPr>
        <w:t xml:space="preserve">In the crop production application, we formulate a </w:t>
      </w:r>
      <w:r w:rsidR="000D69A7">
        <w:rPr>
          <w:lang w:val="en-GB"/>
        </w:rPr>
        <w:t>set</w:t>
      </w:r>
      <w:r>
        <w:rPr>
          <w:lang w:val="en-GB"/>
        </w:rPr>
        <w:t xml:space="preserve"> of scenarios </w:t>
      </w:r>
      <w:r w:rsidR="006134CA">
        <w:rPr>
          <w:lang w:val="en-GB"/>
        </w:rPr>
        <w:t>by the</w:t>
      </w:r>
      <w:r>
        <w:rPr>
          <w:lang w:val="en-GB"/>
        </w:rPr>
        <w:t xml:space="preserve"> </w:t>
      </w:r>
      <w:r w:rsidR="006134CA">
        <w:rPr>
          <w:lang w:val="en-GB"/>
        </w:rPr>
        <w:t>production</w:t>
      </w:r>
      <w:r>
        <w:rPr>
          <w:lang w:val="en-GB"/>
        </w:rPr>
        <w:t xml:space="preserve"> </w:t>
      </w:r>
      <w:r w:rsidR="006134CA">
        <w:rPr>
          <w:lang w:val="en-GB"/>
        </w:rPr>
        <w:t>focus</w:t>
      </w:r>
      <w:r>
        <w:rPr>
          <w:lang w:val="en-GB"/>
        </w:rPr>
        <w:t xml:space="preserve"> </w:t>
      </w:r>
      <w:r w:rsidR="006134CA">
        <w:rPr>
          <w:lang w:val="en-GB"/>
        </w:rPr>
        <w:t>of the farm, soil aptitude,</w:t>
      </w:r>
      <w:r w:rsidR="00725EFA">
        <w:rPr>
          <w:lang w:val="en-GB"/>
        </w:rPr>
        <w:t xml:space="preserve"> and</w:t>
      </w:r>
      <w:r>
        <w:rPr>
          <w:lang w:val="en-GB"/>
        </w:rPr>
        <w:t xml:space="preserve"> distance to the port</w:t>
      </w:r>
      <w:r w:rsidR="006134CA">
        <w:rPr>
          <w:lang w:val="en-GB"/>
        </w:rPr>
        <w:t xml:space="preserve">, </w:t>
      </w:r>
      <w:r w:rsidR="00725EFA">
        <w:rPr>
          <w:lang w:val="en-GB"/>
        </w:rPr>
        <w:t>using a set of</w:t>
      </w:r>
      <w:r w:rsidR="000D69A7">
        <w:rPr>
          <w:lang w:val="en-GB"/>
        </w:rPr>
        <w:t xml:space="preserve"> </w:t>
      </w:r>
      <w:r w:rsidR="008B0562">
        <w:rPr>
          <w:lang w:val="en-GB"/>
        </w:rPr>
        <w:t>medium level prices.</w:t>
      </w:r>
      <w:r>
        <w:rPr>
          <w:lang w:val="en-GB"/>
        </w:rPr>
        <w:t xml:space="preserve"> Our results show that for crop-only farms, in high soil aptitude, </w:t>
      </w:r>
      <w:r w:rsidR="008B0562">
        <w:rPr>
          <w:lang w:val="en-GB"/>
        </w:rPr>
        <w:t xml:space="preserve">and located </w:t>
      </w:r>
      <w:r>
        <w:rPr>
          <w:lang w:val="en-GB"/>
        </w:rPr>
        <w:t>c</w:t>
      </w:r>
      <w:r w:rsidR="008B0562">
        <w:rPr>
          <w:lang w:val="en-GB"/>
        </w:rPr>
        <w:t xml:space="preserve">lose to the port, </w:t>
      </w:r>
      <w:r>
        <w:rPr>
          <w:lang w:val="en-GB"/>
        </w:rPr>
        <w:t>the value risk averse producers assign to their production is 59% higher than that of the producer</w:t>
      </w:r>
      <w:r w:rsidR="00C74D7F">
        <w:rPr>
          <w:lang w:val="en-GB"/>
        </w:rPr>
        <w:t>s</w:t>
      </w:r>
      <w:r>
        <w:rPr>
          <w:lang w:val="en-GB"/>
        </w:rPr>
        <w:t xml:space="preserve"> who, everything else equal, do not </w:t>
      </w:r>
      <w:r w:rsidR="006134CA">
        <w:rPr>
          <w:lang w:val="en-GB"/>
        </w:rPr>
        <w:t>apply supplement</w:t>
      </w:r>
      <w:r w:rsidR="002D3709">
        <w:rPr>
          <w:lang w:val="en-GB"/>
        </w:rPr>
        <w:t>ed</w:t>
      </w:r>
      <w:r w:rsidR="006134CA">
        <w:rPr>
          <w:lang w:val="en-GB"/>
        </w:rPr>
        <w:t xml:space="preserve"> irrigation</w:t>
      </w:r>
      <w:r>
        <w:rPr>
          <w:lang w:val="en-GB"/>
        </w:rPr>
        <w:t xml:space="preserve">. A 65% of </w:t>
      </w:r>
      <w:r w:rsidR="008B0562">
        <w:rPr>
          <w:lang w:val="en-GB"/>
        </w:rPr>
        <w:t>this</w:t>
      </w:r>
      <w:r>
        <w:rPr>
          <w:lang w:val="en-GB"/>
        </w:rPr>
        <w:t xml:space="preserve"> value comes from obtaining higher average profits, while the remaining 35% </w:t>
      </w:r>
      <w:r w:rsidR="008B0562">
        <w:rPr>
          <w:lang w:val="en-GB"/>
        </w:rPr>
        <w:t>is derived from</w:t>
      </w:r>
      <w:r>
        <w:rPr>
          <w:lang w:val="en-GB"/>
        </w:rPr>
        <w:t xml:space="preserve"> their lower volatility. </w:t>
      </w:r>
      <w:r w:rsidR="008B0562">
        <w:rPr>
          <w:lang w:val="en-GB"/>
        </w:rPr>
        <w:t xml:space="preserve">These results are robust to different </w:t>
      </w:r>
      <w:r w:rsidR="000D69A7">
        <w:rPr>
          <w:lang w:val="en-GB"/>
        </w:rPr>
        <w:t>scenarios, which indicate</w:t>
      </w:r>
      <w:r>
        <w:rPr>
          <w:lang w:val="en-GB"/>
        </w:rPr>
        <w:t xml:space="preserve"> that the value attributed to the lower volatility is </w:t>
      </w:r>
      <w:r w:rsidR="006134CA">
        <w:rPr>
          <w:lang w:val="en-GB"/>
        </w:rPr>
        <w:t>considerably</w:t>
      </w:r>
      <w:r>
        <w:rPr>
          <w:lang w:val="en-GB"/>
        </w:rPr>
        <w:t xml:space="preserve"> high</w:t>
      </w:r>
      <w:r w:rsidR="00725EFA">
        <w:rPr>
          <w:lang w:val="en-GB"/>
        </w:rPr>
        <w:t>,</w:t>
      </w:r>
      <w:r w:rsidR="000D69A7">
        <w:rPr>
          <w:lang w:val="en-GB"/>
        </w:rPr>
        <w:t xml:space="preserve"> and thus</w:t>
      </w:r>
      <w:r w:rsidR="00725EFA">
        <w:rPr>
          <w:lang w:val="en-GB"/>
        </w:rPr>
        <w:t>,</w:t>
      </w:r>
      <w:r w:rsidR="000D69A7">
        <w:rPr>
          <w:lang w:val="en-GB"/>
        </w:rPr>
        <w:t xml:space="preserve"> </w:t>
      </w:r>
      <w:r w:rsidR="00725EFA">
        <w:rPr>
          <w:lang w:val="en-GB"/>
        </w:rPr>
        <w:t>should not</w:t>
      </w:r>
      <w:r w:rsidR="000D69A7">
        <w:rPr>
          <w:lang w:val="en-GB"/>
        </w:rPr>
        <w:t xml:space="preserve"> be omitted when deciding on the adoption of adaptation technologies.</w:t>
      </w:r>
    </w:p>
    <w:p w14:paraId="4574A40C" w14:textId="51ABB81E" w:rsidR="00FD5B1F" w:rsidRDefault="000D69A7" w:rsidP="00BC5BB2">
      <w:pPr>
        <w:rPr>
          <w:lang w:val="en-GB"/>
        </w:rPr>
      </w:pPr>
      <w:r w:rsidRPr="007F2A29">
        <w:rPr>
          <w:lang w:val="en-GB"/>
        </w:rPr>
        <w:t xml:space="preserve"> </w:t>
      </w:r>
      <w:r w:rsidR="00552B36" w:rsidRPr="007F2A29">
        <w:rPr>
          <w:lang w:val="en-GB"/>
        </w:rPr>
        <w:t>In the livestock production application, we</w:t>
      </w:r>
      <w:r w:rsidR="00552B36">
        <w:rPr>
          <w:lang w:val="en-GB"/>
        </w:rPr>
        <w:t xml:space="preserve"> first analyse a</w:t>
      </w:r>
      <w:r w:rsidR="00552B36" w:rsidRPr="007F2A29">
        <w:rPr>
          <w:lang w:val="en-GB"/>
        </w:rPr>
        <w:t xml:space="preserve"> scenario of </w:t>
      </w:r>
      <w:r w:rsidR="008B0562">
        <w:rPr>
          <w:lang w:val="en-GB"/>
        </w:rPr>
        <w:t xml:space="preserve">cow </w:t>
      </w:r>
      <w:r w:rsidR="00552B36">
        <w:rPr>
          <w:lang w:val="en-GB"/>
        </w:rPr>
        <w:t xml:space="preserve">production </w:t>
      </w:r>
      <w:r w:rsidR="00D01782">
        <w:rPr>
          <w:lang w:val="en-GB"/>
        </w:rPr>
        <w:t xml:space="preserve">only </w:t>
      </w:r>
      <w:r w:rsidR="006E3184">
        <w:rPr>
          <w:lang w:val="en-GB"/>
        </w:rPr>
        <w:t>and</w:t>
      </w:r>
      <w:r w:rsidR="00552B36">
        <w:rPr>
          <w:lang w:val="en-GB"/>
        </w:rPr>
        <w:t xml:space="preserve"> find that</w:t>
      </w:r>
      <w:r w:rsidR="006065D4">
        <w:rPr>
          <w:lang w:val="en-GB"/>
        </w:rPr>
        <w:t>,</w:t>
      </w:r>
      <w:r w:rsidR="00552B36">
        <w:rPr>
          <w:lang w:val="en-GB"/>
        </w:rPr>
        <w:t xml:space="preserve"> </w:t>
      </w:r>
      <w:r w:rsidR="003B60F7">
        <w:rPr>
          <w:lang w:val="en-GB"/>
        </w:rPr>
        <w:t xml:space="preserve">regardless of </w:t>
      </w:r>
      <w:r w:rsidR="00552B36">
        <w:rPr>
          <w:lang w:val="en-GB"/>
        </w:rPr>
        <w:t xml:space="preserve">the risk aversion level, the </w:t>
      </w:r>
      <w:r w:rsidR="003B60F7">
        <w:rPr>
          <w:lang w:val="en-GB"/>
        </w:rPr>
        <w:t xml:space="preserve">total additional </w:t>
      </w:r>
      <w:r w:rsidR="00552B36">
        <w:rPr>
          <w:lang w:val="en-GB"/>
        </w:rPr>
        <w:t xml:space="preserve">value a proactive producer </w:t>
      </w:r>
      <w:r w:rsidR="008B0562">
        <w:rPr>
          <w:lang w:val="en-GB"/>
        </w:rPr>
        <w:t xml:space="preserve">gets </w:t>
      </w:r>
      <w:r w:rsidR="00A0386A">
        <w:rPr>
          <w:lang w:val="en-GB"/>
        </w:rPr>
        <w:t>from</w:t>
      </w:r>
      <w:r w:rsidR="008B0562">
        <w:rPr>
          <w:lang w:val="en-GB"/>
        </w:rPr>
        <w:t xml:space="preserve"> following a resilient management strategy </w:t>
      </w:r>
      <w:r w:rsidR="00552B36">
        <w:rPr>
          <w:lang w:val="en-GB"/>
        </w:rPr>
        <w:t xml:space="preserve">is approximately 81.2% higher than </w:t>
      </w:r>
      <w:r w:rsidR="008B0562">
        <w:rPr>
          <w:lang w:val="en-GB"/>
        </w:rPr>
        <w:t>what the</w:t>
      </w:r>
      <w:r w:rsidR="00552B36">
        <w:rPr>
          <w:lang w:val="en-GB"/>
        </w:rPr>
        <w:t xml:space="preserve"> reactive</w:t>
      </w:r>
      <w:r w:rsidR="008B0562">
        <w:rPr>
          <w:lang w:val="en-GB"/>
        </w:rPr>
        <w:t xml:space="preserve"> gets</w:t>
      </w:r>
      <w:r w:rsidR="00552B36">
        <w:rPr>
          <w:lang w:val="en-GB"/>
        </w:rPr>
        <w:t xml:space="preserve">. When we decompose this value, 14% corresponds to less volatile profits, while the other 86% to higher </w:t>
      </w:r>
      <w:r w:rsidR="008B0562">
        <w:rPr>
          <w:lang w:val="en-GB"/>
        </w:rPr>
        <w:t>means</w:t>
      </w:r>
      <w:r w:rsidR="006E3184">
        <w:rPr>
          <w:lang w:val="en-GB"/>
        </w:rPr>
        <w:t xml:space="preserve">, </w:t>
      </w:r>
      <w:r w:rsidR="008B0562">
        <w:rPr>
          <w:lang w:val="en-GB"/>
        </w:rPr>
        <w:t>which suggests</w:t>
      </w:r>
      <w:r w:rsidR="00552B36">
        <w:rPr>
          <w:lang w:val="en-GB"/>
        </w:rPr>
        <w:t xml:space="preserve"> </w:t>
      </w:r>
      <w:r w:rsidR="00552B36">
        <w:rPr>
          <w:lang w:val="en-GB"/>
        </w:rPr>
        <w:lastRenderedPageBreak/>
        <w:t xml:space="preserve">the importance lower volatility acquires </w:t>
      </w:r>
      <w:r w:rsidR="008B0562">
        <w:rPr>
          <w:lang w:val="en-GB"/>
        </w:rPr>
        <w:t>for</w:t>
      </w:r>
      <w:r w:rsidR="00552B36">
        <w:rPr>
          <w:lang w:val="en-GB"/>
        </w:rPr>
        <w:t xml:space="preserve"> risk adverse producers. </w:t>
      </w:r>
      <w:r w:rsidR="008B0562">
        <w:rPr>
          <w:lang w:val="en-GB"/>
        </w:rPr>
        <w:t>W</w:t>
      </w:r>
      <w:r w:rsidR="00F3784D">
        <w:rPr>
          <w:lang w:val="en-GB"/>
        </w:rPr>
        <w:t>e</w:t>
      </w:r>
      <w:r w:rsidR="003B60F7">
        <w:rPr>
          <w:lang w:val="en-GB"/>
        </w:rPr>
        <w:t xml:space="preserve"> </w:t>
      </w:r>
      <w:r w:rsidR="008B0562">
        <w:rPr>
          <w:lang w:val="en-GB"/>
        </w:rPr>
        <w:t xml:space="preserve">then </w:t>
      </w:r>
      <w:r w:rsidR="00552B36">
        <w:rPr>
          <w:lang w:val="en-GB"/>
        </w:rPr>
        <w:t xml:space="preserve">incorporate the sheep </w:t>
      </w:r>
      <w:r w:rsidR="008B0562">
        <w:rPr>
          <w:lang w:val="en-GB"/>
        </w:rPr>
        <w:t>production</w:t>
      </w:r>
      <w:r w:rsidR="003B60F7">
        <w:rPr>
          <w:lang w:val="en-GB"/>
        </w:rPr>
        <w:t xml:space="preserve"> </w:t>
      </w:r>
      <w:r>
        <w:rPr>
          <w:lang w:val="en-GB"/>
        </w:rPr>
        <w:t xml:space="preserve">profits </w:t>
      </w:r>
      <w:r w:rsidR="008B0562">
        <w:rPr>
          <w:lang w:val="en-GB"/>
        </w:rPr>
        <w:t xml:space="preserve">and </w:t>
      </w:r>
      <w:r w:rsidR="00552B36">
        <w:rPr>
          <w:lang w:val="en-GB"/>
        </w:rPr>
        <w:t>conclusions change</w:t>
      </w:r>
      <w:r w:rsidR="00F3784D">
        <w:rPr>
          <w:lang w:val="en-GB"/>
        </w:rPr>
        <w:t xml:space="preserve"> substantially</w:t>
      </w:r>
      <w:r w:rsidR="00552B36">
        <w:rPr>
          <w:lang w:val="en-GB"/>
        </w:rPr>
        <w:t xml:space="preserve">. </w:t>
      </w:r>
      <w:r w:rsidR="00F3784D">
        <w:rPr>
          <w:lang w:val="en-GB"/>
        </w:rPr>
        <w:t>The key factor here is that s</w:t>
      </w:r>
      <w:r w:rsidR="00552B36" w:rsidRPr="00707847">
        <w:rPr>
          <w:lang w:val="en-GB"/>
        </w:rPr>
        <w:t xml:space="preserve">heep production </w:t>
      </w:r>
      <w:r w:rsidR="00552B36">
        <w:rPr>
          <w:lang w:val="en-GB"/>
        </w:rPr>
        <w:t>is</w:t>
      </w:r>
      <w:r w:rsidR="00552B36" w:rsidRPr="00707847">
        <w:rPr>
          <w:lang w:val="en-GB"/>
        </w:rPr>
        <w:t xml:space="preserve"> less sensible to </w:t>
      </w:r>
      <w:r w:rsidR="00552B36">
        <w:rPr>
          <w:lang w:val="en-GB"/>
        </w:rPr>
        <w:t>climatic variations</w:t>
      </w:r>
      <w:r w:rsidR="00F3784D">
        <w:rPr>
          <w:lang w:val="en-GB"/>
        </w:rPr>
        <w:t>,</w:t>
      </w:r>
      <w:r w:rsidR="00552B36">
        <w:rPr>
          <w:lang w:val="en-GB"/>
        </w:rPr>
        <w:t xml:space="preserve"> especially in natural rangeland conditions, making its economic results </w:t>
      </w:r>
      <w:r w:rsidR="00552B36" w:rsidRPr="00621657">
        <w:rPr>
          <w:lang w:val="en-GB"/>
        </w:rPr>
        <w:t xml:space="preserve">relatively more stable. </w:t>
      </w:r>
      <w:r w:rsidR="00552B36" w:rsidRPr="00707847">
        <w:rPr>
          <w:lang w:val="en-GB"/>
        </w:rPr>
        <w:t>We find that the</w:t>
      </w:r>
      <w:r w:rsidR="00B339EC">
        <w:rPr>
          <w:lang w:val="en-GB"/>
        </w:rPr>
        <w:t>ir</w:t>
      </w:r>
      <w:r w:rsidR="00552B36" w:rsidRPr="00707847">
        <w:rPr>
          <w:lang w:val="en-GB"/>
        </w:rPr>
        <w:t xml:space="preserve"> incorporation </w:t>
      </w:r>
      <w:r w:rsidR="003B60F7">
        <w:rPr>
          <w:lang w:val="en-GB"/>
        </w:rPr>
        <w:t>is a highly effective stra</w:t>
      </w:r>
      <w:r w:rsidR="00F23568">
        <w:rPr>
          <w:lang w:val="en-GB"/>
        </w:rPr>
        <w:t xml:space="preserve">tegy for the reactive producer to increase average profits and </w:t>
      </w:r>
      <w:r w:rsidR="00383156">
        <w:rPr>
          <w:lang w:val="en-GB"/>
        </w:rPr>
        <w:t xml:space="preserve">gain </w:t>
      </w:r>
      <w:r w:rsidR="00F23568">
        <w:rPr>
          <w:lang w:val="en-GB"/>
        </w:rPr>
        <w:t>stability</w:t>
      </w:r>
      <w:r w:rsidR="003B60F7">
        <w:rPr>
          <w:lang w:val="en-GB"/>
        </w:rPr>
        <w:t xml:space="preserve">. The total additional value for the proactive </w:t>
      </w:r>
      <w:r w:rsidR="007C27E2">
        <w:rPr>
          <w:lang w:val="en-GB"/>
        </w:rPr>
        <w:t>is only 4% higher than the reactive</w:t>
      </w:r>
      <w:r w:rsidR="00BE66CA">
        <w:rPr>
          <w:lang w:val="en-GB"/>
        </w:rPr>
        <w:t xml:space="preserve"> (</w:t>
      </w:r>
      <w:r w:rsidR="007C27E2">
        <w:rPr>
          <w:lang w:val="en-GB"/>
        </w:rPr>
        <w:t xml:space="preserve">substantially lower than the </w:t>
      </w:r>
      <w:r w:rsidR="00552B36">
        <w:rPr>
          <w:lang w:val="en-GB"/>
        </w:rPr>
        <w:t>81%</w:t>
      </w:r>
      <w:r w:rsidR="007C27E2">
        <w:rPr>
          <w:lang w:val="en-GB"/>
        </w:rPr>
        <w:t xml:space="preserve"> found in the </w:t>
      </w:r>
      <w:r w:rsidR="00F23568">
        <w:rPr>
          <w:lang w:val="en-GB"/>
        </w:rPr>
        <w:t>cow</w:t>
      </w:r>
      <w:r w:rsidR="007C27E2">
        <w:rPr>
          <w:lang w:val="en-GB"/>
        </w:rPr>
        <w:t xml:space="preserve"> production only</w:t>
      </w:r>
      <w:r w:rsidR="00BE66CA">
        <w:rPr>
          <w:lang w:val="en-GB"/>
        </w:rPr>
        <w:t>)</w:t>
      </w:r>
      <w:r w:rsidR="007C27E2">
        <w:rPr>
          <w:lang w:val="en-GB"/>
        </w:rPr>
        <w:t>.</w:t>
      </w:r>
      <w:r w:rsidR="00C56681">
        <w:rPr>
          <w:lang w:val="en-GB"/>
        </w:rPr>
        <w:t xml:space="preserve"> </w:t>
      </w:r>
      <w:r w:rsidR="006E3184">
        <w:rPr>
          <w:lang w:val="en-GB"/>
        </w:rPr>
        <w:t xml:space="preserve"> </w:t>
      </w:r>
      <w:r w:rsidR="00116C11">
        <w:rPr>
          <w:lang w:val="en-GB"/>
        </w:rPr>
        <w:t xml:space="preserve">These results provide </w:t>
      </w:r>
      <w:r w:rsidR="00F23568">
        <w:rPr>
          <w:lang w:val="en-GB"/>
        </w:rPr>
        <w:t xml:space="preserve">an empirical explanation for a </w:t>
      </w:r>
      <w:r w:rsidR="00383156">
        <w:rPr>
          <w:lang w:val="en-GB"/>
        </w:rPr>
        <w:t>generalized</w:t>
      </w:r>
      <w:r w:rsidR="00C56681">
        <w:rPr>
          <w:lang w:val="en-GB"/>
        </w:rPr>
        <w:t xml:space="preserve"> </w:t>
      </w:r>
      <w:r w:rsidR="00552B36">
        <w:rPr>
          <w:lang w:val="en-GB"/>
        </w:rPr>
        <w:t xml:space="preserve">production </w:t>
      </w:r>
      <w:r w:rsidR="00C56681">
        <w:rPr>
          <w:lang w:val="en-GB"/>
        </w:rPr>
        <w:t>practice</w:t>
      </w:r>
      <w:r w:rsidR="00552B36">
        <w:rPr>
          <w:lang w:val="en-GB"/>
        </w:rPr>
        <w:t xml:space="preserve"> </w:t>
      </w:r>
      <w:r w:rsidR="00383156">
        <w:rPr>
          <w:lang w:val="en-GB"/>
        </w:rPr>
        <w:t>in Uruguayan natural rangelands, which</w:t>
      </w:r>
      <w:r w:rsidR="00F23568">
        <w:rPr>
          <w:lang w:val="en-GB"/>
        </w:rPr>
        <w:t xml:space="preserve"> </w:t>
      </w:r>
      <w:r w:rsidR="00116C11">
        <w:rPr>
          <w:lang w:val="en-GB"/>
        </w:rPr>
        <w:t>consists of keeping</w:t>
      </w:r>
      <w:r w:rsidR="00F23568">
        <w:rPr>
          <w:lang w:val="en-GB"/>
        </w:rPr>
        <w:t xml:space="preserve"> </w:t>
      </w:r>
      <w:r w:rsidR="00C56681">
        <w:rPr>
          <w:lang w:val="en-GB"/>
        </w:rPr>
        <w:t xml:space="preserve">a high stocking rate of </w:t>
      </w:r>
      <w:r w:rsidR="00552B36">
        <w:rPr>
          <w:lang w:val="en-GB"/>
        </w:rPr>
        <w:t>cows and sheep</w:t>
      </w:r>
      <w:r w:rsidR="00C56681">
        <w:rPr>
          <w:lang w:val="en-GB"/>
        </w:rPr>
        <w:t xml:space="preserve">, </w:t>
      </w:r>
      <w:r w:rsidR="00F23568">
        <w:rPr>
          <w:lang w:val="en-GB"/>
        </w:rPr>
        <w:t xml:space="preserve">at the cost of </w:t>
      </w:r>
      <w:r w:rsidR="00C56681">
        <w:rPr>
          <w:lang w:val="en-GB"/>
        </w:rPr>
        <w:t xml:space="preserve">cow </w:t>
      </w:r>
      <w:r w:rsidR="00116C11">
        <w:rPr>
          <w:lang w:val="en-GB"/>
        </w:rPr>
        <w:t xml:space="preserve">productivity </w:t>
      </w:r>
      <w:r w:rsidR="00F23568">
        <w:rPr>
          <w:lang w:val="en-GB"/>
        </w:rPr>
        <w:t>deterioration</w:t>
      </w:r>
      <w:r w:rsidR="00FD5B1F">
        <w:rPr>
          <w:lang w:val="en-GB"/>
        </w:rPr>
        <w:t>.</w:t>
      </w:r>
    </w:p>
    <w:p w14:paraId="25EDBF57" w14:textId="4CFE9C0C" w:rsidR="00666AAD" w:rsidRDefault="00ED7520" w:rsidP="00766A4A">
      <w:pPr>
        <w:rPr>
          <w:lang w:val="en-GB"/>
        </w:rPr>
      </w:pPr>
      <w:r>
        <w:rPr>
          <w:lang w:val="en-GB"/>
        </w:rPr>
        <w:t xml:space="preserve">Our study contributes to the literature of economic </w:t>
      </w:r>
      <w:r w:rsidR="00F23568">
        <w:rPr>
          <w:lang w:val="en-GB"/>
        </w:rPr>
        <w:t>methodologies</w:t>
      </w:r>
      <w:r>
        <w:rPr>
          <w:lang w:val="en-GB"/>
        </w:rPr>
        <w:t xml:space="preserve"> </w:t>
      </w:r>
      <w:r w:rsidR="00116C11">
        <w:rPr>
          <w:lang w:val="en-GB"/>
        </w:rPr>
        <w:t>that</w:t>
      </w:r>
      <w:r w:rsidR="00F23568">
        <w:rPr>
          <w:lang w:val="en-GB"/>
        </w:rPr>
        <w:t xml:space="preserve"> evaluate</w:t>
      </w:r>
      <w:r>
        <w:rPr>
          <w:lang w:val="en-GB"/>
        </w:rPr>
        <w:t xml:space="preserve"> practices </w:t>
      </w:r>
      <w:r w:rsidR="00C74D7F">
        <w:rPr>
          <w:lang w:val="en-GB"/>
        </w:rPr>
        <w:t>that</w:t>
      </w:r>
      <w:r w:rsidR="00F23568">
        <w:rPr>
          <w:lang w:val="en-GB"/>
        </w:rPr>
        <w:t xml:space="preserve"> aim at reducing income volatility</w:t>
      </w:r>
      <w:r>
        <w:rPr>
          <w:lang w:val="en-GB"/>
        </w:rPr>
        <w:t xml:space="preserve">. Furthermore, </w:t>
      </w:r>
      <w:r w:rsidR="00F23568">
        <w:rPr>
          <w:lang w:val="en-GB"/>
        </w:rPr>
        <w:t>the particular</w:t>
      </w:r>
      <w:r>
        <w:rPr>
          <w:lang w:val="en-GB"/>
        </w:rPr>
        <w:t xml:space="preserve"> applications </w:t>
      </w:r>
      <w:r w:rsidR="00F23568">
        <w:rPr>
          <w:lang w:val="en-GB"/>
        </w:rPr>
        <w:t xml:space="preserve">of this paper provide consistent evidence </w:t>
      </w:r>
      <w:r w:rsidR="00552B36">
        <w:rPr>
          <w:lang w:val="en-GB"/>
        </w:rPr>
        <w:t>to support public and private efforts pr</w:t>
      </w:r>
      <w:r w:rsidR="00383156">
        <w:rPr>
          <w:lang w:val="en-GB"/>
        </w:rPr>
        <w:t xml:space="preserve">omoting the adoption </w:t>
      </w:r>
      <w:r w:rsidR="00A0386A">
        <w:rPr>
          <w:lang w:val="en-GB"/>
        </w:rPr>
        <w:t>of technologies for</w:t>
      </w:r>
      <w:r>
        <w:rPr>
          <w:lang w:val="en-GB"/>
        </w:rPr>
        <w:t xml:space="preserve"> adaptation to </w:t>
      </w:r>
      <w:r w:rsidR="00A0386A">
        <w:rPr>
          <w:lang w:val="en-GB"/>
        </w:rPr>
        <w:t xml:space="preserve">variability and </w:t>
      </w:r>
      <w:r>
        <w:rPr>
          <w:lang w:val="en-GB"/>
        </w:rPr>
        <w:t>climate change</w:t>
      </w:r>
      <w:r w:rsidR="00F23568">
        <w:rPr>
          <w:lang w:val="en-GB"/>
        </w:rPr>
        <w:t xml:space="preserve"> in Uruguay. </w:t>
      </w:r>
      <w:r w:rsidR="00552B36">
        <w:rPr>
          <w:lang w:val="en-GB"/>
        </w:rPr>
        <w:t xml:space="preserve"> </w:t>
      </w:r>
    </w:p>
    <w:p w14:paraId="5EB5647B" w14:textId="6FDCA0A4" w:rsidR="00766A4A" w:rsidRDefault="00766A4A">
      <w:pPr>
        <w:spacing w:after="200" w:line="276" w:lineRule="auto"/>
        <w:ind w:firstLine="0"/>
        <w:rPr>
          <w:lang w:val="en-GB"/>
        </w:rPr>
      </w:pPr>
      <w:r>
        <w:rPr>
          <w:lang w:val="en-GB"/>
        </w:rPr>
        <w:br w:type="page"/>
      </w:r>
    </w:p>
    <w:p w14:paraId="2217CFF4" w14:textId="77777777" w:rsidR="00766A4A" w:rsidRDefault="00766A4A" w:rsidP="00766A4A">
      <w:pPr>
        <w:spacing w:line="240" w:lineRule="auto"/>
        <w:ind w:left="708" w:hanging="708"/>
        <w:jc w:val="both"/>
        <w:rPr>
          <w:rFonts w:eastAsiaTheme="minorEastAsia"/>
          <w:b/>
          <w:szCs w:val="24"/>
        </w:rPr>
      </w:pPr>
    </w:p>
    <w:p w14:paraId="0691904C" w14:textId="77777777" w:rsidR="00766A4A" w:rsidRDefault="00766A4A" w:rsidP="00766A4A">
      <w:pPr>
        <w:spacing w:line="240" w:lineRule="auto"/>
        <w:ind w:left="708" w:hanging="708"/>
        <w:jc w:val="both"/>
        <w:rPr>
          <w:rFonts w:eastAsiaTheme="minorEastAsia"/>
          <w:b/>
          <w:szCs w:val="24"/>
        </w:rPr>
      </w:pPr>
    </w:p>
    <w:p w14:paraId="1959601F" w14:textId="77777777" w:rsidR="00766A4A" w:rsidRDefault="00766A4A" w:rsidP="00766A4A">
      <w:pPr>
        <w:spacing w:line="240" w:lineRule="auto"/>
        <w:ind w:left="708" w:hanging="708"/>
        <w:jc w:val="both"/>
        <w:rPr>
          <w:rFonts w:eastAsiaTheme="minorEastAsia"/>
          <w:b/>
          <w:szCs w:val="24"/>
        </w:rPr>
      </w:pPr>
    </w:p>
    <w:p w14:paraId="14C934B2" w14:textId="77777777" w:rsidR="00766A4A" w:rsidRDefault="00766A4A" w:rsidP="00766A4A">
      <w:pPr>
        <w:spacing w:line="240" w:lineRule="auto"/>
        <w:ind w:left="708" w:hanging="708"/>
        <w:jc w:val="both"/>
        <w:rPr>
          <w:rFonts w:eastAsiaTheme="minorEastAsia"/>
          <w:b/>
          <w:szCs w:val="24"/>
        </w:rPr>
      </w:pPr>
    </w:p>
    <w:p w14:paraId="05F74352" w14:textId="77777777" w:rsidR="00766A4A" w:rsidRPr="004B3763" w:rsidRDefault="00766A4A" w:rsidP="00766A4A">
      <w:pPr>
        <w:spacing w:line="240" w:lineRule="auto"/>
        <w:ind w:left="708" w:hanging="708"/>
        <w:jc w:val="both"/>
        <w:rPr>
          <w:rFonts w:eastAsiaTheme="minorEastAsia"/>
          <w:b/>
          <w:szCs w:val="24"/>
        </w:rPr>
      </w:pPr>
      <w:r w:rsidRPr="004B3763">
        <w:rPr>
          <w:rFonts w:eastAsiaTheme="minorEastAsia"/>
          <w:b/>
          <w:szCs w:val="24"/>
        </w:rPr>
        <w:t>Figure</w:t>
      </w:r>
      <w:r>
        <w:rPr>
          <w:rFonts w:eastAsiaTheme="minorEastAsia"/>
          <w:b/>
          <w:szCs w:val="24"/>
        </w:rPr>
        <w:t xml:space="preserve"> 1</w:t>
      </w:r>
      <w:r w:rsidRPr="004B3763">
        <w:rPr>
          <w:rFonts w:eastAsiaTheme="minorEastAsia"/>
          <w:b/>
          <w:szCs w:val="24"/>
        </w:rPr>
        <w:t xml:space="preserve">. Probability functions of the </w:t>
      </w:r>
      <w:r>
        <w:rPr>
          <w:rFonts w:eastAsiaTheme="minorEastAsia"/>
          <w:b/>
          <w:szCs w:val="24"/>
        </w:rPr>
        <w:t>profits of both applications.</w:t>
      </w:r>
    </w:p>
    <w:p w14:paraId="79DE4C2B" w14:textId="77777777" w:rsidR="00766A4A" w:rsidRPr="00A24FFE" w:rsidRDefault="00766A4A" w:rsidP="00766A4A">
      <w:pPr>
        <w:spacing w:line="240" w:lineRule="auto"/>
      </w:pPr>
    </w:p>
    <w:p w14:paraId="601D1457" w14:textId="77777777" w:rsidR="00766A4A" w:rsidRPr="00A24FFE" w:rsidRDefault="00766A4A" w:rsidP="00766A4A">
      <w:pPr>
        <w:spacing w:line="240" w:lineRule="auto"/>
        <w:jc w:val="center"/>
      </w:pPr>
      <w:r>
        <w:rPr>
          <w:noProof/>
        </w:rPr>
        <w:drawing>
          <wp:inline distT="0" distB="0" distL="0" distR="0" wp14:anchorId="7BBE4E77" wp14:editId="4ED520F1">
            <wp:extent cx="5469148" cy="4520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0">
                      <a:extLst>
                        <a:ext uri="{28A0092B-C50C-407E-A947-70E740481C1C}">
                          <a14:useLocalDpi xmlns:a14="http://schemas.microsoft.com/office/drawing/2010/main" val="0"/>
                        </a:ext>
                      </a:extLst>
                    </a:blip>
                    <a:srcRect l="9319" r="6805"/>
                    <a:stretch/>
                  </pic:blipFill>
                  <pic:spPr bwMode="auto">
                    <a:xfrm>
                      <a:off x="0" y="0"/>
                      <a:ext cx="5469302" cy="4520963"/>
                    </a:xfrm>
                    <a:prstGeom prst="rect">
                      <a:avLst/>
                    </a:prstGeom>
                    <a:noFill/>
                    <a:ln>
                      <a:noFill/>
                    </a:ln>
                    <a:extLst>
                      <a:ext uri="{53640926-AAD7-44D8-BBD7-CCE9431645EC}">
                        <a14:shadowObscured xmlns:a14="http://schemas.microsoft.com/office/drawing/2010/main"/>
                      </a:ext>
                    </a:extLst>
                  </pic:spPr>
                </pic:pic>
              </a:graphicData>
            </a:graphic>
          </wp:inline>
        </w:drawing>
      </w:r>
    </w:p>
    <w:p w14:paraId="56A23E39" w14:textId="77777777" w:rsidR="00766A4A" w:rsidRPr="00A24FFE" w:rsidRDefault="00766A4A" w:rsidP="00766A4A">
      <w:pPr>
        <w:spacing w:line="240" w:lineRule="auto"/>
      </w:pPr>
    </w:p>
    <w:p w14:paraId="2939EAC6" w14:textId="77777777" w:rsidR="00766A4A" w:rsidRPr="00A24FFE" w:rsidRDefault="00766A4A" w:rsidP="00766A4A">
      <w:pPr>
        <w:spacing w:line="240" w:lineRule="auto"/>
      </w:pPr>
    </w:p>
    <w:p w14:paraId="2DF06E25" w14:textId="77777777" w:rsidR="00766A4A" w:rsidRPr="00A24FFE" w:rsidRDefault="00766A4A" w:rsidP="00766A4A">
      <w:pPr>
        <w:tabs>
          <w:tab w:val="left" w:pos="4937"/>
        </w:tabs>
        <w:rPr>
          <w:lang w:val="es-US"/>
        </w:rPr>
      </w:pPr>
    </w:p>
    <w:p w14:paraId="7E0BAB3C" w14:textId="77777777" w:rsidR="00766A4A" w:rsidRDefault="00766A4A" w:rsidP="00766A4A">
      <w:pPr>
        <w:ind w:firstLine="0"/>
        <w:rPr>
          <w:lang w:val="en-GB"/>
        </w:rPr>
      </w:pPr>
    </w:p>
    <w:p w14:paraId="486257EF" w14:textId="77777777" w:rsidR="00766A4A" w:rsidRPr="00333510" w:rsidRDefault="00766A4A" w:rsidP="00766A4A">
      <w:pPr>
        <w:spacing w:line="240" w:lineRule="auto"/>
        <w:jc w:val="both"/>
        <w:rPr>
          <w:rFonts w:eastAsiaTheme="minorEastAsia"/>
          <w:b/>
          <w:szCs w:val="24"/>
        </w:rPr>
      </w:pPr>
      <w:r w:rsidRPr="00333510">
        <w:rPr>
          <w:rFonts w:eastAsiaTheme="minorEastAsia"/>
          <w:b/>
          <w:szCs w:val="24"/>
        </w:rPr>
        <w:t xml:space="preserve">Table </w:t>
      </w:r>
      <w:r>
        <w:rPr>
          <w:rFonts w:eastAsiaTheme="minorEastAsia"/>
          <w:b/>
          <w:szCs w:val="24"/>
        </w:rPr>
        <w:t>1</w:t>
      </w:r>
      <w:r w:rsidRPr="00333510">
        <w:rPr>
          <w:rFonts w:eastAsiaTheme="minorEastAsia"/>
          <w:b/>
          <w:szCs w:val="24"/>
        </w:rPr>
        <w:t xml:space="preserve">. Value attributed to the use of irrigation with respect to rain-fed systems, for the CARA utility function, </w:t>
      </w:r>
      <w:r>
        <w:rPr>
          <w:rFonts w:eastAsiaTheme="minorEastAsia"/>
          <w:b/>
          <w:szCs w:val="24"/>
        </w:rPr>
        <w:t xml:space="preserve">by </w:t>
      </w:r>
      <w:r w:rsidRPr="00333510">
        <w:rPr>
          <w:rFonts w:eastAsiaTheme="minorEastAsia"/>
          <w:b/>
          <w:szCs w:val="24"/>
        </w:rPr>
        <w:t>risk aversion</w:t>
      </w:r>
      <w:r>
        <w:rPr>
          <w:rFonts w:eastAsiaTheme="minorEastAsia"/>
          <w:b/>
          <w:szCs w:val="24"/>
        </w:rPr>
        <w:t xml:space="preserve"> levels</w:t>
      </w:r>
      <w:r w:rsidRPr="00333510">
        <w:rPr>
          <w:rFonts w:eastAsiaTheme="minorEastAsia"/>
          <w:b/>
          <w:szCs w:val="24"/>
        </w:rPr>
        <w:t xml:space="preserve"> and productive activities. </w:t>
      </w:r>
    </w:p>
    <w:tbl>
      <w:tblPr>
        <w:tblpPr w:leftFromText="141" w:rightFromText="141" w:vertAnchor="text" w:horzAnchor="margin" w:tblpY="188"/>
        <w:tblW w:w="5000" w:type="pct"/>
        <w:tblCellMar>
          <w:left w:w="70" w:type="dxa"/>
          <w:right w:w="70" w:type="dxa"/>
        </w:tblCellMar>
        <w:tblLook w:val="04A0" w:firstRow="1" w:lastRow="0" w:firstColumn="1" w:lastColumn="0" w:noHBand="0" w:noVBand="1"/>
      </w:tblPr>
      <w:tblGrid>
        <w:gridCol w:w="3109"/>
        <w:gridCol w:w="1539"/>
        <w:gridCol w:w="1398"/>
        <w:gridCol w:w="1463"/>
        <w:gridCol w:w="1329"/>
      </w:tblGrid>
      <w:tr w:rsidR="00766A4A" w:rsidRPr="00333510" w14:paraId="72028730" w14:textId="77777777" w:rsidTr="00EC4A67">
        <w:trPr>
          <w:trHeight w:val="377"/>
        </w:trPr>
        <w:tc>
          <w:tcPr>
            <w:tcW w:w="1304" w:type="pct"/>
            <w:tcBorders>
              <w:top w:val="single" w:sz="4" w:space="0" w:color="auto"/>
            </w:tcBorders>
            <w:shd w:val="clear" w:color="auto" w:fill="auto"/>
            <w:noWrap/>
            <w:vAlign w:val="center"/>
          </w:tcPr>
          <w:p w14:paraId="7FD43EEB" w14:textId="77777777" w:rsidR="00766A4A" w:rsidRPr="00333510" w:rsidRDefault="00766A4A" w:rsidP="00EC4A67">
            <w:pPr>
              <w:spacing w:line="240" w:lineRule="auto"/>
              <w:jc w:val="center"/>
              <w:rPr>
                <w:rFonts w:eastAsia="Times New Roman"/>
                <w:i/>
                <w:szCs w:val="24"/>
                <w:lang w:eastAsia="es-MX"/>
              </w:rPr>
            </w:pPr>
            <w:r w:rsidRPr="001B12AF">
              <w:rPr>
                <w:rFonts w:eastAsia="Times New Roman"/>
                <w:b/>
                <w:szCs w:val="24"/>
                <w:lang w:eastAsia="es-MX"/>
              </w:rPr>
              <w:t>Value</w:t>
            </w:r>
          </w:p>
        </w:tc>
        <w:tc>
          <w:tcPr>
            <w:tcW w:w="3696" w:type="pct"/>
            <w:gridSpan w:val="4"/>
            <w:tcBorders>
              <w:top w:val="single" w:sz="4" w:space="0" w:color="auto"/>
            </w:tcBorders>
            <w:vAlign w:val="bottom"/>
          </w:tcPr>
          <w:p w14:paraId="0C7EA813" w14:textId="77777777" w:rsidR="00766A4A" w:rsidRPr="00333510" w:rsidRDefault="00766A4A" w:rsidP="00EC4A67">
            <w:pPr>
              <w:spacing w:line="240" w:lineRule="auto"/>
              <w:jc w:val="center"/>
              <w:rPr>
                <w:b/>
              </w:rPr>
            </w:pPr>
            <w:r>
              <w:rPr>
                <w:rFonts w:eastAsia="Times New Roman"/>
                <w:b/>
                <w:szCs w:val="24"/>
                <w:lang w:eastAsia="es-MX"/>
              </w:rPr>
              <w:t xml:space="preserve">Risk premiums </w:t>
            </w:r>
            <w:r w:rsidRPr="001B12AF">
              <w:rPr>
                <w:rFonts w:eastAsia="Times New Roman"/>
                <w:b/>
                <w:szCs w:val="24"/>
                <w:lang w:eastAsia="es-MX"/>
              </w:rPr>
              <w:t>as a % of the standard deviation of the profits</w:t>
            </w:r>
          </w:p>
        </w:tc>
      </w:tr>
      <w:tr w:rsidR="00766A4A" w:rsidRPr="00333510" w14:paraId="0A5CDD6E" w14:textId="77777777" w:rsidTr="00EC4A67">
        <w:trPr>
          <w:trHeight w:val="377"/>
        </w:trPr>
        <w:tc>
          <w:tcPr>
            <w:tcW w:w="5000" w:type="pct"/>
            <w:gridSpan w:val="5"/>
            <w:tcBorders>
              <w:top w:val="single" w:sz="4" w:space="0" w:color="auto"/>
            </w:tcBorders>
            <w:shd w:val="clear" w:color="auto" w:fill="auto"/>
            <w:noWrap/>
            <w:vAlign w:val="center"/>
          </w:tcPr>
          <w:p w14:paraId="660935AB" w14:textId="77777777" w:rsidR="00766A4A" w:rsidRDefault="00766A4A" w:rsidP="00EC4A67">
            <w:pPr>
              <w:spacing w:line="240" w:lineRule="auto"/>
              <w:jc w:val="center"/>
              <w:rPr>
                <w:rFonts w:eastAsia="Times New Roman"/>
                <w:b/>
                <w:szCs w:val="24"/>
                <w:lang w:eastAsia="es-MX"/>
              </w:rPr>
            </w:pPr>
            <w:r w:rsidRPr="001B12AF">
              <w:rPr>
                <w:rFonts w:eastAsiaTheme="minorEastAsia"/>
                <w:b/>
                <w:i/>
                <w:szCs w:val="24"/>
              </w:rPr>
              <w:t xml:space="preserve">Scenario 1: </w:t>
            </w:r>
            <w:r>
              <w:rPr>
                <w:rFonts w:eastAsiaTheme="minorEastAsia"/>
                <w:b/>
                <w:szCs w:val="24"/>
              </w:rPr>
              <w:t xml:space="preserve">crop only </w:t>
            </w:r>
            <w:r w:rsidRPr="001B12AF">
              <w:rPr>
                <w:rFonts w:eastAsiaTheme="minorEastAsia"/>
                <w:b/>
                <w:szCs w:val="24"/>
              </w:rPr>
              <w:t>-</w:t>
            </w:r>
            <w:r>
              <w:rPr>
                <w:rFonts w:eastAsiaTheme="minorEastAsia"/>
                <w:b/>
                <w:szCs w:val="24"/>
              </w:rPr>
              <w:t xml:space="preserve"> </w:t>
            </w:r>
            <w:r w:rsidRPr="001B12AF">
              <w:rPr>
                <w:rFonts w:eastAsiaTheme="minorEastAsia"/>
                <w:b/>
                <w:szCs w:val="24"/>
              </w:rPr>
              <w:t>high soil aptitude</w:t>
            </w:r>
            <w:r>
              <w:rPr>
                <w:rFonts w:eastAsiaTheme="minorEastAsia"/>
                <w:b/>
                <w:szCs w:val="24"/>
              </w:rPr>
              <w:t xml:space="preserve"> – close to</w:t>
            </w:r>
            <w:r w:rsidRPr="001B12AF">
              <w:rPr>
                <w:rFonts w:eastAsiaTheme="minorEastAsia"/>
                <w:b/>
                <w:szCs w:val="24"/>
              </w:rPr>
              <w:t xml:space="preserve"> the port</w:t>
            </w:r>
          </w:p>
        </w:tc>
      </w:tr>
      <w:tr w:rsidR="00766A4A" w:rsidRPr="00333510" w14:paraId="59E07151" w14:textId="77777777" w:rsidTr="00EC4A67">
        <w:trPr>
          <w:trHeight w:val="377"/>
        </w:trPr>
        <w:tc>
          <w:tcPr>
            <w:tcW w:w="1304" w:type="pct"/>
            <w:tcBorders>
              <w:top w:val="single" w:sz="4" w:space="0" w:color="auto"/>
            </w:tcBorders>
            <w:shd w:val="clear" w:color="auto" w:fill="auto"/>
            <w:noWrap/>
            <w:vAlign w:val="center"/>
          </w:tcPr>
          <w:p w14:paraId="27A7858D" w14:textId="77777777" w:rsidR="00766A4A" w:rsidRPr="001B12AF" w:rsidRDefault="00766A4A" w:rsidP="00EC4A67">
            <w:pPr>
              <w:spacing w:line="240" w:lineRule="auto"/>
              <w:rPr>
                <w:rFonts w:eastAsia="Times New Roman"/>
                <w:i/>
                <w:szCs w:val="24"/>
                <w:lang w:eastAsia="es-MX"/>
              </w:rPr>
            </w:pPr>
          </w:p>
        </w:tc>
        <w:tc>
          <w:tcPr>
            <w:tcW w:w="947" w:type="pct"/>
            <w:tcBorders>
              <w:top w:val="single" w:sz="4" w:space="0" w:color="auto"/>
            </w:tcBorders>
            <w:vAlign w:val="bottom"/>
          </w:tcPr>
          <w:p w14:paraId="60BB3BBA" w14:textId="77777777" w:rsidR="00766A4A" w:rsidRPr="001B12AF" w:rsidRDefault="00766A4A" w:rsidP="00EC4A67">
            <w:pPr>
              <w:spacing w:line="240" w:lineRule="auto"/>
              <w:jc w:val="center"/>
              <w:rPr>
                <w:b/>
                <w:szCs w:val="24"/>
              </w:rPr>
            </w:pPr>
            <w:r w:rsidRPr="001B12AF">
              <w:rPr>
                <w:b/>
              </w:rPr>
              <w:t>0%</w:t>
            </w:r>
          </w:p>
        </w:tc>
        <w:tc>
          <w:tcPr>
            <w:tcW w:w="947" w:type="pct"/>
            <w:tcBorders>
              <w:top w:val="single" w:sz="4" w:space="0" w:color="auto"/>
            </w:tcBorders>
            <w:vAlign w:val="bottom"/>
          </w:tcPr>
          <w:p w14:paraId="09EF2FAE" w14:textId="77777777" w:rsidR="00766A4A" w:rsidRPr="001B12AF" w:rsidRDefault="00766A4A" w:rsidP="00EC4A67">
            <w:pPr>
              <w:spacing w:line="240" w:lineRule="auto"/>
              <w:jc w:val="center"/>
              <w:rPr>
                <w:b/>
                <w:szCs w:val="24"/>
              </w:rPr>
            </w:pPr>
            <w:r w:rsidRPr="001B12AF">
              <w:rPr>
                <w:b/>
              </w:rPr>
              <w:t>19%</w:t>
            </w:r>
          </w:p>
        </w:tc>
        <w:tc>
          <w:tcPr>
            <w:tcW w:w="946" w:type="pct"/>
            <w:tcBorders>
              <w:top w:val="single" w:sz="4" w:space="0" w:color="auto"/>
            </w:tcBorders>
            <w:vAlign w:val="bottom"/>
          </w:tcPr>
          <w:p w14:paraId="3804E946" w14:textId="77777777" w:rsidR="00766A4A" w:rsidRPr="001B12AF" w:rsidRDefault="00766A4A" w:rsidP="00EC4A67">
            <w:pPr>
              <w:spacing w:line="240" w:lineRule="auto"/>
              <w:jc w:val="center"/>
              <w:rPr>
                <w:b/>
                <w:szCs w:val="24"/>
              </w:rPr>
            </w:pPr>
            <w:r w:rsidRPr="001B12AF">
              <w:rPr>
                <w:b/>
              </w:rPr>
              <w:t>28%</w:t>
            </w:r>
          </w:p>
        </w:tc>
        <w:tc>
          <w:tcPr>
            <w:tcW w:w="856" w:type="pct"/>
            <w:tcBorders>
              <w:top w:val="single" w:sz="4" w:space="0" w:color="auto"/>
            </w:tcBorders>
            <w:vAlign w:val="bottom"/>
          </w:tcPr>
          <w:p w14:paraId="2F75EBB6" w14:textId="77777777" w:rsidR="00766A4A" w:rsidRPr="001B12AF" w:rsidRDefault="00766A4A" w:rsidP="00EC4A67">
            <w:pPr>
              <w:spacing w:line="240" w:lineRule="auto"/>
              <w:jc w:val="center"/>
              <w:rPr>
                <w:b/>
                <w:szCs w:val="24"/>
              </w:rPr>
            </w:pPr>
            <w:r w:rsidRPr="001B12AF">
              <w:rPr>
                <w:b/>
              </w:rPr>
              <w:t>37%</w:t>
            </w:r>
          </w:p>
        </w:tc>
      </w:tr>
      <w:tr w:rsidR="00766A4A" w:rsidRPr="00333510" w14:paraId="0A6EE210" w14:textId="77777777" w:rsidTr="00EC4A67">
        <w:trPr>
          <w:trHeight w:val="377"/>
        </w:trPr>
        <w:tc>
          <w:tcPr>
            <w:tcW w:w="1304" w:type="pct"/>
            <w:shd w:val="clear" w:color="auto" w:fill="auto"/>
            <w:noWrap/>
            <w:vAlign w:val="center"/>
          </w:tcPr>
          <w:p w14:paraId="12682637"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Total  additional value</w:t>
            </w:r>
          </w:p>
        </w:tc>
        <w:tc>
          <w:tcPr>
            <w:tcW w:w="947" w:type="pct"/>
            <w:tcBorders>
              <w:top w:val="single" w:sz="4" w:space="0" w:color="auto"/>
            </w:tcBorders>
            <w:vAlign w:val="bottom"/>
          </w:tcPr>
          <w:p w14:paraId="408ED423" w14:textId="77777777" w:rsidR="00766A4A" w:rsidRPr="001B12AF" w:rsidRDefault="00766A4A" w:rsidP="00EC4A67">
            <w:pPr>
              <w:spacing w:line="240" w:lineRule="auto"/>
              <w:jc w:val="center"/>
              <w:rPr>
                <w:szCs w:val="24"/>
              </w:rPr>
            </w:pPr>
            <w:r w:rsidRPr="001B12AF">
              <w:rPr>
                <w:szCs w:val="24"/>
              </w:rPr>
              <w:t>0.53</w:t>
            </w:r>
          </w:p>
        </w:tc>
        <w:tc>
          <w:tcPr>
            <w:tcW w:w="947" w:type="pct"/>
            <w:tcBorders>
              <w:top w:val="single" w:sz="4" w:space="0" w:color="auto"/>
            </w:tcBorders>
            <w:vAlign w:val="bottom"/>
          </w:tcPr>
          <w:p w14:paraId="426D197B" w14:textId="77777777" w:rsidR="00766A4A" w:rsidRPr="001B12AF" w:rsidRDefault="00766A4A" w:rsidP="00EC4A67">
            <w:pPr>
              <w:spacing w:line="240" w:lineRule="auto"/>
              <w:jc w:val="center"/>
              <w:rPr>
                <w:rFonts w:eastAsia="Times New Roman"/>
                <w:b/>
                <w:szCs w:val="24"/>
                <w:lang w:eastAsia="es-MX"/>
              </w:rPr>
            </w:pPr>
            <w:r w:rsidRPr="001B12AF">
              <w:rPr>
                <w:szCs w:val="24"/>
              </w:rPr>
              <w:t>0.57</w:t>
            </w:r>
          </w:p>
        </w:tc>
        <w:tc>
          <w:tcPr>
            <w:tcW w:w="946" w:type="pct"/>
            <w:tcBorders>
              <w:top w:val="single" w:sz="4" w:space="0" w:color="auto"/>
            </w:tcBorders>
            <w:vAlign w:val="bottom"/>
          </w:tcPr>
          <w:p w14:paraId="6E776A8F" w14:textId="77777777" w:rsidR="00766A4A" w:rsidRPr="001B12AF" w:rsidRDefault="00766A4A" w:rsidP="00EC4A67">
            <w:pPr>
              <w:spacing w:line="240" w:lineRule="auto"/>
              <w:jc w:val="center"/>
              <w:rPr>
                <w:rFonts w:eastAsia="Times New Roman"/>
                <w:b/>
                <w:szCs w:val="24"/>
                <w:lang w:eastAsia="es-MX"/>
              </w:rPr>
            </w:pPr>
            <w:r w:rsidRPr="001B12AF">
              <w:rPr>
                <w:szCs w:val="24"/>
              </w:rPr>
              <w:t>0.59</w:t>
            </w:r>
          </w:p>
        </w:tc>
        <w:tc>
          <w:tcPr>
            <w:tcW w:w="856" w:type="pct"/>
            <w:tcBorders>
              <w:top w:val="single" w:sz="4" w:space="0" w:color="auto"/>
            </w:tcBorders>
            <w:vAlign w:val="bottom"/>
          </w:tcPr>
          <w:p w14:paraId="763FD8D9" w14:textId="77777777" w:rsidR="00766A4A" w:rsidRPr="001B12AF" w:rsidRDefault="00766A4A" w:rsidP="00EC4A67">
            <w:pPr>
              <w:spacing w:line="240" w:lineRule="auto"/>
              <w:jc w:val="center"/>
              <w:rPr>
                <w:rFonts w:eastAsia="Times New Roman"/>
                <w:b/>
                <w:szCs w:val="24"/>
                <w:lang w:eastAsia="es-MX"/>
              </w:rPr>
            </w:pPr>
            <w:r w:rsidRPr="001B12AF">
              <w:rPr>
                <w:szCs w:val="24"/>
              </w:rPr>
              <w:t>0.60</w:t>
            </w:r>
          </w:p>
        </w:tc>
      </w:tr>
      <w:tr w:rsidR="00766A4A" w:rsidRPr="00333510" w14:paraId="33261981" w14:textId="77777777" w:rsidTr="00EC4A67">
        <w:trPr>
          <w:trHeight w:val="377"/>
        </w:trPr>
        <w:tc>
          <w:tcPr>
            <w:tcW w:w="1304" w:type="pct"/>
            <w:tcBorders>
              <w:top w:val="single" w:sz="4" w:space="0" w:color="auto"/>
            </w:tcBorders>
            <w:shd w:val="clear" w:color="auto" w:fill="auto"/>
            <w:noWrap/>
            <w:vAlign w:val="center"/>
          </w:tcPr>
          <w:p w14:paraId="5AE34293"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lastRenderedPageBreak/>
              <w:t>Value for higher mean</w:t>
            </w:r>
          </w:p>
        </w:tc>
        <w:tc>
          <w:tcPr>
            <w:tcW w:w="947" w:type="pct"/>
            <w:tcBorders>
              <w:top w:val="single" w:sz="4" w:space="0" w:color="auto"/>
            </w:tcBorders>
            <w:vAlign w:val="bottom"/>
          </w:tcPr>
          <w:p w14:paraId="5B7DD52C" w14:textId="77777777" w:rsidR="00766A4A" w:rsidRPr="001B12AF" w:rsidRDefault="00766A4A" w:rsidP="00EC4A67">
            <w:pPr>
              <w:spacing w:line="240" w:lineRule="auto"/>
              <w:jc w:val="center"/>
              <w:rPr>
                <w:szCs w:val="24"/>
              </w:rPr>
            </w:pPr>
            <w:r w:rsidRPr="00333510">
              <w:rPr>
                <w:szCs w:val="24"/>
              </w:rPr>
              <w:t>~</w:t>
            </w:r>
            <w:r w:rsidRPr="001B12AF">
              <w:rPr>
                <w:szCs w:val="24"/>
              </w:rPr>
              <w:t>0.53</w:t>
            </w:r>
          </w:p>
        </w:tc>
        <w:tc>
          <w:tcPr>
            <w:tcW w:w="947" w:type="pct"/>
            <w:tcBorders>
              <w:top w:val="single" w:sz="4" w:space="0" w:color="auto"/>
            </w:tcBorders>
            <w:vAlign w:val="bottom"/>
          </w:tcPr>
          <w:p w14:paraId="0567D5AD" w14:textId="77777777" w:rsidR="00766A4A" w:rsidRPr="001B12AF" w:rsidRDefault="00766A4A" w:rsidP="00EC4A67">
            <w:pPr>
              <w:spacing w:line="240" w:lineRule="auto"/>
              <w:jc w:val="center"/>
              <w:rPr>
                <w:rFonts w:eastAsia="Times New Roman"/>
                <w:b/>
                <w:szCs w:val="24"/>
                <w:lang w:eastAsia="es-MX"/>
              </w:rPr>
            </w:pPr>
            <w:r w:rsidRPr="001B12AF">
              <w:rPr>
                <w:szCs w:val="24"/>
              </w:rPr>
              <w:t>0.43</w:t>
            </w:r>
          </w:p>
        </w:tc>
        <w:tc>
          <w:tcPr>
            <w:tcW w:w="946" w:type="pct"/>
            <w:tcBorders>
              <w:top w:val="single" w:sz="4" w:space="0" w:color="auto"/>
            </w:tcBorders>
            <w:vAlign w:val="bottom"/>
          </w:tcPr>
          <w:p w14:paraId="7B7CF568" w14:textId="77777777" w:rsidR="00766A4A" w:rsidRPr="001B12AF" w:rsidRDefault="00766A4A" w:rsidP="00EC4A67">
            <w:pPr>
              <w:spacing w:line="240" w:lineRule="auto"/>
              <w:jc w:val="center"/>
              <w:rPr>
                <w:rFonts w:eastAsia="Times New Roman"/>
                <w:b/>
                <w:szCs w:val="24"/>
                <w:lang w:eastAsia="es-MX"/>
              </w:rPr>
            </w:pPr>
            <w:r w:rsidRPr="001B12AF">
              <w:rPr>
                <w:szCs w:val="24"/>
              </w:rPr>
              <w:t>0.38</w:t>
            </w:r>
          </w:p>
        </w:tc>
        <w:tc>
          <w:tcPr>
            <w:tcW w:w="856" w:type="pct"/>
            <w:tcBorders>
              <w:top w:val="single" w:sz="4" w:space="0" w:color="auto"/>
            </w:tcBorders>
            <w:vAlign w:val="bottom"/>
          </w:tcPr>
          <w:p w14:paraId="03DF9364" w14:textId="77777777" w:rsidR="00766A4A" w:rsidRPr="001B12AF" w:rsidRDefault="00766A4A" w:rsidP="00EC4A67">
            <w:pPr>
              <w:spacing w:line="240" w:lineRule="auto"/>
              <w:jc w:val="center"/>
              <w:rPr>
                <w:rFonts w:eastAsia="Times New Roman"/>
                <w:b/>
                <w:szCs w:val="24"/>
                <w:lang w:eastAsia="es-MX"/>
              </w:rPr>
            </w:pPr>
            <w:r w:rsidRPr="001B12AF">
              <w:rPr>
                <w:szCs w:val="24"/>
              </w:rPr>
              <w:t>0.36</w:t>
            </w:r>
          </w:p>
        </w:tc>
      </w:tr>
      <w:tr w:rsidR="00766A4A" w:rsidRPr="00333510" w14:paraId="6D03BEEC" w14:textId="77777777" w:rsidTr="00EC4A67">
        <w:trPr>
          <w:trHeight w:val="377"/>
        </w:trPr>
        <w:tc>
          <w:tcPr>
            <w:tcW w:w="1304" w:type="pct"/>
            <w:tcBorders>
              <w:top w:val="single" w:sz="4" w:space="0" w:color="auto"/>
            </w:tcBorders>
            <w:shd w:val="clear" w:color="auto" w:fill="auto"/>
            <w:noWrap/>
            <w:vAlign w:val="center"/>
          </w:tcPr>
          <w:p w14:paraId="57AD29DA"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less volatility</w:t>
            </w:r>
          </w:p>
        </w:tc>
        <w:tc>
          <w:tcPr>
            <w:tcW w:w="947" w:type="pct"/>
            <w:tcBorders>
              <w:top w:val="single" w:sz="4" w:space="0" w:color="auto"/>
            </w:tcBorders>
            <w:vAlign w:val="bottom"/>
          </w:tcPr>
          <w:p w14:paraId="292B6EAE" w14:textId="77777777" w:rsidR="00766A4A" w:rsidRPr="001B12AF" w:rsidRDefault="00766A4A" w:rsidP="00EC4A67">
            <w:pPr>
              <w:spacing w:line="240" w:lineRule="auto"/>
              <w:jc w:val="center"/>
              <w:rPr>
                <w:szCs w:val="24"/>
              </w:rPr>
            </w:pPr>
            <w:r w:rsidRPr="00333510">
              <w:rPr>
                <w:szCs w:val="24"/>
              </w:rPr>
              <w:t>~0</w:t>
            </w:r>
          </w:p>
        </w:tc>
        <w:tc>
          <w:tcPr>
            <w:tcW w:w="947" w:type="pct"/>
            <w:tcBorders>
              <w:top w:val="single" w:sz="4" w:space="0" w:color="auto"/>
            </w:tcBorders>
            <w:vAlign w:val="bottom"/>
          </w:tcPr>
          <w:p w14:paraId="0241E4ED" w14:textId="77777777" w:rsidR="00766A4A" w:rsidRPr="001B12AF" w:rsidRDefault="00766A4A" w:rsidP="00EC4A67">
            <w:pPr>
              <w:spacing w:line="240" w:lineRule="auto"/>
              <w:jc w:val="center"/>
              <w:rPr>
                <w:rFonts w:eastAsia="Times New Roman"/>
                <w:b/>
                <w:szCs w:val="24"/>
                <w:lang w:eastAsia="es-MX"/>
              </w:rPr>
            </w:pPr>
            <w:r w:rsidRPr="001B12AF">
              <w:rPr>
                <w:szCs w:val="24"/>
              </w:rPr>
              <w:t>0.13</w:t>
            </w:r>
          </w:p>
        </w:tc>
        <w:tc>
          <w:tcPr>
            <w:tcW w:w="946" w:type="pct"/>
            <w:tcBorders>
              <w:top w:val="single" w:sz="4" w:space="0" w:color="auto"/>
            </w:tcBorders>
            <w:vAlign w:val="bottom"/>
          </w:tcPr>
          <w:p w14:paraId="34F8182A" w14:textId="77777777" w:rsidR="00766A4A" w:rsidRPr="001B12AF" w:rsidRDefault="00766A4A" w:rsidP="00EC4A67">
            <w:pPr>
              <w:spacing w:line="240" w:lineRule="auto"/>
              <w:jc w:val="center"/>
              <w:rPr>
                <w:rFonts w:eastAsia="Times New Roman"/>
                <w:b/>
                <w:szCs w:val="24"/>
                <w:lang w:eastAsia="es-MX"/>
              </w:rPr>
            </w:pPr>
            <w:r w:rsidRPr="001B12AF">
              <w:rPr>
                <w:szCs w:val="24"/>
              </w:rPr>
              <w:t>0.20</w:t>
            </w:r>
          </w:p>
        </w:tc>
        <w:tc>
          <w:tcPr>
            <w:tcW w:w="856" w:type="pct"/>
            <w:tcBorders>
              <w:top w:val="single" w:sz="4" w:space="0" w:color="auto"/>
            </w:tcBorders>
            <w:vAlign w:val="bottom"/>
          </w:tcPr>
          <w:p w14:paraId="2CC3C25A" w14:textId="77777777" w:rsidR="00766A4A" w:rsidRPr="001B12AF" w:rsidRDefault="00766A4A" w:rsidP="00EC4A67">
            <w:pPr>
              <w:spacing w:line="240" w:lineRule="auto"/>
              <w:jc w:val="center"/>
              <w:rPr>
                <w:rFonts w:eastAsia="Times New Roman"/>
                <w:b/>
                <w:szCs w:val="24"/>
                <w:lang w:eastAsia="es-MX"/>
              </w:rPr>
            </w:pPr>
            <w:r w:rsidRPr="001B12AF">
              <w:rPr>
                <w:szCs w:val="24"/>
              </w:rPr>
              <w:t>0.24</w:t>
            </w:r>
          </w:p>
        </w:tc>
      </w:tr>
      <w:tr w:rsidR="00766A4A" w:rsidRPr="00333510" w14:paraId="786328B1" w14:textId="77777777" w:rsidTr="00EC4A67">
        <w:trPr>
          <w:trHeight w:val="377"/>
        </w:trPr>
        <w:tc>
          <w:tcPr>
            <w:tcW w:w="1304" w:type="pct"/>
            <w:tcBorders>
              <w:top w:val="single" w:sz="4" w:space="0" w:color="auto"/>
            </w:tcBorders>
            <w:shd w:val="clear" w:color="auto" w:fill="auto"/>
            <w:noWrap/>
            <w:vAlign w:val="center"/>
          </w:tcPr>
          <w:p w14:paraId="43C067D5"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mean</m:t>
                    </m:r>
                  </m:num>
                  <m:den>
                    <m:r>
                      <w:rPr>
                        <w:rFonts w:ascii="Cambria Math" w:eastAsia="Times New Roman" w:hAnsi="Cambria Math"/>
                        <w:sz w:val="20"/>
                        <w:szCs w:val="24"/>
                        <w:lang w:eastAsia="es-MX"/>
                      </w:rPr>
                      <m:t>total</m:t>
                    </m:r>
                  </m:den>
                </m:f>
              </m:oMath>
            </m:oMathPara>
          </w:p>
        </w:tc>
        <w:tc>
          <w:tcPr>
            <w:tcW w:w="947" w:type="pct"/>
            <w:tcBorders>
              <w:top w:val="single" w:sz="4" w:space="0" w:color="auto"/>
            </w:tcBorders>
            <w:vAlign w:val="bottom"/>
          </w:tcPr>
          <w:p w14:paraId="475C3936" w14:textId="77777777" w:rsidR="00766A4A" w:rsidRPr="001B12AF" w:rsidRDefault="00766A4A" w:rsidP="00EC4A67">
            <w:pPr>
              <w:spacing w:line="240" w:lineRule="auto"/>
              <w:jc w:val="center"/>
              <w:rPr>
                <w:szCs w:val="24"/>
              </w:rPr>
            </w:pPr>
            <w:r>
              <w:rPr>
                <w:szCs w:val="24"/>
              </w:rPr>
              <w:t>~</w:t>
            </w:r>
            <w:r w:rsidRPr="001B12AF">
              <w:rPr>
                <w:szCs w:val="24"/>
              </w:rPr>
              <w:t>100%</w:t>
            </w:r>
          </w:p>
        </w:tc>
        <w:tc>
          <w:tcPr>
            <w:tcW w:w="947" w:type="pct"/>
            <w:tcBorders>
              <w:top w:val="single" w:sz="4" w:space="0" w:color="auto"/>
            </w:tcBorders>
            <w:vAlign w:val="bottom"/>
          </w:tcPr>
          <w:p w14:paraId="380B967F" w14:textId="77777777" w:rsidR="00766A4A" w:rsidRPr="001B12AF" w:rsidRDefault="00766A4A" w:rsidP="00EC4A67">
            <w:pPr>
              <w:spacing w:line="240" w:lineRule="auto"/>
              <w:jc w:val="center"/>
              <w:rPr>
                <w:rFonts w:eastAsia="Times New Roman"/>
                <w:szCs w:val="24"/>
                <w:lang w:eastAsia="es-MX"/>
              </w:rPr>
            </w:pPr>
            <w:r w:rsidRPr="001B12AF">
              <w:rPr>
                <w:szCs w:val="24"/>
              </w:rPr>
              <w:t>77%</w:t>
            </w:r>
          </w:p>
        </w:tc>
        <w:tc>
          <w:tcPr>
            <w:tcW w:w="946" w:type="pct"/>
            <w:tcBorders>
              <w:top w:val="single" w:sz="4" w:space="0" w:color="auto"/>
            </w:tcBorders>
            <w:vAlign w:val="bottom"/>
          </w:tcPr>
          <w:p w14:paraId="2F9963B9" w14:textId="77777777" w:rsidR="00766A4A" w:rsidRPr="001B12AF" w:rsidRDefault="00766A4A" w:rsidP="00EC4A67">
            <w:pPr>
              <w:spacing w:line="240" w:lineRule="auto"/>
              <w:jc w:val="center"/>
              <w:rPr>
                <w:rFonts w:eastAsia="Times New Roman"/>
                <w:szCs w:val="24"/>
                <w:lang w:eastAsia="es-MX"/>
              </w:rPr>
            </w:pPr>
            <w:r w:rsidRPr="001B12AF">
              <w:rPr>
                <w:szCs w:val="24"/>
              </w:rPr>
              <w:t>65%</w:t>
            </w:r>
          </w:p>
        </w:tc>
        <w:tc>
          <w:tcPr>
            <w:tcW w:w="856" w:type="pct"/>
            <w:tcBorders>
              <w:top w:val="single" w:sz="4" w:space="0" w:color="auto"/>
            </w:tcBorders>
            <w:vAlign w:val="bottom"/>
          </w:tcPr>
          <w:p w14:paraId="2A938507" w14:textId="77777777" w:rsidR="00766A4A" w:rsidRPr="001B12AF" w:rsidRDefault="00766A4A" w:rsidP="00EC4A67">
            <w:pPr>
              <w:spacing w:line="240" w:lineRule="auto"/>
              <w:jc w:val="center"/>
              <w:rPr>
                <w:rFonts w:eastAsia="Times New Roman"/>
                <w:szCs w:val="24"/>
                <w:lang w:eastAsia="es-MX"/>
              </w:rPr>
            </w:pPr>
            <w:r w:rsidRPr="001B12AF">
              <w:rPr>
                <w:szCs w:val="24"/>
              </w:rPr>
              <w:t>61%</w:t>
            </w:r>
          </w:p>
        </w:tc>
      </w:tr>
      <w:tr w:rsidR="00766A4A" w:rsidRPr="00333510" w14:paraId="39CBA148" w14:textId="77777777" w:rsidTr="00EC4A67">
        <w:trPr>
          <w:trHeight w:val="377"/>
        </w:trPr>
        <w:tc>
          <w:tcPr>
            <w:tcW w:w="1304" w:type="pct"/>
            <w:tcBorders>
              <w:top w:val="single" w:sz="4" w:space="0" w:color="auto"/>
            </w:tcBorders>
            <w:shd w:val="clear" w:color="auto" w:fill="auto"/>
            <w:noWrap/>
            <w:vAlign w:val="center"/>
          </w:tcPr>
          <w:p w14:paraId="0F1D15A0"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volat</m:t>
                    </m:r>
                  </m:num>
                  <m:den>
                    <m:r>
                      <w:rPr>
                        <w:rFonts w:ascii="Cambria Math" w:eastAsia="Times New Roman" w:hAnsi="Cambria Math"/>
                        <w:sz w:val="20"/>
                        <w:szCs w:val="24"/>
                        <w:lang w:eastAsia="es-MX"/>
                      </w:rPr>
                      <m:t>total</m:t>
                    </m:r>
                  </m:den>
                </m:f>
              </m:oMath>
            </m:oMathPara>
          </w:p>
        </w:tc>
        <w:tc>
          <w:tcPr>
            <w:tcW w:w="947" w:type="pct"/>
            <w:tcBorders>
              <w:top w:val="single" w:sz="4" w:space="0" w:color="auto"/>
            </w:tcBorders>
            <w:vAlign w:val="bottom"/>
          </w:tcPr>
          <w:p w14:paraId="69D35066" w14:textId="77777777" w:rsidR="00766A4A" w:rsidRPr="001B12AF" w:rsidRDefault="00766A4A" w:rsidP="00EC4A67">
            <w:pPr>
              <w:spacing w:line="240" w:lineRule="auto"/>
              <w:jc w:val="center"/>
              <w:rPr>
                <w:szCs w:val="24"/>
              </w:rPr>
            </w:pPr>
            <w:r w:rsidRPr="00333510">
              <w:rPr>
                <w:szCs w:val="24"/>
              </w:rPr>
              <w:t>~0%</w:t>
            </w:r>
          </w:p>
        </w:tc>
        <w:tc>
          <w:tcPr>
            <w:tcW w:w="947" w:type="pct"/>
            <w:tcBorders>
              <w:top w:val="single" w:sz="4" w:space="0" w:color="auto"/>
            </w:tcBorders>
            <w:vAlign w:val="bottom"/>
          </w:tcPr>
          <w:p w14:paraId="6AC03883" w14:textId="77777777" w:rsidR="00766A4A" w:rsidRPr="001B12AF" w:rsidRDefault="00766A4A" w:rsidP="00EC4A67">
            <w:pPr>
              <w:spacing w:line="240" w:lineRule="auto"/>
              <w:jc w:val="center"/>
              <w:rPr>
                <w:rFonts w:eastAsia="Times New Roman"/>
                <w:szCs w:val="24"/>
                <w:lang w:eastAsia="es-MX"/>
              </w:rPr>
            </w:pPr>
            <w:r w:rsidRPr="001B12AF">
              <w:rPr>
                <w:szCs w:val="24"/>
              </w:rPr>
              <w:t>23%</w:t>
            </w:r>
          </w:p>
        </w:tc>
        <w:tc>
          <w:tcPr>
            <w:tcW w:w="946" w:type="pct"/>
            <w:tcBorders>
              <w:top w:val="single" w:sz="4" w:space="0" w:color="auto"/>
            </w:tcBorders>
            <w:vAlign w:val="bottom"/>
          </w:tcPr>
          <w:p w14:paraId="6B44E329" w14:textId="77777777" w:rsidR="00766A4A" w:rsidRPr="001B12AF" w:rsidRDefault="00766A4A" w:rsidP="00EC4A67">
            <w:pPr>
              <w:spacing w:line="240" w:lineRule="auto"/>
              <w:jc w:val="center"/>
              <w:rPr>
                <w:rFonts w:eastAsia="Times New Roman"/>
                <w:szCs w:val="24"/>
                <w:lang w:eastAsia="es-MX"/>
              </w:rPr>
            </w:pPr>
            <w:r w:rsidRPr="001B12AF">
              <w:rPr>
                <w:szCs w:val="24"/>
              </w:rPr>
              <w:t>35%</w:t>
            </w:r>
          </w:p>
        </w:tc>
        <w:tc>
          <w:tcPr>
            <w:tcW w:w="856" w:type="pct"/>
            <w:tcBorders>
              <w:top w:val="single" w:sz="4" w:space="0" w:color="auto"/>
            </w:tcBorders>
            <w:vAlign w:val="bottom"/>
          </w:tcPr>
          <w:p w14:paraId="4CCB9979" w14:textId="77777777" w:rsidR="00766A4A" w:rsidRPr="001B12AF" w:rsidRDefault="00766A4A" w:rsidP="00EC4A67">
            <w:pPr>
              <w:spacing w:line="240" w:lineRule="auto"/>
              <w:jc w:val="center"/>
              <w:rPr>
                <w:rFonts w:eastAsia="Times New Roman"/>
                <w:szCs w:val="24"/>
                <w:lang w:eastAsia="es-MX"/>
              </w:rPr>
            </w:pPr>
            <w:r w:rsidRPr="001B12AF">
              <w:rPr>
                <w:szCs w:val="24"/>
              </w:rPr>
              <w:t>39%</w:t>
            </w:r>
          </w:p>
        </w:tc>
      </w:tr>
      <w:tr w:rsidR="00766A4A" w:rsidRPr="00333510" w14:paraId="4946D8FE" w14:textId="77777777" w:rsidTr="00EC4A67">
        <w:trPr>
          <w:trHeight w:val="280"/>
        </w:trPr>
        <w:tc>
          <w:tcPr>
            <w:tcW w:w="5000" w:type="pct"/>
            <w:gridSpan w:val="5"/>
            <w:tcBorders>
              <w:top w:val="single" w:sz="4" w:space="0" w:color="auto"/>
            </w:tcBorders>
            <w:shd w:val="clear" w:color="auto" w:fill="auto"/>
            <w:noWrap/>
            <w:vAlign w:val="center"/>
          </w:tcPr>
          <w:p w14:paraId="53F71754" w14:textId="77777777" w:rsidR="00766A4A" w:rsidRPr="00536297" w:rsidRDefault="00766A4A" w:rsidP="00EC4A67">
            <w:pPr>
              <w:spacing w:line="240" w:lineRule="auto"/>
              <w:jc w:val="center"/>
              <w:rPr>
                <w:rFonts w:eastAsiaTheme="minorEastAsia"/>
                <w:b/>
                <w:szCs w:val="24"/>
              </w:rPr>
            </w:pPr>
            <w:r w:rsidRPr="00333510">
              <w:rPr>
                <w:rFonts w:eastAsiaTheme="minorEastAsia"/>
                <w:b/>
                <w:i/>
                <w:szCs w:val="24"/>
              </w:rPr>
              <w:t xml:space="preserve">Scenario </w:t>
            </w:r>
            <w:r>
              <w:rPr>
                <w:rFonts w:eastAsia="Times New Roman"/>
                <w:b/>
                <w:i/>
                <w:szCs w:val="24"/>
                <w:lang w:eastAsia="es-MX"/>
              </w:rPr>
              <w:t>2</w:t>
            </w:r>
            <w:r w:rsidRPr="00333510">
              <w:rPr>
                <w:rFonts w:eastAsia="Times New Roman"/>
                <w:b/>
                <w:i/>
                <w:szCs w:val="24"/>
                <w:lang w:eastAsia="es-MX"/>
              </w:rPr>
              <w:t>:</w:t>
            </w:r>
            <w:r w:rsidRPr="00333510">
              <w:rPr>
                <w:rFonts w:eastAsia="Times New Roman"/>
                <w:b/>
                <w:szCs w:val="24"/>
                <w:lang w:eastAsia="es-MX"/>
              </w:rPr>
              <w:t xml:space="preserve"> livestock &amp; crop</w:t>
            </w:r>
            <w:r>
              <w:rPr>
                <w:rFonts w:eastAsia="Times New Roman"/>
                <w:b/>
                <w:szCs w:val="24"/>
                <w:lang w:eastAsia="es-MX"/>
              </w:rPr>
              <w:t xml:space="preserve"> – high </w:t>
            </w:r>
            <w:r w:rsidRPr="00333510">
              <w:rPr>
                <w:rFonts w:eastAsia="Times New Roman"/>
                <w:b/>
                <w:szCs w:val="24"/>
                <w:lang w:eastAsia="es-MX"/>
              </w:rPr>
              <w:t xml:space="preserve">soil </w:t>
            </w:r>
            <w:r>
              <w:rPr>
                <w:rFonts w:eastAsia="Times New Roman"/>
                <w:b/>
                <w:szCs w:val="24"/>
                <w:lang w:eastAsia="es-MX"/>
              </w:rPr>
              <w:t xml:space="preserve">aptitude </w:t>
            </w:r>
            <w:r w:rsidRPr="00333510">
              <w:rPr>
                <w:rFonts w:eastAsia="Times New Roman"/>
                <w:b/>
                <w:szCs w:val="24"/>
                <w:lang w:eastAsia="es-MX"/>
              </w:rPr>
              <w:t>- close to the port</w:t>
            </w:r>
          </w:p>
        </w:tc>
      </w:tr>
      <w:tr w:rsidR="00766A4A" w:rsidRPr="00333510" w14:paraId="03FE703F" w14:textId="77777777" w:rsidTr="00EC4A67">
        <w:trPr>
          <w:trHeight w:val="377"/>
        </w:trPr>
        <w:tc>
          <w:tcPr>
            <w:tcW w:w="1304" w:type="pct"/>
            <w:tcBorders>
              <w:top w:val="single" w:sz="4" w:space="0" w:color="auto"/>
            </w:tcBorders>
            <w:shd w:val="clear" w:color="auto" w:fill="auto"/>
            <w:noWrap/>
            <w:vAlign w:val="center"/>
          </w:tcPr>
          <w:p w14:paraId="3DFF5C32" w14:textId="77777777" w:rsidR="00766A4A" w:rsidRPr="00333510" w:rsidRDefault="00766A4A" w:rsidP="00EC4A67">
            <w:pPr>
              <w:spacing w:line="240" w:lineRule="auto"/>
              <w:rPr>
                <w:rFonts w:eastAsia="Times New Roman"/>
                <w:i/>
                <w:szCs w:val="24"/>
                <w:lang w:eastAsia="es-MX"/>
              </w:rPr>
            </w:pPr>
          </w:p>
        </w:tc>
        <w:tc>
          <w:tcPr>
            <w:tcW w:w="947" w:type="pct"/>
            <w:tcBorders>
              <w:top w:val="single" w:sz="4" w:space="0" w:color="auto"/>
            </w:tcBorders>
            <w:vAlign w:val="bottom"/>
          </w:tcPr>
          <w:p w14:paraId="0880AE6D" w14:textId="77777777" w:rsidR="00766A4A" w:rsidRPr="00333510" w:rsidRDefault="00766A4A" w:rsidP="00EC4A67">
            <w:pPr>
              <w:spacing w:line="240" w:lineRule="auto"/>
              <w:jc w:val="center"/>
              <w:rPr>
                <w:b/>
              </w:rPr>
            </w:pPr>
            <w:r w:rsidRPr="00333510">
              <w:rPr>
                <w:b/>
              </w:rPr>
              <w:t>0%</w:t>
            </w:r>
          </w:p>
        </w:tc>
        <w:tc>
          <w:tcPr>
            <w:tcW w:w="947" w:type="pct"/>
            <w:tcBorders>
              <w:top w:val="single" w:sz="4" w:space="0" w:color="auto"/>
            </w:tcBorders>
            <w:vAlign w:val="bottom"/>
          </w:tcPr>
          <w:p w14:paraId="4BB05148" w14:textId="77777777" w:rsidR="00766A4A" w:rsidRPr="00333510" w:rsidRDefault="00766A4A" w:rsidP="00EC4A67">
            <w:pPr>
              <w:spacing w:line="240" w:lineRule="auto"/>
              <w:jc w:val="center"/>
              <w:rPr>
                <w:b/>
              </w:rPr>
            </w:pPr>
            <w:r w:rsidRPr="00333510">
              <w:rPr>
                <w:b/>
              </w:rPr>
              <w:t>17%</w:t>
            </w:r>
          </w:p>
        </w:tc>
        <w:tc>
          <w:tcPr>
            <w:tcW w:w="946" w:type="pct"/>
            <w:tcBorders>
              <w:top w:val="single" w:sz="4" w:space="0" w:color="auto"/>
            </w:tcBorders>
            <w:vAlign w:val="bottom"/>
          </w:tcPr>
          <w:p w14:paraId="462B0E26" w14:textId="77777777" w:rsidR="00766A4A" w:rsidRPr="00333510" w:rsidRDefault="00766A4A" w:rsidP="00EC4A67">
            <w:pPr>
              <w:spacing w:line="240" w:lineRule="auto"/>
              <w:jc w:val="center"/>
              <w:rPr>
                <w:b/>
              </w:rPr>
            </w:pPr>
            <w:r w:rsidRPr="00333510">
              <w:rPr>
                <w:b/>
              </w:rPr>
              <w:t>25%</w:t>
            </w:r>
          </w:p>
        </w:tc>
        <w:tc>
          <w:tcPr>
            <w:tcW w:w="856" w:type="pct"/>
            <w:tcBorders>
              <w:top w:val="single" w:sz="4" w:space="0" w:color="auto"/>
            </w:tcBorders>
            <w:vAlign w:val="bottom"/>
          </w:tcPr>
          <w:p w14:paraId="7CCA9D38" w14:textId="77777777" w:rsidR="00766A4A" w:rsidRPr="00333510" w:rsidRDefault="00766A4A" w:rsidP="00EC4A67">
            <w:pPr>
              <w:spacing w:line="240" w:lineRule="auto"/>
              <w:jc w:val="center"/>
              <w:rPr>
                <w:b/>
              </w:rPr>
            </w:pPr>
            <w:r w:rsidRPr="00333510">
              <w:rPr>
                <w:b/>
              </w:rPr>
              <w:t>33%</w:t>
            </w:r>
          </w:p>
        </w:tc>
      </w:tr>
      <w:tr w:rsidR="00766A4A" w:rsidRPr="00333510" w14:paraId="59BAC362" w14:textId="77777777" w:rsidTr="00EC4A67">
        <w:trPr>
          <w:trHeight w:val="377"/>
        </w:trPr>
        <w:tc>
          <w:tcPr>
            <w:tcW w:w="1304" w:type="pct"/>
            <w:shd w:val="clear" w:color="auto" w:fill="auto"/>
            <w:noWrap/>
            <w:vAlign w:val="center"/>
            <w:hideMark/>
          </w:tcPr>
          <w:p w14:paraId="5324E0F3"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Total  additional value</w:t>
            </w:r>
          </w:p>
        </w:tc>
        <w:tc>
          <w:tcPr>
            <w:tcW w:w="947" w:type="pct"/>
            <w:tcBorders>
              <w:top w:val="single" w:sz="4" w:space="0" w:color="auto"/>
            </w:tcBorders>
            <w:vAlign w:val="center"/>
          </w:tcPr>
          <w:p w14:paraId="48D6AFBB" w14:textId="77777777" w:rsidR="00766A4A" w:rsidRPr="00333510" w:rsidRDefault="00766A4A" w:rsidP="00EC4A67">
            <w:pPr>
              <w:spacing w:line="240" w:lineRule="auto"/>
              <w:jc w:val="center"/>
              <w:rPr>
                <w:szCs w:val="24"/>
              </w:rPr>
            </w:pPr>
            <w:r w:rsidRPr="00333510">
              <w:rPr>
                <w:szCs w:val="24"/>
              </w:rPr>
              <w:t>0.69</w:t>
            </w:r>
          </w:p>
        </w:tc>
        <w:tc>
          <w:tcPr>
            <w:tcW w:w="947" w:type="pct"/>
            <w:tcBorders>
              <w:top w:val="single" w:sz="4" w:space="0" w:color="auto"/>
            </w:tcBorders>
            <w:vAlign w:val="bottom"/>
          </w:tcPr>
          <w:p w14:paraId="6F207086" w14:textId="77777777" w:rsidR="00766A4A" w:rsidRPr="00333510" w:rsidRDefault="00766A4A" w:rsidP="00EC4A67">
            <w:pPr>
              <w:spacing w:line="240" w:lineRule="auto"/>
              <w:jc w:val="center"/>
              <w:rPr>
                <w:szCs w:val="24"/>
              </w:rPr>
            </w:pPr>
            <w:r w:rsidRPr="00333510">
              <w:rPr>
                <w:szCs w:val="24"/>
              </w:rPr>
              <w:t>0.73</w:t>
            </w:r>
          </w:p>
        </w:tc>
        <w:tc>
          <w:tcPr>
            <w:tcW w:w="946" w:type="pct"/>
            <w:tcBorders>
              <w:top w:val="single" w:sz="4" w:space="0" w:color="auto"/>
            </w:tcBorders>
            <w:vAlign w:val="bottom"/>
          </w:tcPr>
          <w:p w14:paraId="4A89AB7B" w14:textId="77777777" w:rsidR="00766A4A" w:rsidRPr="00333510" w:rsidRDefault="00766A4A" w:rsidP="00EC4A67">
            <w:pPr>
              <w:spacing w:line="240" w:lineRule="auto"/>
              <w:jc w:val="center"/>
              <w:rPr>
                <w:szCs w:val="24"/>
              </w:rPr>
            </w:pPr>
            <w:r w:rsidRPr="00333510">
              <w:rPr>
                <w:szCs w:val="24"/>
              </w:rPr>
              <w:t>0.75</w:t>
            </w:r>
          </w:p>
        </w:tc>
        <w:tc>
          <w:tcPr>
            <w:tcW w:w="856" w:type="pct"/>
            <w:tcBorders>
              <w:top w:val="single" w:sz="4" w:space="0" w:color="auto"/>
            </w:tcBorders>
            <w:vAlign w:val="bottom"/>
          </w:tcPr>
          <w:p w14:paraId="1E846F9E" w14:textId="77777777" w:rsidR="00766A4A" w:rsidRPr="00333510" w:rsidRDefault="00766A4A" w:rsidP="00EC4A67">
            <w:pPr>
              <w:spacing w:line="240" w:lineRule="auto"/>
              <w:jc w:val="center"/>
              <w:rPr>
                <w:szCs w:val="24"/>
              </w:rPr>
            </w:pPr>
            <w:r w:rsidRPr="00333510">
              <w:rPr>
                <w:szCs w:val="24"/>
              </w:rPr>
              <w:t>0.75</w:t>
            </w:r>
          </w:p>
        </w:tc>
      </w:tr>
      <w:tr w:rsidR="00766A4A" w:rsidRPr="00333510" w14:paraId="1A5BF919" w14:textId="77777777" w:rsidTr="00EC4A67">
        <w:trPr>
          <w:trHeight w:val="377"/>
        </w:trPr>
        <w:tc>
          <w:tcPr>
            <w:tcW w:w="1304" w:type="pct"/>
            <w:shd w:val="clear" w:color="auto" w:fill="auto"/>
            <w:noWrap/>
            <w:vAlign w:val="center"/>
            <w:hideMark/>
          </w:tcPr>
          <w:p w14:paraId="6CE66F46"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higher mean</w:t>
            </w:r>
          </w:p>
        </w:tc>
        <w:tc>
          <w:tcPr>
            <w:tcW w:w="947" w:type="pct"/>
            <w:vAlign w:val="center"/>
          </w:tcPr>
          <w:p w14:paraId="5F47C71D" w14:textId="77777777" w:rsidR="00766A4A" w:rsidRPr="00333510" w:rsidRDefault="00766A4A" w:rsidP="00EC4A67">
            <w:pPr>
              <w:spacing w:line="240" w:lineRule="auto"/>
              <w:jc w:val="center"/>
              <w:rPr>
                <w:szCs w:val="24"/>
              </w:rPr>
            </w:pPr>
            <w:r w:rsidRPr="00333510">
              <w:rPr>
                <w:szCs w:val="24"/>
              </w:rPr>
              <w:t>~0.71</w:t>
            </w:r>
          </w:p>
        </w:tc>
        <w:tc>
          <w:tcPr>
            <w:tcW w:w="947" w:type="pct"/>
            <w:vAlign w:val="bottom"/>
          </w:tcPr>
          <w:p w14:paraId="5FAE98F2" w14:textId="77777777" w:rsidR="00766A4A" w:rsidRPr="00333510" w:rsidRDefault="00766A4A" w:rsidP="00EC4A67">
            <w:pPr>
              <w:spacing w:line="240" w:lineRule="auto"/>
              <w:jc w:val="center"/>
              <w:rPr>
                <w:szCs w:val="24"/>
              </w:rPr>
            </w:pPr>
            <w:r w:rsidRPr="00333510">
              <w:rPr>
                <w:szCs w:val="24"/>
              </w:rPr>
              <w:t>0.62</w:t>
            </w:r>
          </w:p>
        </w:tc>
        <w:tc>
          <w:tcPr>
            <w:tcW w:w="946" w:type="pct"/>
            <w:vAlign w:val="bottom"/>
          </w:tcPr>
          <w:p w14:paraId="482E6DF4" w14:textId="77777777" w:rsidR="00766A4A" w:rsidRPr="00333510" w:rsidRDefault="00766A4A" w:rsidP="00EC4A67">
            <w:pPr>
              <w:spacing w:line="240" w:lineRule="auto"/>
              <w:jc w:val="center"/>
              <w:rPr>
                <w:szCs w:val="24"/>
              </w:rPr>
            </w:pPr>
            <w:r w:rsidRPr="00333510">
              <w:rPr>
                <w:szCs w:val="24"/>
              </w:rPr>
              <w:t>0.60</w:t>
            </w:r>
          </w:p>
        </w:tc>
        <w:tc>
          <w:tcPr>
            <w:tcW w:w="856" w:type="pct"/>
            <w:vAlign w:val="bottom"/>
          </w:tcPr>
          <w:p w14:paraId="383D1503" w14:textId="77777777" w:rsidR="00766A4A" w:rsidRPr="00333510" w:rsidRDefault="00766A4A" w:rsidP="00EC4A67">
            <w:pPr>
              <w:spacing w:line="240" w:lineRule="auto"/>
              <w:jc w:val="center"/>
              <w:rPr>
                <w:szCs w:val="24"/>
              </w:rPr>
            </w:pPr>
            <w:r w:rsidRPr="00333510">
              <w:rPr>
                <w:szCs w:val="24"/>
              </w:rPr>
              <w:t>0.53</w:t>
            </w:r>
          </w:p>
        </w:tc>
      </w:tr>
      <w:tr w:rsidR="00766A4A" w:rsidRPr="00333510" w14:paraId="57D87B81" w14:textId="77777777" w:rsidTr="00EC4A67">
        <w:trPr>
          <w:trHeight w:val="377"/>
        </w:trPr>
        <w:tc>
          <w:tcPr>
            <w:tcW w:w="1304" w:type="pct"/>
            <w:tcBorders>
              <w:bottom w:val="single" w:sz="12" w:space="0" w:color="auto"/>
            </w:tcBorders>
            <w:shd w:val="clear" w:color="auto" w:fill="auto"/>
            <w:noWrap/>
            <w:vAlign w:val="center"/>
            <w:hideMark/>
          </w:tcPr>
          <w:p w14:paraId="556FE1DD"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less volatility</w:t>
            </w:r>
          </w:p>
        </w:tc>
        <w:tc>
          <w:tcPr>
            <w:tcW w:w="947" w:type="pct"/>
            <w:tcBorders>
              <w:bottom w:val="single" w:sz="12" w:space="0" w:color="auto"/>
            </w:tcBorders>
            <w:vAlign w:val="center"/>
          </w:tcPr>
          <w:p w14:paraId="4038B473" w14:textId="77777777" w:rsidR="00766A4A" w:rsidRPr="00333510" w:rsidRDefault="00766A4A" w:rsidP="00EC4A67">
            <w:pPr>
              <w:spacing w:line="240" w:lineRule="auto"/>
              <w:jc w:val="center"/>
              <w:rPr>
                <w:szCs w:val="24"/>
              </w:rPr>
            </w:pPr>
            <w:r w:rsidRPr="00333510">
              <w:rPr>
                <w:szCs w:val="24"/>
              </w:rPr>
              <w:t>~0</w:t>
            </w:r>
          </w:p>
        </w:tc>
        <w:tc>
          <w:tcPr>
            <w:tcW w:w="947" w:type="pct"/>
            <w:tcBorders>
              <w:bottom w:val="single" w:sz="12" w:space="0" w:color="auto"/>
            </w:tcBorders>
            <w:vAlign w:val="bottom"/>
          </w:tcPr>
          <w:p w14:paraId="5A6F7F76" w14:textId="77777777" w:rsidR="00766A4A" w:rsidRPr="00333510" w:rsidRDefault="00766A4A" w:rsidP="00EC4A67">
            <w:pPr>
              <w:spacing w:line="240" w:lineRule="auto"/>
              <w:jc w:val="center"/>
              <w:rPr>
                <w:szCs w:val="24"/>
              </w:rPr>
            </w:pPr>
            <w:r w:rsidRPr="00333510">
              <w:rPr>
                <w:szCs w:val="24"/>
              </w:rPr>
              <w:t>0.11</w:t>
            </w:r>
          </w:p>
        </w:tc>
        <w:tc>
          <w:tcPr>
            <w:tcW w:w="946" w:type="pct"/>
            <w:tcBorders>
              <w:bottom w:val="single" w:sz="12" w:space="0" w:color="auto"/>
            </w:tcBorders>
            <w:vAlign w:val="bottom"/>
          </w:tcPr>
          <w:p w14:paraId="0279A9FD" w14:textId="77777777" w:rsidR="00766A4A" w:rsidRPr="00333510" w:rsidRDefault="00766A4A" w:rsidP="00EC4A67">
            <w:pPr>
              <w:spacing w:line="240" w:lineRule="auto"/>
              <w:jc w:val="center"/>
              <w:rPr>
                <w:szCs w:val="24"/>
              </w:rPr>
            </w:pPr>
            <w:r w:rsidRPr="00333510">
              <w:rPr>
                <w:szCs w:val="24"/>
              </w:rPr>
              <w:t>0.15</w:t>
            </w:r>
          </w:p>
        </w:tc>
        <w:tc>
          <w:tcPr>
            <w:tcW w:w="856" w:type="pct"/>
            <w:tcBorders>
              <w:bottom w:val="single" w:sz="12" w:space="0" w:color="auto"/>
            </w:tcBorders>
            <w:vAlign w:val="bottom"/>
          </w:tcPr>
          <w:p w14:paraId="107AF367" w14:textId="77777777" w:rsidR="00766A4A" w:rsidRPr="00333510" w:rsidRDefault="00766A4A" w:rsidP="00EC4A67">
            <w:pPr>
              <w:spacing w:line="240" w:lineRule="auto"/>
              <w:jc w:val="center"/>
              <w:rPr>
                <w:szCs w:val="24"/>
              </w:rPr>
            </w:pPr>
            <w:r w:rsidRPr="00333510">
              <w:rPr>
                <w:szCs w:val="24"/>
              </w:rPr>
              <w:t>0.22</w:t>
            </w:r>
          </w:p>
        </w:tc>
      </w:tr>
      <w:tr w:rsidR="00766A4A" w:rsidRPr="00333510" w14:paraId="64A7102F" w14:textId="77777777" w:rsidTr="00EC4A67">
        <w:trPr>
          <w:trHeight w:val="377"/>
        </w:trPr>
        <w:tc>
          <w:tcPr>
            <w:tcW w:w="1304" w:type="pct"/>
            <w:tcBorders>
              <w:top w:val="single" w:sz="12" w:space="0" w:color="auto"/>
            </w:tcBorders>
            <w:shd w:val="clear" w:color="auto" w:fill="auto"/>
            <w:noWrap/>
            <w:vAlign w:val="center"/>
          </w:tcPr>
          <w:p w14:paraId="2706E07A" w14:textId="77777777" w:rsidR="00766A4A" w:rsidRPr="00AF6605"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mean</m:t>
                    </m:r>
                  </m:num>
                  <m:den>
                    <m:r>
                      <w:rPr>
                        <w:rFonts w:ascii="Cambria Math" w:eastAsia="Times New Roman" w:hAnsi="Cambria Math"/>
                        <w:sz w:val="20"/>
                        <w:szCs w:val="24"/>
                        <w:lang w:eastAsia="es-MX"/>
                      </w:rPr>
                      <m:t>total</m:t>
                    </m:r>
                  </m:den>
                </m:f>
              </m:oMath>
            </m:oMathPara>
          </w:p>
        </w:tc>
        <w:tc>
          <w:tcPr>
            <w:tcW w:w="947" w:type="pct"/>
            <w:tcBorders>
              <w:top w:val="single" w:sz="12" w:space="0" w:color="auto"/>
            </w:tcBorders>
            <w:vAlign w:val="center"/>
          </w:tcPr>
          <w:p w14:paraId="4DDE6F47" w14:textId="77777777" w:rsidR="00766A4A" w:rsidRPr="00333510" w:rsidRDefault="00766A4A" w:rsidP="00EC4A67">
            <w:pPr>
              <w:spacing w:line="240" w:lineRule="auto"/>
              <w:jc w:val="center"/>
              <w:rPr>
                <w:szCs w:val="24"/>
              </w:rPr>
            </w:pPr>
            <w:r w:rsidRPr="00333510">
              <w:rPr>
                <w:szCs w:val="24"/>
              </w:rPr>
              <w:t>~100%</w:t>
            </w:r>
          </w:p>
        </w:tc>
        <w:tc>
          <w:tcPr>
            <w:tcW w:w="947" w:type="pct"/>
            <w:tcBorders>
              <w:top w:val="single" w:sz="12" w:space="0" w:color="auto"/>
            </w:tcBorders>
            <w:vAlign w:val="bottom"/>
          </w:tcPr>
          <w:p w14:paraId="695FD127" w14:textId="77777777" w:rsidR="00766A4A" w:rsidRPr="00333510" w:rsidRDefault="00766A4A" w:rsidP="00EC4A67">
            <w:pPr>
              <w:spacing w:line="240" w:lineRule="auto"/>
              <w:jc w:val="center"/>
              <w:rPr>
                <w:szCs w:val="24"/>
              </w:rPr>
            </w:pPr>
            <w:r w:rsidRPr="00333510">
              <w:rPr>
                <w:szCs w:val="24"/>
              </w:rPr>
              <w:t>85%</w:t>
            </w:r>
          </w:p>
        </w:tc>
        <w:tc>
          <w:tcPr>
            <w:tcW w:w="946" w:type="pct"/>
            <w:tcBorders>
              <w:top w:val="single" w:sz="12" w:space="0" w:color="auto"/>
            </w:tcBorders>
            <w:vAlign w:val="bottom"/>
          </w:tcPr>
          <w:p w14:paraId="1BE7C79F" w14:textId="77777777" w:rsidR="00766A4A" w:rsidRPr="00333510" w:rsidRDefault="00766A4A" w:rsidP="00EC4A67">
            <w:pPr>
              <w:spacing w:line="240" w:lineRule="auto"/>
              <w:jc w:val="center"/>
              <w:rPr>
                <w:szCs w:val="24"/>
              </w:rPr>
            </w:pPr>
            <w:r w:rsidRPr="00333510">
              <w:rPr>
                <w:szCs w:val="24"/>
              </w:rPr>
              <w:t>80%</w:t>
            </w:r>
          </w:p>
        </w:tc>
        <w:tc>
          <w:tcPr>
            <w:tcW w:w="856" w:type="pct"/>
            <w:tcBorders>
              <w:top w:val="single" w:sz="12" w:space="0" w:color="auto"/>
            </w:tcBorders>
            <w:vAlign w:val="bottom"/>
          </w:tcPr>
          <w:p w14:paraId="25E1DB4E" w14:textId="77777777" w:rsidR="00766A4A" w:rsidRPr="00333510" w:rsidRDefault="00766A4A" w:rsidP="00EC4A67">
            <w:pPr>
              <w:spacing w:line="240" w:lineRule="auto"/>
              <w:jc w:val="center"/>
              <w:rPr>
                <w:szCs w:val="24"/>
              </w:rPr>
            </w:pPr>
            <w:r w:rsidRPr="00333510">
              <w:rPr>
                <w:szCs w:val="24"/>
              </w:rPr>
              <w:t>70%</w:t>
            </w:r>
          </w:p>
        </w:tc>
      </w:tr>
      <w:tr w:rsidR="00766A4A" w:rsidRPr="00333510" w14:paraId="068C4B50" w14:textId="77777777" w:rsidTr="00EC4A67">
        <w:trPr>
          <w:trHeight w:val="377"/>
        </w:trPr>
        <w:tc>
          <w:tcPr>
            <w:tcW w:w="1304" w:type="pct"/>
            <w:tcBorders>
              <w:bottom w:val="single" w:sz="4" w:space="0" w:color="auto"/>
            </w:tcBorders>
            <w:shd w:val="clear" w:color="auto" w:fill="auto"/>
            <w:noWrap/>
            <w:vAlign w:val="center"/>
          </w:tcPr>
          <w:p w14:paraId="7824B489"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volat</m:t>
                    </m:r>
                  </m:num>
                  <m:den>
                    <m:r>
                      <w:rPr>
                        <w:rFonts w:ascii="Cambria Math" w:eastAsia="Times New Roman" w:hAnsi="Cambria Math"/>
                        <w:sz w:val="20"/>
                        <w:szCs w:val="24"/>
                        <w:lang w:eastAsia="es-MX"/>
                      </w:rPr>
                      <m:t>total</m:t>
                    </m:r>
                  </m:den>
                </m:f>
              </m:oMath>
            </m:oMathPara>
          </w:p>
        </w:tc>
        <w:tc>
          <w:tcPr>
            <w:tcW w:w="947" w:type="pct"/>
            <w:tcBorders>
              <w:bottom w:val="single" w:sz="4" w:space="0" w:color="auto"/>
            </w:tcBorders>
            <w:vAlign w:val="center"/>
          </w:tcPr>
          <w:p w14:paraId="332EE754" w14:textId="77777777" w:rsidR="00766A4A" w:rsidRPr="00333510" w:rsidRDefault="00766A4A" w:rsidP="00EC4A67">
            <w:pPr>
              <w:spacing w:line="240" w:lineRule="auto"/>
              <w:jc w:val="center"/>
              <w:rPr>
                <w:szCs w:val="24"/>
              </w:rPr>
            </w:pPr>
            <w:r w:rsidRPr="00333510">
              <w:rPr>
                <w:szCs w:val="24"/>
              </w:rPr>
              <w:t>~0%</w:t>
            </w:r>
          </w:p>
        </w:tc>
        <w:tc>
          <w:tcPr>
            <w:tcW w:w="947" w:type="pct"/>
            <w:tcBorders>
              <w:bottom w:val="single" w:sz="4" w:space="0" w:color="auto"/>
            </w:tcBorders>
            <w:vAlign w:val="bottom"/>
          </w:tcPr>
          <w:p w14:paraId="296D4939" w14:textId="77777777" w:rsidR="00766A4A" w:rsidRPr="00333510" w:rsidRDefault="00766A4A" w:rsidP="00EC4A67">
            <w:pPr>
              <w:spacing w:line="240" w:lineRule="auto"/>
              <w:jc w:val="center"/>
              <w:rPr>
                <w:szCs w:val="24"/>
              </w:rPr>
            </w:pPr>
            <w:r w:rsidRPr="00333510">
              <w:rPr>
                <w:szCs w:val="24"/>
              </w:rPr>
              <w:t>15%</w:t>
            </w:r>
          </w:p>
        </w:tc>
        <w:tc>
          <w:tcPr>
            <w:tcW w:w="946" w:type="pct"/>
            <w:tcBorders>
              <w:bottom w:val="single" w:sz="4" w:space="0" w:color="auto"/>
            </w:tcBorders>
            <w:vAlign w:val="bottom"/>
          </w:tcPr>
          <w:p w14:paraId="609EE307" w14:textId="77777777" w:rsidR="00766A4A" w:rsidRPr="00333510" w:rsidRDefault="00766A4A" w:rsidP="00EC4A67">
            <w:pPr>
              <w:spacing w:line="240" w:lineRule="auto"/>
              <w:jc w:val="center"/>
              <w:rPr>
                <w:szCs w:val="24"/>
              </w:rPr>
            </w:pPr>
            <w:r w:rsidRPr="00333510">
              <w:rPr>
                <w:szCs w:val="24"/>
              </w:rPr>
              <w:t>20%</w:t>
            </w:r>
          </w:p>
        </w:tc>
        <w:tc>
          <w:tcPr>
            <w:tcW w:w="856" w:type="pct"/>
            <w:tcBorders>
              <w:bottom w:val="single" w:sz="4" w:space="0" w:color="auto"/>
            </w:tcBorders>
            <w:vAlign w:val="bottom"/>
          </w:tcPr>
          <w:p w14:paraId="4A785CC8" w14:textId="77777777" w:rsidR="00766A4A" w:rsidRPr="00333510" w:rsidRDefault="00766A4A" w:rsidP="00EC4A67">
            <w:pPr>
              <w:spacing w:line="240" w:lineRule="auto"/>
              <w:jc w:val="center"/>
              <w:rPr>
                <w:szCs w:val="24"/>
              </w:rPr>
            </w:pPr>
            <w:r w:rsidRPr="00333510">
              <w:rPr>
                <w:szCs w:val="24"/>
              </w:rPr>
              <w:t>30%</w:t>
            </w:r>
          </w:p>
        </w:tc>
      </w:tr>
      <w:tr w:rsidR="00766A4A" w:rsidRPr="00333510" w14:paraId="48DF1CE4" w14:textId="77777777" w:rsidTr="00EC4A67">
        <w:trPr>
          <w:trHeight w:val="377"/>
        </w:trPr>
        <w:tc>
          <w:tcPr>
            <w:tcW w:w="5000" w:type="pct"/>
            <w:gridSpan w:val="5"/>
            <w:tcBorders>
              <w:bottom w:val="single" w:sz="4" w:space="0" w:color="auto"/>
            </w:tcBorders>
            <w:shd w:val="clear" w:color="auto" w:fill="auto"/>
            <w:noWrap/>
            <w:vAlign w:val="bottom"/>
            <w:hideMark/>
          </w:tcPr>
          <w:p w14:paraId="4F31E9B1" w14:textId="77777777" w:rsidR="00766A4A" w:rsidRPr="00333510" w:rsidRDefault="00766A4A" w:rsidP="00EC4A67">
            <w:pPr>
              <w:spacing w:line="240" w:lineRule="auto"/>
              <w:jc w:val="center"/>
              <w:rPr>
                <w:rFonts w:eastAsia="Times New Roman"/>
                <w:b/>
                <w:szCs w:val="24"/>
                <w:lang w:eastAsia="es-MX"/>
              </w:rPr>
            </w:pPr>
            <w:r w:rsidRPr="00333510">
              <w:rPr>
                <w:rFonts w:eastAsiaTheme="minorEastAsia"/>
                <w:b/>
                <w:i/>
                <w:szCs w:val="24"/>
              </w:rPr>
              <w:t xml:space="preserve">Scenario </w:t>
            </w:r>
            <w:r>
              <w:rPr>
                <w:rFonts w:eastAsia="Times New Roman"/>
                <w:b/>
                <w:i/>
                <w:szCs w:val="24"/>
                <w:lang w:eastAsia="es-MX"/>
              </w:rPr>
              <w:t>3</w:t>
            </w:r>
            <w:r w:rsidRPr="00333510">
              <w:rPr>
                <w:rFonts w:eastAsia="Times New Roman"/>
                <w:b/>
                <w:i/>
                <w:szCs w:val="24"/>
                <w:lang w:eastAsia="es-MX"/>
              </w:rPr>
              <w:t>:</w:t>
            </w:r>
            <w:r>
              <w:rPr>
                <w:rFonts w:eastAsia="Times New Roman"/>
                <w:b/>
                <w:szCs w:val="24"/>
                <w:lang w:eastAsia="es-MX"/>
              </w:rPr>
              <w:t xml:space="preserve"> </w:t>
            </w:r>
            <w:r w:rsidRPr="00333510">
              <w:rPr>
                <w:rFonts w:eastAsia="Times New Roman"/>
                <w:b/>
                <w:szCs w:val="24"/>
                <w:lang w:eastAsia="es-MX"/>
              </w:rPr>
              <w:t>livestock &amp; crop - high soil aptitude</w:t>
            </w:r>
            <w:r>
              <w:rPr>
                <w:rFonts w:eastAsia="Times New Roman"/>
                <w:b/>
                <w:szCs w:val="24"/>
                <w:lang w:eastAsia="es-MX"/>
              </w:rPr>
              <w:t xml:space="preserve"> </w:t>
            </w:r>
            <w:r w:rsidRPr="00333510">
              <w:rPr>
                <w:rFonts w:eastAsia="Times New Roman"/>
                <w:b/>
                <w:szCs w:val="24"/>
                <w:lang w:eastAsia="es-MX"/>
              </w:rPr>
              <w:t>- far from the port</w:t>
            </w:r>
          </w:p>
        </w:tc>
      </w:tr>
      <w:tr w:rsidR="00766A4A" w:rsidRPr="00333510" w14:paraId="422DC53A" w14:textId="77777777" w:rsidTr="00EC4A67">
        <w:trPr>
          <w:trHeight w:val="377"/>
        </w:trPr>
        <w:tc>
          <w:tcPr>
            <w:tcW w:w="1304" w:type="pct"/>
            <w:tcBorders>
              <w:top w:val="single" w:sz="4" w:space="0" w:color="auto"/>
            </w:tcBorders>
            <w:shd w:val="clear" w:color="auto" w:fill="auto"/>
            <w:noWrap/>
            <w:vAlign w:val="center"/>
          </w:tcPr>
          <w:p w14:paraId="32643EC1" w14:textId="77777777" w:rsidR="00766A4A" w:rsidRPr="00333510" w:rsidRDefault="00766A4A" w:rsidP="00EC4A67">
            <w:pPr>
              <w:spacing w:line="240" w:lineRule="auto"/>
              <w:rPr>
                <w:rFonts w:eastAsia="Times New Roman"/>
                <w:i/>
                <w:szCs w:val="24"/>
                <w:lang w:eastAsia="es-MX"/>
              </w:rPr>
            </w:pPr>
          </w:p>
        </w:tc>
        <w:tc>
          <w:tcPr>
            <w:tcW w:w="947" w:type="pct"/>
            <w:tcBorders>
              <w:top w:val="single" w:sz="4" w:space="0" w:color="auto"/>
            </w:tcBorders>
            <w:vAlign w:val="bottom"/>
          </w:tcPr>
          <w:p w14:paraId="4AC8497B" w14:textId="77777777" w:rsidR="00766A4A" w:rsidRPr="00333510" w:rsidRDefault="00766A4A" w:rsidP="00EC4A67">
            <w:pPr>
              <w:spacing w:line="240" w:lineRule="auto"/>
              <w:jc w:val="center"/>
              <w:rPr>
                <w:b/>
                <w:szCs w:val="24"/>
              </w:rPr>
            </w:pPr>
            <w:r w:rsidRPr="00333510">
              <w:rPr>
                <w:b/>
              </w:rPr>
              <w:t>0%</w:t>
            </w:r>
          </w:p>
        </w:tc>
        <w:tc>
          <w:tcPr>
            <w:tcW w:w="947" w:type="pct"/>
            <w:tcBorders>
              <w:top w:val="single" w:sz="4" w:space="0" w:color="auto"/>
            </w:tcBorders>
            <w:vAlign w:val="bottom"/>
          </w:tcPr>
          <w:p w14:paraId="00B7C596" w14:textId="77777777" w:rsidR="00766A4A" w:rsidRPr="00333510" w:rsidRDefault="00766A4A" w:rsidP="00EC4A67">
            <w:pPr>
              <w:spacing w:line="240" w:lineRule="auto"/>
              <w:jc w:val="center"/>
              <w:rPr>
                <w:b/>
                <w:szCs w:val="24"/>
              </w:rPr>
            </w:pPr>
            <w:r w:rsidRPr="00333510">
              <w:rPr>
                <w:b/>
              </w:rPr>
              <w:t>18%</w:t>
            </w:r>
          </w:p>
        </w:tc>
        <w:tc>
          <w:tcPr>
            <w:tcW w:w="946" w:type="pct"/>
            <w:tcBorders>
              <w:top w:val="single" w:sz="4" w:space="0" w:color="auto"/>
            </w:tcBorders>
            <w:vAlign w:val="bottom"/>
          </w:tcPr>
          <w:p w14:paraId="2523AD10" w14:textId="77777777" w:rsidR="00766A4A" w:rsidRPr="00333510" w:rsidRDefault="00766A4A" w:rsidP="00EC4A67">
            <w:pPr>
              <w:spacing w:line="240" w:lineRule="auto"/>
              <w:jc w:val="center"/>
              <w:rPr>
                <w:b/>
                <w:szCs w:val="24"/>
              </w:rPr>
            </w:pPr>
            <w:r w:rsidRPr="00333510">
              <w:rPr>
                <w:b/>
              </w:rPr>
              <w:t>27%</w:t>
            </w:r>
          </w:p>
        </w:tc>
        <w:tc>
          <w:tcPr>
            <w:tcW w:w="856" w:type="pct"/>
            <w:tcBorders>
              <w:top w:val="single" w:sz="4" w:space="0" w:color="auto"/>
            </w:tcBorders>
            <w:vAlign w:val="bottom"/>
          </w:tcPr>
          <w:p w14:paraId="64B300AC" w14:textId="77777777" w:rsidR="00766A4A" w:rsidRPr="00333510" w:rsidRDefault="00766A4A" w:rsidP="00EC4A67">
            <w:pPr>
              <w:spacing w:line="240" w:lineRule="auto"/>
              <w:jc w:val="center"/>
              <w:rPr>
                <w:b/>
                <w:szCs w:val="24"/>
              </w:rPr>
            </w:pPr>
            <w:r w:rsidRPr="00333510">
              <w:rPr>
                <w:b/>
              </w:rPr>
              <w:t>35%</w:t>
            </w:r>
          </w:p>
        </w:tc>
      </w:tr>
      <w:tr w:rsidR="00766A4A" w:rsidRPr="00333510" w14:paraId="4C2EFB3F" w14:textId="77777777" w:rsidTr="00EC4A67">
        <w:trPr>
          <w:trHeight w:val="377"/>
        </w:trPr>
        <w:tc>
          <w:tcPr>
            <w:tcW w:w="1304" w:type="pct"/>
            <w:shd w:val="clear" w:color="auto" w:fill="auto"/>
            <w:noWrap/>
            <w:vAlign w:val="center"/>
            <w:hideMark/>
          </w:tcPr>
          <w:p w14:paraId="70F41217"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Total  additional value</w:t>
            </w:r>
          </w:p>
        </w:tc>
        <w:tc>
          <w:tcPr>
            <w:tcW w:w="947" w:type="pct"/>
            <w:tcBorders>
              <w:top w:val="single" w:sz="4" w:space="0" w:color="auto"/>
            </w:tcBorders>
            <w:vAlign w:val="center"/>
          </w:tcPr>
          <w:p w14:paraId="5E66FC42" w14:textId="77777777" w:rsidR="00766A4A" w:rsidRPr="00333510" w:rsidRDefault="00766A4A" w:rsidP="00EC4A67">
            <w:pPr>
              <w:spacing w:line="240" w:lineRule="auto"/>
              <w:jc w:val="center"/>
              <w:rPr>
                <w:szCs w:val="24"/>
              </w:rPr>
            </w:pPr>
            <w:r w:rsidRPr="00333510">
              <w:rPr>
                <w:szCs w:val="24"/>
              </w:rPr>
              <w:t>0.62</w:t>
            </w:r>
          </w:p>
        </w:tc>
        <w:tc>
          <w:tcPr>
            <w:tcW w:w="947" w:type="pct"/>
            <w:tcBorders>
              <w:top w:val="single" w:sz="4" w:space="0" w:color="auto"/>
            </w:tcBorders>
            <w:vAlign w:val="bottom"/>
          </w:tcPr>
          <w:p w14:paraId="2FE84C37" w14:textId="77777777" w:rsidR="00766A4A" w:rsidRPr="00333510" w:rsidRDefault="00766A4A" w:rsidP="00EC4A67">
            <w:pPr>
              <w:spacing w:line="240" w:lineRule="auto"/>
              <w:jc w:val="center"/>
              <w:rPr>
                <w:szCs w:val="24"/>
              </w:rPr>
            </w:pPr>
            <w:r w:rsidRPr="00333510">
              <w:rPr>
                <w:szCs w:val="24"/>
              </w:rPr>
              <w:t>0.66</w:t>
            </w:r>
          </w:p>
        </w:tc>
        <w:tc>
          <w:tcPr>
            <w:tcW w:w="946" w:type="pct"/>
            <w:tcBorders>
              <w:top w:val="single" w:sz="4" w:space="0" w:color="auto"/>
            </w:tcBorders>
            <w:vAlign w:val="bottom"/>
          </w:tcPr>
          <w:p w14:paraId="7DC0A475" w14:textId="77777777" w:rsidR="00766A4A" w:rsidRPr="00333510" w:rsidRDefault="00766A4A" w:rsidP="00EC4A67">
            <w:pPr>
              <w:spacing w:line="240" w:lineRule="auto"/>
              <w:jc w:val="center"/>
              <w:rPr>
                <w:szCs w:val="24"/>
              </w:rPr>
            </w:pPr>
            <w:r w:rsidRPr="00333510">
              <w:rPr>
                <w:szCs w:val="24"/>
              </w:rPr>
              <w:t>0.67</w:t>
            </w:r>
          </w:p>
        </w:tc>
        <w:tc>
          <w:tcPr>
            <w:tcW w:w="856" w:type="pct"/>
            <w:tcBorders>
              <w:top w:val="single" w:sz="4" w:space="0" w:color="auto"/>
            </w:tcBorders>
            <w:vAlign w:val="bottom"/>
          </w:tcPr>
          <w:p w14:paraId="62720B79" w14:textId="77777777" w:rsidR="00766A4A" w:rsidRPr="00333510" w:rsidRDefault="00766A4A" w:rsidP="00EC4A67">
            <w:pPr>
              <w:spacing w:line="240" w:lineRule="auto"/>
              <w:jc w:val="center"/>
              <w:rPr>
                <w:szCs w:val="24"/>
              </w:rPr>
            </w:pPr>
            <w:r w:rsidRPr="00333510">
              <w:rPr>
                <w:szCs w:val="24"/>
              </w:rPr>
              <w:t>0.69</w:t>
            </w:r>
          </w:p>
        </w:tc>
      </w:tr>
      <w:tr w:rsidR="00766A4A" w:rsidRPr="00333510" w14:paraId="06A7C719" w14:textId="77777777" w:rsidTr="00EC4A67">
        <w:trPr>
          <w:trHeight w:val="377"/>
        </w:trPr>
        <w:tc>
          <w:tcPr>
            <w:tcW w:w="1304" w:type="pct"/>
            <w:shd w:val="clear" w:color="auto" w:fill="auto"/>
            <w:noWrap/>
            <w:vAlign w:val="center"/>
            <w:hideMark/>
          </w:tcPr>
          <w:p w14:paraId="41697501"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higher mean</w:t>
            </w:r>
          </w:p>
        </w:tc>
        <w:tc>
          <w:tcPr>
            <w:tcW w:w="947" w:type="pct"/>
            <w:vAlign w:val="center"/>
          </w:tcPr>
          <w:p w14:paraId="05BA8E65" w14:textId="77777777" w:rsidR="00766A4A" w:rsidRPr="00333510" w:rsidRDefault="00766A4A" w:rsidP="00EC4A67">
            <w:pPr>
              <w:spacing w:line="240" w:lineRule="auto"/>
              <w:jc w:val="center"/>
              <w:rPr>
                <w:szCs w:val="24"/>
              </w:rPr>
            </w:pPr>
            <w:r w:rsidRPr="00333510">
              <w:rPr>
                <w:szCs w:val="24"/>
              </w:rPr>
              <w:t>~0.60</w:t>
            </w:r>
          </w:p>
        </w:tc>
        <w:tc>
          <w:tcPr>
            <w:tcW w:w="947" w:type="pct"/>
            <w:vAlign w:val="bottom"/>
          </w:tcPr>
          <w:p w14:paraId="60F562CD" w14:textId="77777777" w:rsidR="00766A4A" w:rsidRPr="00333510" w:rsidRDefault="00766A4A" w:rsidP="00EC4A67">
            <w:pPr>
              <w:spacing w:line="240" w:lineRule="auto"/>
              <w:jc w:val="center"/>
              <w:rPr>
                <w:szCs w:val="24"/>
              </w:rPr>
            </w:pPr>
            <w:r w:rsidRPr="00333510">
              <w:rPr>
                <w:szCs w:val="24"/>
              </w:rPr>
              <w:t>0.51</w:t>
            </w:r>
          </w:p>
        </w:tc>
        <w:tc>
          <w:tcPr>
            <w:tcW w:w="946" w:type="pct"/>
            <w:vAlign w:val="bottom"/>
          </w:tcPr>
          <w:p w14:paraId="40DC2F75" w14:textId="77777777" w:rsidR="00766A4A" w:rsidRPr="00333510" w:rsidRDefault="00766A4A" w:rsidP="00EC4A67">
            <w:pPr>
              <w:spacing w:line="240" w:lineRule="auto"/>
              <w:jc w:val="center"/>
              <w:rPr>
                <w:szCs w:val="24"/>
              </w:rPr>
            </w:pPr>
            <w:r w:rsidRPr="00333510">
              <w:rPr>
                <w:szCs w:val="24"/>
              </w:rPr>
              <w:t>0.48</w:t>
            </w:r>
          </w:p>
        </w:tc>
        <w:tc>
          <w:tcPr>
            <w:tcW w:w="856" w:type="pct"/>
            <w:vAlign w:val="bottom"/>
          </w:tcPr>
          <w:p w14:paraId="5A15854D" w14:textId="77777777" w:rsidR="00766A4A" w:rsidRPr="00333510" w:rsidRDefault="00766A4A" w:rsidP="00EC4A67">
            <w:pPr>
              <w:spacing w:line="240" w:lineRule="auto"/>
              <w:jc w:val="center"/>
              <w:rPr>
                <w:szCs w:val="24"/>
              </w:rPr>
            </w:pPr>
            <w:r w:rsidRPr="00333510">
              <w:rPr>
                <w:szCs w:val="24"/>
              </w:rPr>
              <w:t>0.45</w:t>
            </w:r>
          </w:p>
        </w:tc>
      </w:tr>
      <w:tr w:rsidR="00766A4A" w:rsidRPr="00333510" w14:paraId="06869058" w14:textId="77777777" w:rsidTr="00EC4A67">
        <w:trPr>
          <w:trHeight w:val="377"/>
        </w:trPr>
        <w:tc>
          <w:tcPr>
            <w:tcW w:w="1304" w:type="pct"/>
            <w:tcBorders>
              <w:bottom w:val="single" w:sz="12" w:space="0" w:color="auto"/>
            </w:tcBorders>
            <w:shd w:val="clear" w:color="auto" w:fill="auto"/>
            <w:noWrap/>
            <w:vAlign w:val="center"/>
            <w:hideMark/>
          </w:tcPr>
          <w:p w14:paraId="6D8DC1AD"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less volatility</w:t>
            </w:r>
          </w:p>
        </w:tc>
        <w:tc>
          <w:tcPr>
            <w:tcW w:w="947" w:type="pct"/>
            <w:tcBorders>
              <w:bottom w:val="single" w:sz="12" w:space="0" w:color="auto"/>
            </w:tcBorders>
            <w:vAlign w:val="center"/>
          </w:tcPr>
          <w:p w14:paraId="724C0181" w14:textId="77777777" w:rsidR="00766A4A" w:rsidRPr="00333510" w:rsidRDefault="00766A4A" w:rsidP="00EC4A67">
            <w:pPr>
              <w:spacing w:line="240" w:lineRule="auto"/>
              <w:jc w:val="center"/>
              <w:rPr>
                <w:szCs w:val="24"/>
              </w:rPr>
            </w:pPr>
            <w:r w:rsidRPr="00333510">
              <w:rPr>
                <w:szCs w:val="24"/>
              </w:rPr>
              <w:t>~0</w:t>
            </w:r>
          </w:p>
        </w:tc>
        <w:tc>
          <w:tcPr>
            <w:tcW w:w="947" w:type="pct"/>
            <w:tcBorders>
              <w:bottom w:val="single" w:sz="12" w:space="0" w:color="auto"/>
            </w:tcBorders>
            <w:vAlign w:val="bottom"/>
          </w:tcPr>
          <w:p w14:paraId="68E2B536" w14:textId="77777777" w:rsidR="00766A4A" w:rsidRPr="00333510" w:rsidRDefault="00766A4A" w:rsidP="00EC4A67">
            <w:pPr>
              <w:spacing w:line="240" w:lineRule="auto"/>
              <w:jc w:val="center"/>
              <w:rPr>
                <w:szCs w:val="24"/>
              </w:rPr>
            </w:pPr>
            <w:r w:rsidRPr="00333510">
              <w:rPr>
                <w:szCs w:val="24"/>
              </w:rPr>
              <w:t>0.15</w:t>
            </w:r>
          </w:p>
        </w:tc>
        <w:tc>
          <w:tcPr>
            <w:tcW w:w="946" w:type="pct"/>
            <w:tcBorders>
              <w:bottom w:val="single" w:sz="12" w:space="0" w:color="auto"/>
            </w:tcBorders>
            <w:vAlign w:val="bottom"/>
          </w:tcPr>
          <w:p w14:paraId="5C4EC27D" w14:textId="77777777" w:rsidR="00766A4A" w:rsidRPr="00333510" w:rsidRDefault="00766A4A" w:rsidP="00EC4A67">
            <w:pPr>
              <w:spacing w:line="240" w:lineRule="auto"/>
              <w:jc w:val="center"/>
              <w:rPr>
                <w:szCs w:val="24"/>
              </w:rPr>
            </w:pPr>
            <w:r w:rsidRPr="00333510">
              <w:rPr>
                <w:szCs w:val="24"/>
              </w:rPr>
              <w:t>0.18</w:t>
            </w:r>
          </w:p>
        </w:tc>
        <w:tc>
          <w:tcPr>
            <w:tcW w:w="856" w:type="pct"/>
            <w:tcBorders>
              <w:bottom w:val="single" w:sz="12" w:space="0" w:color="auto"/>
            </w:tcBorders>
            <w:vAlign w:val="bottom"/>
          </w:tcPr>
          <w:p w14:paraId="54882880" w14:textId="77777777" w:rsidR="00766A4A" w:rsidRPr="00333510" w:rsidRDefault="00766A4A" w:rsidP="00EC4A67">
            <w:pPr>
              <w:spacing w:line="240" w:lineRule="auto"/>
              <w:jc w:val="center"/>
              <w:rPr>
                <w:szCs w:val="24"/>
              </w:rPr>
            </w:pPr>
            <w:r w:rsidRPr="00333510">
              <w:rPr>
                <w:szCs w:val="24"/>
              </w:rPr>
              <w:t>0.25</w:t>
            </w:r>
          </w:p>
        </w:tc>
      </w:tr>
      <w:tr w:rsidR="00766A4A" w:rsidRPr="00333510" w14:paraId="78BD2104" w14:textId="77777777" w:rsidTr="00EC4A67">
        <w:trPr>
          <w:trHeight w:val="377"/>
        </w:trPr>
        <w:tc>
          <w:tcPr>
            <w:tcW w:w="1304" w:type="pct"/>
            <w:tcBorders>
              <w:top w:val="single" w:sz="12" w:space="0" w:color="auto"/>
            </w:tcBorders>
            <w:shd w:val="clear" w:color="auto" w:fill="auto"/>
            <w:noWrap/>
            <w:vAlign w:val="center"/>
          </w:tcPr>
          <w:p w14:paraId="735C2B46"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mean</m:t>
                    </m:r>
                  </m:num>
                  <m:den>
                    <m:r>
                      <w:rPr>
                        <w:rFonts w:ascii="Cambria Math" w:eastAsia="Times New Roman" w:hAnsi="Cambria Math"/>
                        <w:sz w:val="20"/>
                        <w:szCs w:val="24"/>
                        <w:lang w:eastAsia="es-MX"/>
                      </w:rPr>
                      <m:t>total</m:t>
                    </m:r>
                  </m:den>
                </m:f>
              </m:oMath>
            </m:oMathPara>
          </w:p>
        </w:tc>
        <w:tc>
          <w:tcPr>
            <w:tcW w:w="947" w:type="pct"/>
            <w:tcBorders>
              <w:top w:val="single" w:sz="12" w:space="0" w:color="auto"/>
            </w:tcBorders>
            <w:vAlign w:val="center"/>
          </w:tcPr>
          <w:p w14:paraId="31F51C2F" w14:textId="77777777" w:rsidR="00766A4A" w:rsidRPr="00333510" w:rsidRDefault="00766A4A" w:rsidP="00EC4A67">
            <w:pPr>
              <w:spacing w:line="240" w:lineRule="auto"/>
              <w:jc w:val="center"/>
              <w:rPr>
                <w:szCs w:val="24"/>
              </w:rPr>
            </w:pPr>
            <w:r w:rsidRPr="00333510">
              <w:rPr>
                <w:szCs w:val="24"/>
              </w:rPr>
              <w:t>~100%</w:t>
            </w:r>
          </w:p>
        </w:tc>
        <w:tc>
          <w:tcPr>
            <w:tcW w:w="947" w:type="pct"/>
            <w:tcBorders>
              <w:top w:val="single" w:sz="12" w:space="0" w:color="auto"/>
            </w:tcBorders>
            <w:vAlign w:val="bottom"/>
          </w:tcPr>
          <w:p w14:paraId="23470560" w14:textId="77777777" w:rsidR="00766A4A" w:rsidRPr="00333510" w:rsidRDefault="00766A4A" w:rsidP="00EC4A67">
            <w:pPr>
              <w:spacing w:line="240" w:lineRule="auto"/>
              <w:jc w:val="center"/>
              <w:rPr>
                <w:szCs w:val="24"/>
              </w:rPr>
            </w:pPr>
            <w:r w:rsidRPr="00333510">
              <w:rPr>
                <w:szCs w:val="24"/>
              </w:rPr>
              <w:t>77%</w:t>
            </w:r>
          </w:p>
        </w:tc>
        <w:tc>
          <w:tcPr>
            <w:tcW w:w="946" w:type="pct"/>
            <w:tcBorders>
              <w:top w:val="single" w:sz="12" w:space="0" w:color="auto"/>
            </w:tcBorders>
            <w:vAlign w:val="bottom"/>
          </w:tcPr>
          <w:p w14:paraId="76A60698" w14:textId="77777777" w:rsidR="00766A4A" w:rsidRPr="00333510" w:rsidRDefault="00766A4A" w:rsidP="00EC4A67">
            <w:pPr>
              <w:spacing w:line="240" w:lineRule="auto"/>
              <w:jc w:val="center"/>
              <w:rPr>
                <w:szCs w:val="24"/>
              </w:rPr>
            </w:pPr>
            <w:r w:rsidRPr="00333510">
              <w:rPr>
                <w:szCs w:val="24"/>
              </w:rPr>
              <w:t>73%</w:t>
            </w:r>
          </w:p>
        </w:tc>
        <w:tc>
          <w:tcPr>
            <w:tcW w:w="856" w:type="pct"/>
            <w:tcBorders>
              <w:top w:val="single" w:sz="12" w:space="0" w:color="auto"/>
            </w:tcBorders>
            <w:vAlign w:val="bottom"/>
          </w:tcPr>
          <w:p w14:paraId="5A57E370" w14:textId="77777777" w:rsidR="00766A4A" w:rsidRPr="00333510" w:rsidRDefault="00766A4A" w:rsidP="00EC4A67">
            <w:pPr>
              <w:spacing w:line="240" w:lineRule="auto"/>
              <w:jc w:val="center"/>
              <w:rPr>
                <w:szCs w:val="24"/>
              </w:rPr>
            </w:pPr>
            <w:r w:rsidRPr="00333510">
              <w:rPr>
                <w:szCs w:val="24"/>
              </w:rPr>
              <w:t>64%</w:t>
            </w:r>
          </w:p>
        </w:tc>
      </w:tr>
      <w:tr w:rsidR="00766A4A" w:rsidRPr="00333510" w14:paraId="15AF23D6" w14:textId="77777777" w:rsidTr="00EC4A67">
        <w:trPr>
          <w:trHeight w:val="377"/>
        </w:trPr>
        <w:tc>
          <w:tcPr>
            <w:tcW w:w="1304" w:type="pct"/>
            <w:tcBorders>
              <w:bottom w:val="single" w:sz="4" w:space="0" w:color="auto"/>
            </w:tcBorders>
            <w:shd w:val="clear" w:color="auto" w:fill="auto"/>
            <w:noWrap/>
            <w:vAlign w:val="center"/>
          </w:tcPr>
          <w:p w14:paraId="0AA894C9" w14:textId="77777777" w:rsidR="00766A4A" w:rsidRPr="00EF3196" w:rsidRDefault="00766A4A" w:rsidP="00EC4A67">
            <w:pPr>
              <w:spacing w:line="240" w:lineRule="auto"/>
              <w:rPr>
                <w:rFonts w:eastAsia="Times New Roman"/>
                <w:i/>
                <w:szCs w:val="24"/>
                <w:lang w:eastAsia="es-MX"/>
              </w:rPr>
            </w:pPr>
            <m:oMathPara>
              <m:oMathParaPr>
                <m:jc m:val="center"/>
              </m:oMathParaPr>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volat</m:t>
                    </m:r>
                  </m:num>
                  <m:den>
                    <m:r>
                      <w:rPr>
                        <w:rFonts w:ascii="Cambria Math" w:eastAsia="Times New Roman" w:hAnsi="Cambria Math"/>
                        <w:sz w:val="20"/>
                        <w:szCs w:val="24"/>
                        <w:lang w:eastAsia="es-MX"/>
                      </w:rPr>
                      <m:t>total</m:t>
                    </m:r>
                  </m:den>
                </m:f>
              </m:oMath>
            </m:oMathPara>
          </w:p>
        </w:tc>
        <w:tc>
          <w:tcPr>
            <w:tcW w:w="947" w:type="pct"/>
            <w:tcBorders>
              <w:bottom w:val="single" w:sz="4" w:space="0" w:color="auto"/>
            </w:tcBorders>
            <w:vAlign w:val="center"/>
          </w:tcPr>
          <w:p w14:paraId="0060A017" w14:textId="77777777" w:rsidR="00766A4A" w:rsidRPr="00333510" w:rsidRDefault="00766A4A" w:rsidP="00EC4A67">
            <w:pPr>
              <w:spacing w:line="240" w:lineRule="auto"/>
              <w:jc w:val="center"/>
              <w:rPr>
                <w:szCs w:val="24"/>
              </w:rPr>
            </w:pPr>
            <w:r w:rsidRPr="00333510">
              <w:rPr>
                <w:szCs w:val="24"/>
              </w:rPr>
              <w:t>~0%</w:t>
            </w:r>
          </w:p>
        </w:tc>
        <w:tc>
          <w:tcPr>
            <w:tcW w:w="947" w:type="pct"/>
            <w:tcBorders>
              <w:bottom w:val="single" w:sz="4" w:space="0" w:color="auto"/>
            </w:tcBorders>
            <w:vAlign w:val="bottom"/>
          </w:tcPr>
          <w:p w14:paraId="15EA4742" w14:textId="77777777" w:rsidR="00766A4A" w:rsidRPr="00333510" w:rsidRDefault="00766A4A" w:rsidP="00EC4A67">
            <w:pPr>
              <w:spacing w:line="240" w:lineRule="auto"/>
              <w:jc w:val="center"/>
              <w:rPr>
                <w:szCs w:val="24"/>
              </w:rPr>
            </w:pPr>
            <w:r w:rsidRPr="00333510">
              <w:rPr>
                <w:szCs w:val="24"/>
              </w:rPr>
              <w:t>23%</w:t>
            </w:r>
          </w:p>
        </w:tc>
        <w:tc>
          <w:tcPr>
            <w:tcW w:w="946" w:type="pct"/>
            <w:tcBorders>
              <w:bottom w:val="single" w:sz="4" w:space="0" w:color="auto"/>
            </w:tcBorders>
            <w:vAlign w:val="bottom"/>
          </w:tcPr>
          <w:p w14:paraId="57BC6B98" w14:textId="77777777" w:rsidR="00766A4A" w:rsidRPr="00333510" w:rsidRDefault="00766A4A" w:rsidP="00EC4A67">
            <w:pPr>
              <w:spacing w:line="240" w:lineRule="auto"/>
              <w:jc w:val="center"/>
              <w:rPr>
                <w:szCs w:val="24"/>
              </w:rPr>
            </w:pPr>
            <w:r w:rsidRPr="00333510">
              <w:rPr>
                <w:szCs w:val="24"/>
              </w:rPr>
              <w:t>27%</w:t>
            </w:r>
          </w:p>
        </w:tc>
        <w:tc>
          <w:tcPr>
            <w:tcW w:w="856" w:type="pct"/>
            <w:tcBorders>
              <w:bottom w:val="single" w:sz="4" w:space="0" w:color="auto"/>
            </w:tcBorders>
            <w:vAlign w:val="bottom"/>
          </w:tcPr>
          <w:p w14:paraId="72788C66" w14:textId="77777777" w:rsidR="00766A4A" w:rsidRPr="00333510" w:rsidRDefault="00766A4A" w:rsidP="00EC4A67">
            <w:pPr>
              <w:spacing w:line="240" w:lineRule="auto"/>
              <w:jc w:val="center"/>
              <w:rPr>
                <w:szCs w:val="24"/>
              </w:rPr>
            </w:pPr>
            <w:r w:rsidRPr="00333510">
              <w:rPr>
                <w:szCs w:val="24"/>
              </w:rPr>
              <w:t>36%</w:t>
            </w:r>
          </w:p>
        </w:tc>
      </w:tr>
    </w:tbl>
    <w:p w14:paraId="7AFE891A" w14:textId="77777777" w:rsidR="00766A4A" w:rsidRPr="000263B0" w:rsidRDefault="00766A4A" w:rsidP="00766A4A">
      <w:pPr>
        <w:tabs>
          <w:tab w:val="left" w:pos="2423"/>
        </w:tabs>
        <w:spacing w:line="240" w:lineRule="auto"/>
        <w:jc w:val="both"/>
        <w:rPr>
          <w:rFonts w:eastAsiaTheme="minorEastAsia"/>
          <w:sz w:val="20"/>
          <w:szCs w:val="24"/>
        </w:rPr>
      </w:pPr>
      <w:r w:rsidRPr="000263B0">
        <w:rPr>
          <w:rFonts w:eastAsiaTheme="minorEastAsia"/>
          <w:sz w:val="20"/>
          <w:szCs w:val="24"/>
        </w:rPr>
        <w:t xml:space="preserve">Note: Risk premiums as % deviation of standard deviation of profits </w:t>
      </w:r>
      <w:r>
        <w:rPr>
          <w:rFonts w:eastAsiaTheme="minorEastAsia"/>
          <w:sz w:val="20"/>
          <w:szCs w:val="24"/>
        </w:rPr>
        <w:t xml:space="preserve">in columns 2 through 5 </w:t>
      </w:r>
      <w:r w:rsidRPr="000263B0">
        <w:rPr>
          <w:rFonts w:eastAsiaTheme="minorEastAsia"/>
          <w:sz w:val="20"/>
          <w:szCs w:val="24"/>
        </w:rPr>
        <w:t>are equivalent to relative risk aversion coefficients of 0, 2, 3, and 4.</w:t>
      </w:r>
    </w:p>
    <w:p w14:paraId="11DEABC6" w14:textId="77777777" w:rsidR="00766A4A" w:rsidRDefault="00766A4A" w:rsidP="00766A4A">
      <w:pPr>
        <w:spacing w:line="240" w:lineRule="auto"/>
        <w:ind w:left="708" w:hanging="708"/>
        <w:jc w:val="both"/>
        <w:rPr>
          <w:rFonts w:eastAsiaTheme="minorEastAsia"/>
          <w:b/>
          <w:szCs w:val="24"/>
        </w:rPr>
      </w:pPr>
    </w:p>
    <w:p w14:paraId="26709230" w14:textId="77777777" w:rsidR="00766A4A" w:rsidRDefault="00766A4A" w:rsidP="00766A4A">
      <w:pPr>
        <w:spacing w:line="240" w:lineRule="auto"/>
        <w:ind w:left="708" w:hanging="708"/>
        <w:jc w:val="both"/>
        <w:rPr>
          <w:rFonts w:eastAsiaTheme="minorEastAsia"/>
          <w:b/>
          <w:szCs w:val="24"/>
        </w:rPr>
      </w:pPr>
    </w:p>
    <w:p w14:paraId="47A50B50" w14:textId="77777777" w:rsidR="00766A4A" w:rsidRDefault="00766A4A" w:rsidP="00766A4A">
      <w:pPr>
        <w:spacing w:line="240" w:lineRule="auto"/>
        <w:ind w:left="708" w:hanging="708"/>
        <w:jc w:val="both"/>
        <w:rPr>
          <w:rFonts w:eastAsiaTheme="minorEastAsia"/>
          <w:b/>
          <w:szCs w:val="24"/>
        </w:rPr>
      </w:pPr>
    </w:p>
    <w:p w14:paraId="21AFC7AB" w14:textId="77777777" w:rsidR="00766A4A" w:rsidRDefault="00766A4A" w:rsidP="00766A4A">
      <w:pPr>
        <w:spacing w:line="240" w:lineRule="auto"/>
        <w:ind w:left="708" w:hanging="708"/>
        <w:jc w:val="both"/>
        <w:rPr>
          <w:rFonts w:eastAsiaTheme="minorEastAsia"/>
          <w:b/>
          <w:szCs w:val="24"/>
        </w:rPr>
      </w:pPr>
    </w:p>
    <w:p w14:paraId="6F8BA929" w14:textId="77777777" w:rsidR="00766A4A" w:rsidRDefault="00766A4A" w:rsidP="00766A4A">
      <w:pPr>
        <w:spacing w:line="240" w:lineRule="auto"/>
        <w:ind w:left="708" w:hanging="708"/>
        <w:jc w:val="both"/>
        <w:rPr>
          <w:rFonts w:eastAsiaTheme="minorEastAsia"/>
          <w:b/>
          <w:szCs w:val="24"/>
        </w:rPr>
      </w:pPr>
    </w:p>
    <w:p w14:paraId="5BE57304" w14:textId="77777777" w:rsidR="00766A4A" w:rsidRDefault="00766A4A" w:rsidP="00766A4A">
      <w:pPr>
        <w:spacing w:line="240" w:lineRule="auto"/>
        <w:ind w:left="708" w:hanging="708"/>
        <w:jc w:val="both"/>
        <w:rPr>
          <w:rFonts w:eastAsiaTheme="minorEastAsia"/>
          <w:b/>
          <w:szCs w:val="24"/>
        </w:rPr>
      </w:pPr>
    </w:p>
    <w:p w14:paraId="0C7A5AAA" w14:textId="77777777" w:rsidR="00766A4A" w:rsidRDefault="00766A4A" w:rsidP="00766A4A">
      <w:pPr>
        <w:spacing w:line="240" w:lineRule="auto"/>
        <w:ind w:left="708" w:hanging="708"/>
        <w:jc w:val="both"/>
        <w:rPr>
          <w:rFonts w:eastAsiaTheme="minorEastAsia"/>
          <w:b/>
          <w:szCs w:val="24"/>
        </w:rPr>
      </w:pPr>
    </w:p>
    <w:p w14:paraId="4CF4E90C" w14:textId="77777777" w:rsidR="00766A4A" w:rsidRDefault="00766A4A" w:rsidP="00766A4A">
      <w:pPr>
        <w:spacing w:line="240" w:lineRule="auto"/>
        <w:ind w:left="708" w:hanging="708"/>
        <w:jc w:val="both"/>
        <w:rPr>
          <w:rFonts w:eastAsiaTheme="minorEastAsia"/>
          <w:b/>
          <w:szCs w:val="24"/>
        </w:rPr>
      </w:pPr>
    </w:p>
    <w:p w14:paraId="6A9D6186" w14:textId="77777777" w:rsidR="00766A4A" w:rsidRDefault="00766A4A" w:rsidP="00766A4A">
      <w:pPr>
        <w:spacing w:line="240" w:lineRule="auto"/>
        <w:ind w:left="708" w:hanging="708"/>
        <w:jc w:val="both"/>
        <w:rPr>
          <w:rFonts w:eastAsiaTheme="minorEastAsia"/>
          <w:b/>
          <w:szCs w:val="24"/>
        </w:rPr>
      </w:pPr>
    </w:p>
    <w:p w14:paraId="32B34EA9" w14:textId="77777777" w:rsidR="00766A4A" w:rsidRDefault="00766A4A" w:rsidP="00766A4A">
      <w:pPr>
        <w:spacing w:line="240" w:lineRule="auto"/>
        <w:ind w:left="708" w:hanging="708"/>
        <w:jc w:val="both"/>
        <w:rPr>
          <w:rFonts w:eastAsiaTheme="minorEastAsia"/>
          <w:b/>
          <w:szCs w:val="24"/>
        </w:rPr>
      </w:pPr>
    </w:p>
    <w:p w14:paraId="25EC3143" w14:textId="77777777" w:rsidR="00766A4A" w:rsidRPr="00A816B4" w:rsidRDefault="00766A4A" w:rsidP="00766A4A">
      <w:pPr>
        <w:spacing w:line="240" w:lineRule="auto"/>
        <w:jc w:val="both"/>
        <w:rPr>
          <w:szCs w:val="24"/>
        </w:rPr>
      </w:pPr>
      <w:r>
        <w:rPr>
          <w:b/>
          <w:szCs w:val="24"/>
        </w:rPr>
        <w:t>Table 2.</w:t>
      </w:r>
      <w:r w:rsidRPr="00333510">
        <w:rPr>
          <w:rFonts w:eastAsiaTheme="minorEastAsia"/>
          <w:b/>
          <w:szCs w:val="24"/>
        </w:rPr>
        <w:t xml:space="preserve"> Value attributed to the</w:t>
      </w:r>
      <w:r>
        <w:rPr>
          <w:rFonts w:eastAsiaTheme="minorEastAsia"/>
          <w:b/>
          <w:szCs w:val="24"/>
        </w:rPr>
        <w:t xml:space="preserve"> proactive versus the reactive strategy</w:t>
      </w:r>
      <w:r w:rsidRPr="00333510">
        <w:rPr>
          <w:rFonts w:eastAsiaTheme="minorEastAsia"/>
          <w:b/>
          <w:szCs w:val="24"/>
        </w:rPr>
        <w:t xml:space="preserve"> for the CARA utility function, </w:t>
      </w:r>
      <w:r>
        <w:rPr>
          <w:rFonts w:eastAsiaTheme="minorEastAsia"/>
          <w:b/>
          <w:szCs w:val="24"/>
        </w:rPr>
        <w:t xml:space="preserve">by </w:t>
      </w:r>
      <w:r w:rsidRPr="00333510">
        <w:rPr>
          <w:rFonts w:eastAsiaTheme="minorEastAsia"/>
          <w:b/>
          <w:szCs w:val="24"/>
        </w:rPr>
        <w:t>risk aversion</w:t>
      </w:r>
      <w:r>
        <w:rPr>
          <w:rFonts w:eastAsiaTheme="minorEastAsia"/>
          <w:b/>
          <w:szCs w:val="24"/>
        </w:rPr>
        <w:t xml:space="preserve"> levels</w:t>
      </w:r>
      <w:r w:rsidRPr="00333510">
        <w:rPr>
          <w:rFonts w:eastAsiaTheme="minorEastAsia"/>
          <w:b/>
          <w:szCs w:val="24"/>
        </w:rPr>
        <w:t xml:space="preserve"> and productive activities. </w:t>
      </w:r>
    </w:p>
    <w:p w14:paraId="712AA856" w14:textId="77777777" w:rsidR="00766A4A" w:rsidRDefault="00766A4A" w:rsidP="00766A4A">
      <w:pPr>
        <w:spacing w:line="240" w:lineRule="auto"/>
        <w:jc w:val="both"/>
        <w:rPr>
          <w:szCs w:val="24"/>
        </w:rPr>
      </w:pPr>
    </w:p>
    <w:p w14:paraId="0C88D2A6" w14:textId="77777777" w:rsidR="00766A4A" w:rsidRPr="00A816B4" w:rsidRDefault="00766A4A" w:rsidP="00766A4A">
      <w:pPr>
        <w:spacing w:line="240" w:lineRule="auto"/>
        <w:jc w:val="both"/>
        <w:rPr>
          <w:szCs w:val="24"/>
        </w:rPr>
      </w:pPr>
    </w:p>
    <w:tbl>
      <w:tblPr>
        <w:tblpPr w:leftFromText="141" w:rightFromText="141" w:vertAnchor="text" w:horzAnchor="margin" w:tblpY="-227"/>
        <w:tblW w:w="5000" w:type="pct"/>
        <w:tblLayout w:type="fixed"/>
        <w:tblCellMar>
          <w:left w:w="70" w:type="dxa"/>
          <w:right w:w="70" w:type="dxa"/>
        </w:tblCellMar>
        <w:tblLook w:val="04A0" w:firstRow="1" w:lastRow="0" w:firstColumn="1" w:lastColumn="0" w:noHBand="0" w:noVBand="1"/>
      </w:tblPr>
      <w:tblGrid>
        <w:gridCol w:w="2693"/>
        <w:gridCol w:w="1828"/>
        <w:gridCol w:w="1439"/>
        <w:gridCol w:w="1439"/>
        <w:gridCol w:w="1439"/>
      </w:tblGrid>
      <w:tr w:rsidR="00766A4A" w:rsidRPr="00A816B4" w14:paraId="301531DD" w14:textId="77777777" w:rsidTr="00766A4A">
        <w:trPr>
          <w:trHeight w:val="377"/>
        </w:trPr>
        <w:tc>
          <w:tcPr>
            <w:tcW w:w="1524" w:type="pct"/>
            <w:tcBorders>
              <w:top w:val="single" w:sz="4" w:space="0" w:color="auto"/>
            </w:tcBorders>
            <w:shd w:val="clear" w:color="auto" w:fill="auto"/>
            <w:noWrap/>
            <w:vAlign w:val="center"/>
          </w:tcPr>
          <w:p w14:paraId="7805D0E4" w14:textId="77777777" w:rsidR="00766A4A" w:rsidRPr="00D46B82" w:rsidRDefault="00766A4A" w:rsidP="00EC4A67">
            <w:pPr>
              <w:spacing w:line="240" w:lineRule="auto"/>
              <w:jc w:val="center"/>
              <w:rPr>
                <w:rFonts w:eastAsia="Times New Roman"/>
                <w:b/>
                <w:color w:val="000000"/>
                <w:szCs w:val="24"/>
                <w:lang w:eastAsia="es-MX"/>
              </w:rPr>
            </w:pPr>
            <w:r>
              <w:rPr>
                <w:rFonts w:eastAsia="Times New Roman"/>
                <w:b/>
                <w:color w:val="000000"/>
                <w:szCs w:val="24"/>
                <w:lang w:eastAsia="es-MX"/>
              </w:rPr>
              <w:lastRenderedPageBreak/>
              <w:t>Value</w:t>
            </w:r>
          </w:p>
        </w:tc>
        <w:tc>
          <w:tcPr>
            <w:tcW w:w="3476" w:type="pct"/>
            <w:gridSpan w:val="4"/>
            <w:tcBorders>
              <w:top w:val="single" w:sz="4" w:space="0" w:color="auto"/>
              <w:bottom w:val="single" w:sz="4" w:space="0" w:color="auto"/>
            </w:tcBorders>
          </w:tcPr>
          <w:p w14:paraId="122BA993" w14:textId="77777777" w:rsidR="00766A4A" w:rsidRPr="00A816B4" w:rsidRDefault="00766A4A" w:rsidP="00EC4A67">
            <w:pPr>
              <w:spacing w:line="240" w:lineRule="auto"/>
              <w:jc w:val="center"/>
              <w:rPr>
                <w:b/>
                <w:lang w:eastAsia="es-MX"/>
              </w:rPr>
            </w:pPr>
            <w:r>
              <w:rPr>
                <w:rFonts w:eastAsia="Times New Roman"/>
                <w:b/>
                <w:color w:val="000000"/>
                <w:szCs w:val="24"/>
                <w:lang w:eastAsia="es-MX"/>
              </w:rPr>
              <w:t xml:space="preserve">RP </w:t>
            </w:r>
            <w:r w:rsidRPr="00A816B4">
              <w:rPr>
                <w:rFonts w:eastAsia="Times New Roman"/>
                <w:b/>
                <w:color w:val="000000"/>
                <w:szCs w:val="24"/>
                <w:lang w:eastAsia="es-MX"/>
              </w:rPr>
              <w:t xml:space="preserve">as a % of the </w:t>
            </w:r>
            <w:r>
              <w:rPr>
                <w:rFonts w:eastAsia="Times New Roman"/>
                <w:b/>
                <w:color w:val="000000"/>
                <w:szCs w:val="24"/>
                <w:lang w:eastAsia="es-MX"/>
              </w:rPr>
              <w:t>standard deviation of profits</w:t>
            </w:r>
          </w:p>
        </w:tc>
      </w:tr>
      <w:tr w:rsidR="00766A4A" w:rsidRPr="00117586" w14:paraId="317CD3A9" w14:textId="77777777" w:rsidTr="00766A4A">
        <w:trPr>
          <w:trHeight w:val="377"/>
        </w:trPr>
        <w:tc>
          <w:tcPr>
            <w:tcW w:w="4186" w:type="pct"/>
            <w:gridSpan w:val="4"/>
            <w:tcBorders>
              <w:bottom w:val="single" w:sz="4" w:space="0" w:color="auto"/>
            </w:tcBorders>
            <w:shd w:val="clear" w:color="auto" w:fill="auto"/>
            <w:noWrap/>
            <w:vAlign w:val="bottom"/>
            <w:hideMark/>
          </w:tcPr>
          <w:p w14:paraId="3826AD5F" w14:textId="77777777" w:rsidR="00766A4A" w:rsidRPr="009E7803" w:rsidRDefault="00766A4A" w:rsidP="00EC4A67">
            <w:pPr>
              <w:spacing w:line="240" w:lineRule="auto"/>
              <w:rPr>
                <w:b/>
                <w:lang w:eastAsia="es-MX"/>
              </w:rPr>
            </w:pPr>
            <w:r>
              <w:rPr>
                <w:rFonts w:eastAsia="Times New Roman"/>
                <w:b/>
                <w:color w:val="000000"/>
                <w:szCs w:val="24"/>
                <w:lang w:eastAsia="es-MX"/>
              </w:rPr>
              <w:t>Cows’ production</w:t>
            </w:r>
          </w:p>
        </w:tc>
        <w:tc>
          <w:tcPr>
            <w:tcW w:w="814" w:type="pct"/>
            <w:tcBorders>
              <w:top w:val="single" w:sz="4" w:space="0" w:color="auto"/>
              <w:bottom w:val="single" w:sz="4" w:space="0" w:color="auto"/>
            </w:tcBorders>
            <w:vAlign w:val="center"/>
          </w:tcPr>
          <w:p w14:paraId="3ED5F74B" w14:textId="77777777" w:rsidR="00766A4A" w:rsidRPr="009E7803" w:rsidRDefault="00766A4A" w:rsidP="00EC4A67">
            <w:pPr>
              <w:spacing w:line="240" w:lineRule="auto"/>
              <w:jc w:val="center"/>
              <w:rPr>
                <w:b/>
                <w:lang w:eastAsia="es-MX"/>
              </w:rPr>
            </w:pPr>
          </w:p>
        </w:tc>
      </w:tr>
      <w:tr w:rsidR="00766A4A" w:rsidRPr="00117586" w14:paraId="31D72FA4" w14:textId="77777777" w:rsidTr="00766A4A">
        <w:trPr>
          <w:trHeight w:val="377"/>
        </w:trPr>
        <w:tc>
          <w:tcPr>
            <w:tcW w:w="1524" w:type="pct"/>
            <w:shd w:val="clear" w:color="auto" w:fill="auto"/>
            <w:noWrap/>
            <w:vAlign w:val="bottom"/>
          </w:tcPr>
          <w:p w14:paraId="1CD0C4F3" w14:textId="77777777" w:rsidR="00766A4A" w:rsidRDefault="00766A4A" w:rsidP="00EC4A67">
            <w:pPr>
              <w:spacing w:line="240" w:lineRule="auto"/>
              <w:jc w:val="center"/>
              <w:rPr>
                <w:rFonts w:eastAsia="Times New Roman"/>
                <w:b/>
                <w:color w:val="000000"/>
                <w:szCs w:val="24"/>
                <w:lang w:eastAsia="es-MX"/>
              </w:rPr>
            </w:pPr>
          </w:p>
        </w:tc>
        <w:tc>
          <w:tcPr>
            <w:tcW w:w="1034" w:type="pct"/>
            <w:tcBorders>
              <w:top w:val="single" w:sz="4" w:space="0" w:color="auto"/>
              <w:bottom w:val="single" w:sz="4" w:space="0" w:color="auto"/>
            </w:tcBorders>
            <w:vAlign w:val="center"/>
          </w:tcPr>
          <w:p w14:paraId="10206DDB"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~0%</m:t>
                </m:r>
              </m:oMath>
            </m:oMathPara>
          </w:p>
        </w:tc>
        <w:tc>
          <w:tcPr>
            <w:tcW w:w="814" w:type="pct"/>
            <w:tcBorders>
              <w:top w:val="single" w:sz="4" w:space="0" w:color="auto"/>
              <w:bottom w:val="single" w:sz="4" w:space="0" w:color="auto"/>
            </w:tcBorders>
            <w:vAlign w:val="center"/>
          </w:tcPr>
          <w:p w14:paraId="47231A4A"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6%</m:t>
                </m:r>
              </m:oMath>
            </m:oMathPara>
          </w:p>
        </w:tc>
        <w:tc>
          <w:tcPr>
            <w:tcW w:w="814" w:type="pct"/>
            <w:tcBorders>
              <w:top w:val="single" w:sz="4" w:space="0" w:color="auto"/>
              <w:bottom w:val="single" w:sz="4" w:space="0" w:color="auto"/>
            </w:tcBorders>
            <w:vAlign w:val="center"/>
          </w:tcPr>
          <w:p w14:paraId="28B45769" w14:textId="77777777" w:rsidR="00766A4A" w:rsidRPr="009E7803" w:rsidRDefault="00766A4A" w:rsidP="00EC4A67">
            <w:pPr>
              <w:spacing w:line="240" w:lineRule="auto"/>
              <w:jc w:val="center"/>
              <w:rPr>
                <w:b/>
                <w:lang w:eastAsia="es-MX"/>
              </w:rPr>
            </w:pPr>
            <w:r>
              <w:rPr>
                <w:rFonts w:eastAsiaTheme="minorEastAsia"/>
                <w:b/>
                <w:color w:val="000000"/>
                <w:szCs w:val="24"/>
                <w:lang w:eastAsia="es-MX"/>
              </w:rPr>
              <w:t>1</w:t>
            </w:r>
            <m:oMath>
              <m:r>
                <m:rPr>
                  <m:sty m:val="bi"/>
                </m:rPr>
                <w:rPr>
                  <w:rFonts w:ascii="Cambria Math" w:eastAsia="Times New Roman" w:hAnsi="Cambria Math"/>
                  <w:color w:val="000000"/>
                  <w:szCs w:val="24"/>
                  <w:lang w:eastAsia="es-MX"/>
                </w:rPr>
                <m:t>2%</m:t>
              </m:r>
            </m:oMath>
          </w:p>
        </w:tc>
        <w:tc>
          <w:tcPr>
            <w:tcW w:w="814" w:type="pct"/>
            <w:tcBorders>
              <w:top w:val="single" w:sz="4" w:space="0" w:color="auto"/>
              <w:bottom w:val="single" w:sz="4" w:space="0" w:color="auto"/>
            </w:tcBorders>
            <w:vAlign w:val="center"/>
          </w:tcPr>
          <w:p w14:paraId="298A1869"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18%</m:t>
                </m:r>
              </m:oMath>
            </m:oMathPara>
          </w:p>
        </w:tc>
      </w:tr>
      <w:tr w:rsidR="00766A4A" w:rsidRPr="00117586" w14:paraId="154E674E" w14:textId="77777777" w:rsidTr="00766A4A">
        <w:trPr>
          <w:trHeight w:val="377"/>
        </w:trPr>
        <w:tc>
          <w:tcPr>
            <w:tcW w:w="1524" w:type="pct"/>
            <w:shd w:val="clear" w:color="auto" w:fill="auto"/>
            <w:noWrap/>
            <w:vAlign w:val="center"/>
            <w:hideMark/>
          </w:tcPr>
          <w:p w14:paraId="274B6299"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Total  additional value</w:t>
            </w:r>
          </w:p>
        </w:tc>
        <w:tc>
          <w:tcPr>
            <w:tcW w:w="1034" w:type="pct"/>
            <w:tcBorders>
              <w:top w:val="single" w:sz="4" w:space="0" w:color="auto"/>
            </w:tcBorders>
            <w:vAlign w:val="bottom"/>
          </w:tcPr>
          <w:p w14:paraId="12124E05" w14:textId="77777777" w:rsidR="00766A4A" w:rsidRPr="00A6209F" w:rsidRDefault="00766A4A" w:rsidP="00EC4A67">
            <w:pPr>
              <w:spacing w:line="240" w:lineRule="auto"/>
              <w:jc w:val="center"/>
              <w:rPr>
                <w:color w:val="000000"/>
              </w:rPr>
            </w:pPr>
            <w:r w:rsidRPr="00A6209F">
              <w:rPr>
                <w:color w:val="000000"/>
              </w:rPr>
              <w:t>0.8035</w:t>
            </w:r>
          </w:p>
        </w:tc>
        <w:tc>
          <w:tcPr>
            <w:tcW w:w="814" w:type="pct"/>
            <w:tcBorders>
              <w:top w:val="single" w:sz="4" w:space="0" w:color="auto"/>
            </w:tcBorders>
            <w:vAlign w:val="bottom"/>
          </w:tcPr>
          <w:p w14:paraId="6347BF66" w14:textId="77777777" w:rsidR="00766A4A" w:rsidRPr="00A6209F" w:rsidRDefault="00766A4A" w:rsidP="00EC4A67">
            <w:pPr>
              <w:spacing w:line="240" w:lineRule="auto"/>
              <w:jc w:val="center"/>
              <w:rPr>
                <w:color w:val="000000"/>
              </w:rPr>
            </w:pPr>
            <w:r w:rsidRPr="00A6209F">
              <w:rPr>
                <w:color w:val="000000"/>
              </w:rPr>
              <w:t>0.8062</w:t>
            </w:r>
          </w:p>
        </w:tc>
        <w:tc>
          <w:tcPr>
            <w:tcW w:w="814" w:type="pct"/>
            <w:tcBorders>
              <w:top w:val="single" w:sz="4" w:space="0" w:color="auto"/>
            </w:tcBorders>
            <w:vAlign w:val="bottom"/>
          </w:tcPr>
          <w:p w14:paraId="5286A4FD" w14:textId="77777777" w:rsidR="00766A4A" w:rsidRPr="00A6209F" w:rsidRDefault="00766A4A" w:rsidP="00EC4A67">
            <w:pPr>
              <w:spacing w:line="240" w:lineRule="auto"/>
              <w:jc w:val="center"/>
              <w:rPr>
                <w:color w:val="000000"/>
              </w:rPr>
            </w:pPr>
            <w:r w:rsidRPr="00A6209F">
              <w:rPr>
                <w:color w:val="000000"/>
              </w:rPr>
              <w:t>0.8098</w:t>
            </w:r>
          </w:p>
        </w:tc>
        <w:tc>
          <w:tcPr>
            <w:tcW w:w="814" w:type="pct"/>
            <w:tcBorders>
              <w:top w:val="single" w:sz="4" w:space="0" w:color="auto"/>
            </w:tcBorders>
            <w:vAlign w:val="bottom"/>
          </w:tcPr>
          <w:p w14:paraId="12745E32" w14:textId="77777777" w:rsidR="00766A4A" w:rsidRPr="00A6209F" w:rsidRDefault="00766A4A" w:rsidP="00EC4A67">
            <w:pPr>
              <w:spacing w:line="240" w:lineRule="auto"/>
              <w:jc w:val="center"/>
              <w:rPr>
                <w:color w:val="000000"/>
              </w:rPr>
            </w:pPr>
            <w:r w:rsidRPr="00A6209F">
              <w:rPr>
                <w:color w:val="000000"/>
              </w:rPr>
              <w:t>0.8122</w:t>
            </w:r>
          </w:p>
        </w:tc>
      </w:tr>
      <w:tr w:rsidR="00766A4A" w:rsidRPr="00117586" w14:paraId="226C57F3" w14:textId="77777777" w:rsidTr="00766A4A">
        <w:trPr>
          <w:trHeight w:val="377"/>
        </w:trPr>
        <w:tc>
          <w:tcPr>
            <w:tcW w:w="1524" w:type="pct"/>
            <w:shd w:val="clear" w:color="auto" w:fill="auto"/>
            <w:noWrap/>
            <w:vAlign w:val="center"/>
            <w:hideMark/>
          </w:tcPr>
          <w:p w14:paraId="7BDDC538"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higher mean</w:t>
            </w:r>
          </w:p>
        </w:tc>
        <w:tc>
          <w:tcPr>
            <w:tcW w:w="1034" w:type="pct"/>
            <w:vAlign w:val="bottom"/>
          </w:tcPr>
          <w:p w14:paraId="05E3E3CB" w14:textId="77777777" w:rsidR="00766A4A" w:rsidRPr="00A6209F" w:rsidRDefault="00766A4A" w:rsidP="00EC4A67">
            <w:pPr>
              <w:spacing w:line="240" w:lineRule="auto"/>
              <w:jc w:val="center"/>
              <w:rPr>
                <w:color w:val="000000"/>
              </w:rPr>
            </w:pPr>
            <w:r w:rsidRPr="00333510">
              <w:rPr>
                <w:szCs w:val="24"/>
              </w:rPr>
              <w:t>~</w:t>
            </w:r>
            <w:r w:rsidRPr="00A6209F">
              <w:rPr>
                <w:color w:val="000000"/>
              </w:rPr>
              <w:t>0.8035</w:t>
            </w:r>
          </w:p>
        </w:tc>
        <w:tc>
          <w:tcPr>
            <w:tcW w:w="814" w:type="pct"/>
            <w:vAlign w:val="bottom"/>
          </w:tcPr>
          <w:p w14:paraId="12A68C56" w14:textId="77777777" w:rsidR="00766A4A" w:rsidRPr="00A6209F" w:rsidRDefault="00766A4A" w:rsidP="00EC4A67">
            <w:pPr>
              <w:spacing w:line="240" w:lineRule="auto"/>
              <w:jc w:val="center"/>
              <w:rPr>
                <w:color w:val="000000"/>
              </w:rPr>
            </w:pPr>
            <w:r w:rsidRPr="00A6209F">
              <w:rPr>
                <w:color w:val="000000"/>
              </w:rPr>
              <w:t>0.7499</w:t>
            </w:r>
          </w:p>
        </w:tc>
        <w:tc>
          <w:tcPr>
            <w:tcW w:w="814" w:type="pct"/>
            <w:vAlign w:val="bottom"/>
          </w:tcPr>
          <w:p w14:paraId="1A626B74" w14:textId="77777777" w:rsidR="00766A4A" w:rsidRPr="00A6209F" w:rsidRDefault="00766A4A" w:rsidP="00EC4A67">
            <w:pPr>
              <w:spacing w:line="240" w:lineRule="auto"/>
              <w:jc w:val="center"/>
              <w:rPr>
                <w:color w:val="000000"/>
              </w:rPr>
            </w:pPr>
            <w:r w:rsidRPr="00A6209F">
              <w:rPr>
                <w:color w:val="000000"/>
              </w:rPr>
              <w:t>0.726</w:t>
            </w:r>
            <w:r>
              <w:rPr>
                <w:color w:val="000000"/>
              </w:rPr>
              <w:t>0</w:t>
            </w:r>
          </w:p>
        </w:tc>
        <w:tc>
          <w:tcPr>
            <w:tcW w:w="814" w:type="pct"/>
            <w:vAlign w:val="bottom"/>
          </w:tcPr>
          <w:p w14:paraId="4CC0FB0F" w14:textId="77777777" w:rsidR="00766A4A" w:rsidRPr="00A6209F" w:rsidRDefault="00766A4A" w:rsidP="00EC4A67">
            <w:pPr>
              <w:spacing w:line="240" w:lineRule="auto"/>
              <w:jc w:val="center"/>
              <w:rPr>
                <w:color w:val="000000"/>
              </w:rPr>
            </w:pPr>
            <w:r w:rsidRPr="00A6209F">
              <w:rPr>
                <w:color w:val="000000"/>
              </w:rPr>
              <w:t>0.6956</w:t>
            </w:r>
          </w:p>
        </w:tc>
      </w:tr>
      <w:tr w:rsidR="00766A4A" w:rsidRPr="00117586" w14:paraId="058517C2" w14:textId="77777777" w:rsidTr="00766A4A">
        <w:trPr>
          <w:trHeight w:val="377"/>
        </w:trPr>
        <w:tc>
          <w:tcPr>
            <w:tcW w:w="1524" w:type="pct"/>
            <w:tcBorders>
              <w:bottom w:val="single" w:sz="4" w:space="0" w:color="auto"/>
            </w:tcBorders>
            <w:shd w:val="clear" w:color="auto" w:fill="auto"/>
            <w:noWrap/>
            <w:vAlign w:val="center"/>
            <w:hideMark/>
          </w:tcPr>
          <w:p w14:paraId="3176D587"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less volatility</w:t>
            </w:r>
          </w:p>
        </w:tc>
        <w:tc>
          <w:tcPr>
            <w:tcW w:w="1034" w:type="pct"/>
            <w:tcBorders>
              <w:bottom w:val="single" w:sz="4" w:space="0" w:color="auto"/>
            </w:tcBorders>
            <w:vAlign w:val="bottom"/>
          </w:tcPr>
          <w:p w14:paraId="36EA6420" w14:textId="77777777" w:rsidR="00766A4A" w:rsidRPr="00EB40F7" w:rsidRDefault="00766A4A" w:rsidP="00EC4A67">
            <w:pPr>
              <w:spacing w:line="240" w:lineRule="auto"/>
              <w:jc w:val="center"/>
            </w:pPr>
            <w:r>
              <w:rPr>
                <w:szCs w:val="24"/>
                <w:lang w:val="es-UY"/>
              </w:rPr>
              <w:t>~</w:t>
            </w:r>
            <w:r w:rsidRPr="00A447C7">
              <w:rPr>
                <w:color w:val="000000"/>
              </w:rPr>
              <w:t>0</w:t>
            </w:r>
          </w:p>
        </w:tc>
        <w:tc>
          <w:tcPr>
            <w:tcW w:w="814" w:type="pct"/>
            <w:tcBorders>
              <w:bottom w:val="single" w:sz="4" w:space="0" w:color="auto"/>
            </w:tcBorders>
            <w:vAlign w:val="bottom"/>
          </w:tcPr>
          <w:p w14:paraId="590FEF6C" w14:textId="77777777" w:rsidR="00766A4A" w:rsidRPr="00320CDB" w:rsidRDefault="00766A4A" w:rsidP="00EC4A67">
            <w:pPr>
              <w:spacing w:line="240" w:lineRule="auto"/>
              <w:jc w:val="center"/>
            </w:pPr>
            <w:r w:rsidRPr="00FA65D5">
              <w:rPr>
                <w:color w:val="000000"/>
              </w:rPr>
              <w:t>0.099</w:t>
            </w:r>
            <w:r>
              <w:rPr>
                <w:color w:val="000000"/>
              </w:rPr>
              <w:t>0</w:t>
            </w:r>
          </w:p>
        </w:tc>
        <w:tc>
          <w:tcPr>
            <w:tcW w:w="814" w:type="pct"/>
            <w:tcBorders>
              <w:bottom w:val="single" w:sz="4" w:space="0" w:color="auto"/>
            </w:tcBorders>
            <w:vAlign w:val="bottom"/>
          </w:tcPr>
          <w:p w14:paraId="5360ED3B" w14:textId="77777777" w:rsidR="00766A4A" w:rsidRPr="00320CDB" w:rsidRDefault="00766A4A" w:rsidP="00EC4A67">
            <w:pPr>
              <w:spacing w:line="240" w:lineRule="auto"/>
              <w:jc w:val="center"/>
            </w:pPr>
            <w:r w:rsidRPr="00FA65D5">
              <w:rPr>
                <w:color w:val="000000"/>
              </w:rPr>
              <w:t>0.123</w:t>
            </w:r>
            <w:r>
              <w:rPr>
                <w:color w:val="000000"/>
              </w:rPr>
              <w:t>0</w:t>
            </w:r>
          </w:p>
        </w:tc>
        <w:tc>
          <w:tcPr>
            <w:tcW w:w="814" w:type="pct"/>
            <w:tcBorders>
              <w:bottom w:val="single" w:sz="4" w:space="0" w:color="auto"/>
            </w:tcBorders>
            <w:vAlign w:val="bottom"/>
          </w:tcPr>
          <w:p w14:paraId="4879D8F5" w14:textId="77777777" w:rsidR="00766A4A" w:rsidRPr="00320CDB" w:rsidRDefault="00766A4A" w:rsidP="00EC4A67">
            <w:pPr>
              <w:spacing w:line="240" w:lineRule="auto"/>
              <w:jc w:val="center"/>
            </w:pPr>
            <w:r w:rsidRPr="00FA65D5">
              <w:rPr>
                <w:color w:val="000000"/>
              </w:rPr>
              <w:t>0.156</w:t>
            </w:r>
            <w:r>
              <w:rPr>
                <w:color w:val="000000"/>
              </w:rPr>
              <w:t>0</w:t>
            </w:r>
          </w:p>
        </w:tc>
      </w:tr>
      <w:tr w:rsidR="00766A4A" w:rsidRPr="00117586" w14:paraId="20A02DF8" w14:textId="77777777" w:rsidTr="00766A4A">
        <w:trPr>
          <w:trHeight w:val="377"/>
        </w:trPr>
        <w:tc>
          <w:tcPr>
            <w:tcW w:w="1524" w:type="pct"/>
            <w:tcBorders>
              <w:top w:val="single" w:sz="4" w:space="0" w:color="auto"/>
            </w:tcBorders>
            <w:shd w:val="clear" w:color="auto" w:fill="auto"/>
            <w:noWrap/>
            <w:vAlign w:val="center"/>
          </w:tcPr>
          <w:p w14:paraId="5DED1E67"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mean</m:t>
                    </m:r>
                  </m:num>
                  <m:den>
                    <m:r>
                      <w:rPr>
                        <w:rFonts w:ascii="Cambria Math" w:eastAsia="Times New Roman" w:hAnsi="Cambria Math"/>
                        <w:sz w:val="20"/>
                        <w:szCs w:val="24"/>
                        <w:lang w:eastAsia="es-MX"/>
                      </w:rPr>
                      <m:t>total</m:t>
                    </m:r>
                  </m:den>
                </m:f>
              </m:oMath>
            </m:oMathPara>
          </w:p>
        </w:tc>
        <w:tc>
          <w:tcPr>
            <w:tcW w:w="1034" w:type="pct"/>
            <w:tcBorders>
              <w:top w:val="single" w:sz="4" w:space="0" w:color="auto"/>
            </w:tcBorders>
            <w:vAlign w:val="center"/>
          </w:tcPr>
          <w:p w14:paraId="6CB446B5" w14:textId="77777777" w:rsidR="00766A4A" w:rsidRPr="00EB40F7" w:rsidRDefault="00766A4A" w:rsidP="00EC4A67">
            <w:pPr>
              <w:spacing w:line="240" w:lineRule="auto"/>
              <w:jc w:val="center"/>
            </w:pPr>
            <w:r w:rsidRPr="00333510">
              <w:rPr>
                <w:szCs w:val="24"/>
              </w:rPr>
              <w:t>~</w:t>
            </w:r>
            <w:r>
              <w:rPr>
                <w:color w:val="000000"/>
              </w:rPr>
              <w:t>100</w:t>
            </w:r>
            <w:r w:rsidRPr="00FA65D5">
              <w:rPr>
                <w:color w:val="000000"/>
              </w:rPr>
              <w:t>%</w:t>
            </w:r>
          </w:p>
        </w:tc>
        <w:tc>
          <w:tcPr>
            <w:tcW w:w="814" w:type="pct"/>
            <w:tcBorders>
              <w:top w:val="single" w:sz="4" w:space="0" w:color="auto"/>
            </w:tcBorders>
            <w:vAlign w:val="bottom"/>
          </w:tcPr>
          <w:p w14:paraId="5B09802B" w14:textId="77777777" w:rsidR="00766A4A" w:rsidRPr="00A6209F" w:rsidRDefault="00766A4A" w:rsidP="00EC4A67">
            <w:pPr>
              <w:spacing w:line="240" w:lineRule="auto"/>
              <w:jc w:val="center"/>
              <w:rPr>
                <w:color w:val="000000"/>
              </w:rPr>
            </w:pPr>
            <w:r>
              <w:rPr>
                <w:color w:val="000000"/>
              </w:rPr>
              <w:t>93</w:t>
            </w:r>
            <w:r w:rsidRPr="00A6209F">
              <w:rPr>
                <w:color w:val="000000"/>
              </w:rPr>
              <w:t>%</w:t>
            </w:r>
          </w:p>
        </w:tc>
        <w:tc>
          <w:tcPr>
            <w:tcW w:w="814" w:type="pct"/>
            <w:tcBorders>
              <w:top w:val="single" w:sz="4" w:space="0" w:color="auto"/>
            </w:tcBorders>
            <w:vAlign w:val="bottom"/>
          </w:tcPr>
          <w:p w14:paraId="1686D98D" w14:textId="77777777" w:rsidR="00766A4A" w:rsidRPr="00A6209F" w:rsidRDefault="00766A4A" w:rsidP="00EC4A67">
            <w:pPr>
              <w:spacing w:line="240" w:lineRule="auto"/>
              <w:jc w:val="center"/>
              <w:rPr>
                <w:color w:val="000000"/>
              </w:rPr>
            </w:pPr>
            <w:r>
              <w:rPr>
                <w:color w:val="000000"/>
              </w:rPr>
              <w:t>90</w:t>
            </w:r>
            <w:r w:rsidRPr="00A6209F">
              <w:rPr>
                <w:color w:val="000000"/>
              </w:rPr>
              <w:t>%</w:t>
            </w:r>
          </w:p>
        </w:tc>
        <w:tc>
          <w:tcPr>
            <w:tcW w:w="814" w:type="pct"/>
            <w:tcBorders>
              <w:top w:val="single" w:sz="4" w:space="0" w:color="auto"/>
            </w:tcBorders>
            <w:vAlign w:val="bottom"/>
          </w:tcPr>
          <w:p w14:paraId="4E54A73A" w14:textId="77777777" w:rsidR="00766A4A" w:rsidRPr="00A6209F" w:rsidRDefault="00766A4A" w:rsidP="00EC4A67">
            <w:pPr>
              <w:spacing w:line="240" w:lineRule="auto"/>
              <w:jc w:val="center"/>
              <w:rPr>
                <w:color w:val="000000"/>
              </w:rPr>
            </w:pPr>
            <w:r>
              <w:rPr>
                <w:color w:val="000000"/>
              </w:rPr>
              <w:t>86</w:t>
            </w:r>
            <w:r w:rsidRPr="00A6209F">
              <w:rPr>
                <w:color w:val="000000"/>
              </w:rPr>
              <w:t>%</w:t>
            </w:r>
          </w:p>
        </w:tc>
      </w:tr>
      <w:tr w:rsidR="00766A4A" w:rsidRPr="00117586" w14:paraId="3EBB0BA1" w14:textId="77777777" w:rsidTr="00766A4A">
        <w:trPr>
          <w:trHeight w:val="377"/>
        </w:trPr>
        <w:tc>
          <w:tcPr>
            <w:tcW w:w="1524" w:type="pct"/>
            <w:tcBorders>
              <w:bottom w:val="single" w:sz="4" w:space="0" w:color="auto"/>
            </w:tcBorders>
            <w:shd w:val="clear" w:color="auto" w:fill="auto"/>
            <w:noWrap/>
            <w:vAlign w:val="center"/>
          </w:tcPr>
          <w:p w14:paraId="3C104B07" w14:textId="77777777" w:rsidR="00766A4A" w:rsidRPr="00EF3196" w:rsidRDefault="00766A4A" w:rsidP="00EC4A67">
            <w:pPr>
              <w:spacing w:line="240" w:lineRule="auto"/>
              <w:rPr>
                <w:rFonts w:eastAsia="Times New Roman"/>
                <w:i/>
                <w:szCs w:val="24"/>
                <w:lang w:eastAsia="es-MX"/>
              </w:rPr>
            </w:pPr>
            <m:oMathPara>
              <m:oMathParaPr>
                <m:jc m:val="center"/>
              </m:oMathParaPr>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volat</m:t>
                    </m:r>
                  </m:num>
                  <m:den>
                    <m:r>
                      <w:rPr>
                        <w:rFonts w:ascii="Cambria Math" w:eastAsia="Times New Roman" w:hAnsi="Cambria Math"/>
                        <w:sz w:val="20"/>
                        <w:szCs w:val="24"/>
                        <w:lang w:eastAsia="es-MX"/>
                      </w:rPr>
                      <m:t>total</m:t>
                    </m:r>
                  </m:den>
                </m:f>
              </m:oMath>
            </m:oMathPara>
          </w:p>
        </w:tc>
        <w:tc>
          <w:tcPr>
            <w:tcW w:w="1034" w:type="pct"/>
            <w:tcBorders>
              <w:bottom w:val="single" w:sz="4" w:space="0" w:color="auto"/>
            </w:tcBorders>
            <w:vAlign w:val="center"/>
          </w:tcPr>
          <w:p w14:paraId="581B0D67" w14:textId="77777777" w:rsidR="00766A4A" w:rsidRPr="00EB40F7" w:rsidRDefault="00766A4A" w:rsidP="00EC4A67">
            <w:pPr>
              <w:spacing w:line="240" w:lineRule="auto"/>
              <w:jc w:val="center"/>
            </w:pPr>
            <w:r w:rsidRPr="00333510">
              <w:rPr>
                <w:szCs w:val="24"/>
              </w:rPr>
              <w:t>~</w:t>
            </w:r>
            <w:r>
              <w:rPr>
                <w:color w:val="000000"/>
              </w:rPr>
              <w:t>0</w:t>
            </w:r>
            <w:r w:rsidRPr="00FA65D5">
              <w:rPr>
                <w:color w:val="000000"/>
              </w:rPr>
              <w:t>%</w:t>
            </w:r>
          </w:p>
        </w:tc>
        <w:tc>
          <w:tcPr>
            <w:tcW w:w="814" w:type="pct"/>
            <w:tcBorders>
              <w:bottom w:val="single" w:sz="4" w:space="0" w:color="auto"/>
            </w:tcBorders>
            <w:vAlign w:val="bottom"/>
          </w:tcPr>
          <w:p w14:paraId="20DE1BA9" w14:textId="77777777" w:rsidR="00766A4A" w:rsidRPr="00A6209F" w:rsidRDefault="00766A4A" w:rsidP="00EC4A67">
            <w:pPr>
              <w:spacing w:line="240" w:lineRule="auto"/>
              <w:jc w:val="center"/>
              <w:rPr>
                <w:color w:val="000000"/>
              </w:rPr>
            </w:pPr>
            <w:r>
              <w:rPr>
                <w:color w:val="000000"/>
              </w:rPr>
              <w:t>7</w:t>
            </w:r>
            <w:r w:rsidRPr="00A6209F">
              <w:rPr>
                <w:color w:val="000000"/>
              </w:rPr>
              <w:t>%</w:t>
            </w:r>
          </w:p>
        </w:tc>
        <w:tc>
          <w:tcPr>
            <w:tcW w:w="814" w:type="pct"/>
            <w:tcBorders>
              <w:bottom w:val="single" w:sz="4" w:space="0" w:color="auto"/>
            </w:tcBorders>
            <w:vAlign w:val="bottom"/>
          </w:tcPr>
          <w:p w14:paraId="03D7E3D0" w14:textId="77777777" w:rsidR="00766A4A" w:rsidRPr="00A6209F" w:rsidRDefault="00766A4A" w:rsidP="00EC4A67">
            <w:pPr>
              <w:spacing w:line="240" w:lineRule="auto"/>
              <w:jc w:val="center"/>
              <w:rPr>
                <w:color w:val="000000"/>
              </w:rPr>
            </w:pPr>
            <w:r>
              <w:rPr>
                <w:color w:val="000000"/>
              </w:rPr>
              <w:t>10</w:t>
            </w:r>
            <w:r w:rsidRPr="00A6209F">
              <w:rPr>
                <w:color w:val="000000"/>
              </w:rPr>
              <w:t>%</w:t>
            </w:r>
          </w:p>
        </w:tc>
        <w:tc>
          <w:tcPr>
            <w:tcW w:w="814" w:type="pct"/>
            <w:tcBorders>
              <w:bottom w:val="single" w:sz="4" w:space="0" w:color="auto"/>
            </w:tcBorders>
            <w:vAlign w:val="bottom"/>
          </w:tcPr>
          <w:p w14:paraId="0C4B45A2" w14:textId="77777777" w:rsidR="00766A4A" w:rsidRPr="00A6209F" w:rsidRDefault="00766A4A" w:rsidP="00EC4A67">
            <w:pPr>
              <w:spacing w:line="240" w:lineRule="auto"/>
              <w:jc w:val="center"/>
              <w:rPr>
                <w:color w:val="000000"/>
              </w:rPr>
            </w:pPr>
            <w:r>
              <w:rPr>
                <w:color w:val="000000"/>
              </w:rPr>
              <w:t>14</w:t>
            </w:r>
            <w:r w:rsidRPr="00A6209F">
              <w:rPr>
                <w:color w:val="000000"/>
              </w:rPr>
              <w:t>%</w:t>
            </w:r>
          </w:p>
        </w:tc>
      </w:tr>
      <w:tr w:rsidR="00766A4A" w:rsidRPr="00117586" w14:paraId="7ED31D63" w14:textId="77777777" w:rsidTr="00766A4A">
        <w:trPr>
          <w:trHeight w:val="377"/>
        </w:trPr>
        <w:tc>
          <w:tcPr>
            <w:tcW w:w="5000" w:type="pct"/>
            <w:gridSpan w:val="5"/>
            <w:tcBorders>
              <w:top w:val="single" w:sz="4" w:space="0" w:color="auto"/>
              <w:bottom w:val="single" w:sz="4" w:space="0" w:color="auto"/>
            </w:tcBorders>
            <w:shd w:val="clear" w:color="auto" w:fill="auto"/>
            <w:noWrap/>
            <w:vAlign w:val="center"/>
          </w:tcPr>
          <w:p w14:paraId="28B9E6AC" w14:textId="77777777" w:rsidR="00766A4A" w:rsidRPr="009E7803" w:rsidRDefault="00766A4A" w:rsidP="00EC4A67">
            <w:pPr>
              <w:spacing w:line="240" w:lineRule="auto"/>
              <w:rPr>
                <w:b/>
                <w:lang w:eastAsia="es-MX"/>
              </w:rPr>
            </w:pPr>
            <w:r>
              <w:rPr>
                <w:rFonts w:eastAsia="Times New Roman"/>
                <w:b/>
                <w:color w:val="000000"/>
                <w:szCs w:val="24"/>
                <w:lang w:eastAsia="es-MX"/>
              </w:rPr>
              <w:t>Cows’ production &amp; sheep</w:t>
            </w:r>
          </w:p>
        </w:tc>
      </w:tr>
      <w:tr w:rsidR="00766A4A" w:rsidRPr="00117586" w14:paraId="30E63B51" w14:textId="77777777" w:rsidTr="00766A4A">
        <w:trPr>
          <w:trHeight w:val="377"/>
        </w:trPr>
        <w:tc>
          <w:tcPr>
            <w:tcW w:w="1524" w:type="pct"/>
            <w:shd w:val="clear" w:color="auto" w:fill="auto"/>
            <w:noWrap/>
            <w:vAlign w:val="center"/>
          </w:tcPr>
          <w:p w14:paraId="041B550E" w14:textId="77777777" w:rsidR="00766A4A" w:rsidRPr="00860CC1" w:rsidRDefault="00766A4A" w:rsidP="00EC4A67">
            <w:pPr>
              <w:spacing w:line="240" w:lineRule="auto"/>
              <w:rPr>
                <w:rFonts w:eastAsia="Times New Roman"/>
                <w:szCs w:val="24"/>
                <w:lang w:eastAsia="es-MX"/>
              </w:rPr>
            </w:pPr>
          </w:p>
        </w:tc>
        <w:tc>
          <w:tcPr>
            <w:tcW w:w="1034" w:type="pct"/>
            <w:tcBorders>
              <w:top w:val="single" w:sz="4" w:space="0" w:color="auto"/>
            </w:tcBorders>
            <w:vAlign w:val="center"/>
          </w:tcPr>
          <w:p w14:paraId="279AB7C1"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~0%</m:t>
                </m:r>
              </m:oMath>
            </m:oMathPara>
          </w:p>
        </w:tc>
        <w:tc>
          <w:tcPr>
            <w:tcW w:w="814" w:type="pct"/>
            <w:tcBorders>
              <w:top w:val="single" w:sz="4" w:space="0" w:color="auto"/>
            </w:tcBorders>
            <w:vAlign w:val="center"/>
          </w:tcPr>
          <w:p w14:paraId="75882D65"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6%</m:t>
                </m:r>
              </m:oMath>
            </m:oMathPara>
          </w:p>
        </w:tc>
        <w:tc>
          <w:tcPr>
            <w:tcW w:w="814" w:type="pct"/>
            <w:tcBorders>
              <w:top w:val="single" w:sz="4" w:space="0" w:color="auto"/>
            </w:tcBorders>
            <w:vAlign w:val="center"/>
          </w:tcPr>
          <w:p w14:paraId="04426412" w14:textId="77777777" w:rsidR="00766A4A" w:rsidRPr="009E7803" w:rsidRDefault="00766A4A" w:rsidP="00EC4A67">
            <w:pPr>
              <w:spacing w:line="240" w:lineRule="auto"/>
              <w:jc w:val="center"/>
              <w:rPr>
                <w:b/>
                <w:lang w:eastAsia="es-MX"/>
              </w:rPr>
            </w:pPr>
            <w:r>
              <w:rPr>
                <w:rFonts w:eastAsiaTheme="minorEastAsia"/>
                <w:b/>
                <w:color w:val="000000"/>
                <w:szCs w:val="24"/>
                <w:lang w:eastAsia="es-MX"/>
              </w:rPr>
              <w:t>1</w:t>
            </w:r>
            <m:oMath>
              <m:r>
                <m:rPr>
                  <m:sty m:val="bi"/>
                </m:rPr>
                <w:rPr>
                  <w:rFonts w:ascii="Cambria Math" w:eastAsia="Times New Roman" w:hAnsi="Cambria Math"/>
                  <w:color w:val="000000"/>
                  <w:szCs w:val="24"/>
                  <w:lang w:eastAsia="es-MX"/>
                </w:rPr>
                <m:t>2%</m:t>
              </m:r>
            </m:oMath>
          </w:p>
        </w:tc>
        <w:tc>
          <w:tcPr>
            <w:tcW w:w="814" w:type="pct"/>
            <w:tcBorders>
              <w:top w:val="single" w:sz="4" w:space="0" w:color="auto"/>
            </w:tcBorders>
            <w:vAlign w:val="center"/>
          </w:tcPr>
          <w:p w14:paraId="0205BB11" w14:textId="77777777" w:rsidR="00766A4A" w:rsidRPr="009E7803" w:rsidRDefault="00766A4A" w:rsidP="00EC4A67">
            <w:pPr>
              <w:spacing w:line="240" w:lineRule="auto"/>
              <w:jc w:val="center"/>
              <w:rPr>
                <w:b/>
                <w:lang w:eastAsia="es-MX"/>
              </w:rPr>
            </w:pPr>
            <m:oMathPara>
              <m:oMath>
                <m:r>
                  <m:rPr>
                    <m:sty m:val="bi"/>
                  </m:rPr>
                  <w:rPr>
                    <w:rFonts w:ascii="Cambria Math" w:eastAsia="Times New Roman" w:hAnsi="Cambria Math"/>
                    <w:color w:val="000000"/>
                    <w:szCs w:val="24"/>
                    <w:lang w:eastAsia="es-MX"/>
                  </w:rPr>
                  <m:t>18%</m:t>
                </m:r>
              </m:oMath>
            </m:oMathPara>
          </w:p>
        </w:tc>
      </w:tr>
      <w:tr w:rsidR="00766A4A" w:rsidRPr="00117586" w14:paraId="7C8D66F0" w14:textId="77777777" w:rsidTr="00766A4A">
        <w:trPr>
          <w:trHeight w:val="377"/>
        </w:trPr>
        <w:tc>
          <w:tcPr>
            <w:tcW w:w="1524" w:type="pct"/>
            <w:shd w:val="clear" w:color="auto" w:fill="auto"/>
            <w:noWrap/>
            <w:vAlign w:val="center"/>
          </w:tcPr>
          <w:p w14:paraId="0B7E587D"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Total  additional value</w:t>
            </w:r>
          </w:p>
        </w:tc>
        <w:tc>
          <w:tcPr>
            <w:tcW w:w="1034" w:type="pct"/>
            <w:tcBorders>
              <w:top w:val="single" w:sz="4" w:space="0" w:color="auto"/>
            </w:tcBorders>
            <w:vAlign w:val="bottom"/>
          </w:tcPr>
          <w:p w14:paraId="09157786" w14:textId="77777777" w:rsidR="00766A4A" w:rsidRPr="003E03A0"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0.0421</w:t>
            </w:r>
          </w:p>
        </w:tc>
        <w:tc>
          <w:tcPr>
            <w:tcW w:w="814" w:type="pct"/>
            <w:tcBorders>
              <w:top w:val="single" w:sz="4" w:space="0" w:color="auto"/>
            </w:tcBorders>
            <w:vAlign w:val="bottom"/>
          </w:tcPr>
          <w:p w14:paraId="1797076E" w14:textId="77777777" w:rsidR="00766A4A" w:rsidRPr="003E03A0"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0.0421</w:t>
            </w:r>
          </w:p>
        </w:tc>
        <w:tc>
          <w:tcPr>
            <w:tcW w:w="814" w:type="pct"/>
            <w:tcBorders>
              <w:top w:val="single" w:sz="4" w:space="0" w:color="auto"/>
            </w:tcBorders>
            <w:vAlign w:val="bottom"/>
          </w:tcPr>
          <w:p w14:paraId="1804BFD6" w14:textId="77777777" w:rsidR="00766A4A" w:rsidRPr="003E03A0"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0.0421</w:t>
            </w:r>
          </w:p>
        </w:tc>
        <w:tc>
          <w:tcPr>
            <w:tcW w:w="814" w:type="pct"/>
            <w:tcBorders>
              <w:top w:val="single" w:sz="4" w:space="0" w:color="auto"/>
            </w:tcBorders>
            <w:vAlign w:val="bottom"/>
          </w:tcPr>
          <w:p w14:paraId="0940230D" w14:textId="77777777" w:rsidR="00766A4A" w:rsidRPr="003E03A0"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0.0421</w:t>
            </w:r>
          </w:p>
        </w:tc>
      </w:tr>
      <w:tr w:rsidR="00766A4A" w:rsidRPr="00117586" w14:paraId="4163264E" w14:textId="77777777" w:rsidTr="00766A4A">
        <w:trPr>
          <w:trHeight w:val="377"/>
        </w:trPr>
        <w:tc>
          <w:tcPr>
            <w:tcW w:w="1524" w:type="pct"/>
            <w:shd w:val="clear" w:color="auto" w:fill="auto"/>
            <w:noWrap/>
            <w:vAlign w:val="center"/>
          </w:tcPr>
          <w:p w14:paraId="57B2EE63"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higher mean</w:t>
            </w:r>
          </w:p>
        </w:tc>
        <w:tc>
          <w:tcPr>
            <w:tcW w:w="1034" w:type="pct"/>
            <w:vAlign w:val="bottom"/>
          </w:tcPr>
          <w:p w14:paraId="067026B5" w14:textId="77777777" w:rsidR="00766A4A" w:rsidRPr="00DD7BF6" w:rsidRDefault="00766A4A" w:rsidP="00EC4A67">
            <w:pPr>
              <w:spacing w:line="240" w:lineRule="auto"/>
              <w:jc w:val="center"/>
              <w:rPr>
                <w:rFonts w:eastAsia="Times New Roman"/>
                <w:color w:val="000000"/>
                <w:lang w:eastAsia="es-MX"/>
              </w:rPr>
            </w:pPr>
            <w:r w:rsidRPr="00A447C7">
              <w:rPr>
                <w:color w:val="000000"/>
              </w:rPr>
              <w:t>⁓</w:t>
            </w:r>
            <w:r w:rsidRPr="003E03A0">
              <w:rPr>
                <w:rFonts w:eastAsia="Times New Roman"/>
                <w:color w:val="000000"/>
                <w:lang w:eastAsia="es-MX"/>
              </w:rPr>
              <w:t>0.0421</w:t>
            </w:r>
          </w:p>
        </w:tc>
        <w:tc>
          <w:tcPr>
            <w:tcW w:w="814" w:type="pct"/>
            <w:vAlign w:val="bottom"/>
          </w:tcPr>
          <w:p w14:paraId="17899FF5"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0.0364</w:t>
            </w:r>
          </w:p>
        </w:tc>
        <w:tc>
          <w:tcPr>
            <w:tcW w:w="814" w:type="pct"/>
            <w:vAlign w:val="bottom"/>
          </w:tcPr>
          <w:p w14:paraId="15CA484F"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0.034</w:t>
            </w:r>
          </w:p>
        </w:tc>
        <w:tc>
          <w:tcPr>
            <w:tcW w:w="814" w:type="pct"/>
            <w:vAlign w:val="bottom"/>
          </w:tcPr>
          <w:p w14:paraId="0C44AB0F"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0.0314</w:t>
            </w:r>
          </w:p>
        </w:tc>
      </w:tr>
      <w:tr w:rsidR="00766A4A" w:rsidRPr="00117586" w14:paraId="7F3D8266" w14:textId="77777777" w:rsidTr="00766A4A">
        <w:trPr>
          <w:trHeight w:val="377"/>
        </w:trPr>
        <w:tc>
          <w:tcPr>
            <w:tcW w:w="1524" w:type="pct"/>
            <w:tcBorders>
              <w:bottom w:val="single" w:sz="12" w:space="0" w:color="auto"/>
            </w:tcBorders>
            <w:shd w:val="clear" w:color="auto" w:fill="auto"/>
            <w:noWrap/>
            <w:vAlign w:val="center"/>
          </w:tcPr>
          <w:p w14:paraId="13C15F99" w14:textId="77777777" w:rsidR="00766A4A" w:rsidRPr="002F4E78" w:rsidRDefault="00766A4A" w:rsidP="00EC4A67">
            <w:pPr>
              <w:spacing w:line="240" w:lineRule="auto"/>
              <w:rPr>
                <w:rFonts w:eastAsia="Times New Roman"/>
                <w:szCs w:val="24"/>
                <w:lang w:eastAsia="es-MX"/>
              </w:rPr>
            </w:pPr>
            <w:r w:rsidRPr="002F4E78">
              <w:rPr>
                <w:rFonts w:eastAsia="Times New Roman"/>
                <w:szCs w:val="24"/>
                <w:lang w:eastAsia="es-MX"/>
              </w:rPr>
              <w:t>Value for less volatility</w:t>
            </w:r>
          </w:p>
        </w:tc>
        <w:tc>
          <w:tcPr>
            <w:tcW w:w="1034" w:type="pct"/>
            <w:tcBorders>
              <w:bottom w:val="single" w:sz="12" w:space="0" w:color="auto"/>
            </w:tcBorders>
            <w:vAlign w:val="bottom"/>
          </w:tcPr>
          <w:p w14:paraId="7C7D1B36" w14:textId="77777777" w:rsidR="00766A4A" w:rsidRPr="00DD7BF6" w:rsidRDefault="00766A4A" w:rsidP="00EC4A67">
            <w:pPr>
              <w:spacing w:line="240" w:lineRule="auto"/>
              <w:jc w:val="center"/>
              <w:rPr>
                <w:rFonts w:eastAsia="Times New Roman"/>
                <w:color w:val="000000"/>
                <w:lang w:eastAsia="es-MX"/>
              </w:rPr>
            </w:pPr>
            <w:r w:rsidRPr="00A447C7">
              <w:rPr>
                <w:color w:val="000000"/>
              </w:rPr>
              <w:t>⁓0</w:t>
            </w:r>
          </w:p>
        </w:tc>
        <w:tc>
          <w:tcPr>
            <w:tcW w:w="814" w:type="pct"/>
            <w:tcBorders>
              <w:bottom w:val="single" w:sz="12" w:space="0" w:color="auto"/>
            </w:tcBorders>
            <w:vAlign w:val="bottom"/>
          </w:tcPr>
          <w:p w14:paraId="6689F461"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0.0057</w:t>
            </w:r>
          </w:p>
        </w:tc>
        <w:tc>
          <w:tcPr>
            <w:tcW w:w="814" w:type="pct"/>
            <w:tcBorders>
              <w:bottom w:val="single" w:sz="12" w:space="0" w:color="auto"/>
            </w:tcBorders>
            <w:vAlign w:val="bottom"/>
          </w:tcPr>
          <w:p w14:paraId="5571208D"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0.0081</w:t>
            </w:r>
          </w:p>
        </w:tc>
        <w:tc>
          <w:tcPr>
            <w:tcW w:w="814" w:type="pct"/>
            <w:tcBorders>
              <w:bottom w:val="single" w:sz="12" w:space="0" w:color="auto"/>
            </w:tcBorders>
            <w:vAlign w:val="bottom"/>
          </w:tcPr>
          <w:p w14:paraId="6FFAAFF7" w14:textId="77777777" w:rsidR="00766A4A" w:rsidRPr="00DD7BF6" w:rsidRDefault="00766A4A" w:rsidP="00EC4A67">
            <w:pPr>
              <w:spacing w:line="240" w:lineRule="auto"/>
              <w:jc w:val="center"/>
              <w:rPr>
                <w:rFonts w:eastAsia="Times New Roman"/>
                <w:color w:val="000000"/>
                <w:lang w:eastAsia="es-MX"/>
              </w:rPr>
            </w:pPr>
            <w:r w:rsidRPr="003E03A0">
              <w:rPr>
                <w:rFonts w:eastAsia="Times New Roman"/>
                <w:color w:val="000000"/>
                <w:lang w:eastAsia="es-MX"/>
              </w:rPr>
              <w:t>0.0107</w:t>
            </w:r>
          </w:p>
        </w:tc>
      </w:tr>
      <w:tr w:rsidR="00766A4A" w:rsidRPr="00117586" w14:paraId="060AFF82" w14:textId="77777777" w:rsidTr="00766A4A">
        <w:trPr>
          <w:trHeight w:val="377"/>
        </w:trPr>
        <w:tc>
          <w:tcPr>
            <w:tcW w:w="1524" w:type="pct"/>
            <w:tcBorders>
              <w:top w:val="single" w:sz="12" w:space="0" w:color="auto"/>
            </w:tcBorders>
            <w:shd w:val="clear" w:color="auto" w:fill="auto"/>
            <w:noWrap/>
            <w:vAlign w:val="center"/>
          </w:tcPr>
          <w:p w14:paraId="75C08401"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mean</m:t>
                    </m:r>
                  </m:num>
                  <m:den>
                    <m:r>
                      <w:rPr>
                        <w:rFonts w:ascii="Cambria Math" w:eastAsia="Times New Roman" w:hAnsi="Cambria Math"/>
                        <w:sz w:val="20"/>
                        <w:szCs w:val="24"/>
                        <w:lang w:eastAsia="es-MX"/>
                      </w:rPr>
                      <m:t>total</m:t>
                    </m:r>
                  </m:den>
                </m:f>
              </m:oMath>
            </m:oMathPara>
          </w:p>
        </w:tc>
        <w:tc>
          <w:tcPr>
            <w:tcW w:w="1034" w:type="pct"/>
            <w:tcBorders>
              <w:top w:val="single" w:sz="12" w:space="0" w:color="auto"/>
            </w:tcBorders>
            <w:vAlign w:val="bottom"/>
          </w:tcPr>
          <w:p w14:paraId="75950B6D" w14:textId="77777777" w:rsidR="00766A4A" w:rsidRPr="003E03A0" w:rsidRDefault="00766A4A" w:rsidP="00EC4A67">
            <w:pPr>
              <w:spacing w:line="240" w:lineRule="auto"/>
              <w:jc w:val="center"/>
              <w:rPr>
                <w:rFonts w:eastAsia="Times New Roman"/>
                <w:color w:val="000000"/>
                <w:szCs w:val="24"/>
                <w:lang w:eastAsia="es-MX"/>
              </w:rPr>
            </w:pPr>
            <w:r w:rsidRPr="00333510">
              <w:rPr>
                <w:szCs w:val="24"/>
              </w:rPr>
              <w:t>~</w:t>
            </w:r>
            <w:r w:rsidRPr="003E03A0">
              <w:rPr>
                <w:color w:val="000000"/>
                <w:szCs w:val="24"/>
              </w:rPr>
              <w:t>100%</w:t>
            </w:r>
          </w:p>
        </w:tc>
        <w:tc>
          <w:tcPr>
            <w:tcW w:w="814" w:type="pct"/>
            <w:tcBorders>
              <w:top w:val="single" w:sz="12" w:space="0" w:color="auto"/>
            </w:tcBorders>
            <w:vAlign w:val="bottom"/>
          </w:tcPr>
          <w:p w14:paraId="71E4588B"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86%</w:t>
            </w:r>
          </w:p>
        </w:tc>
        <w:tc>
          <w:tcPr>
            <w:tcW w:w="814" w:type="pct"/>
            <w:tcBorders>
              <w:top w:val="single" w:sz="12" w:space="0" w:color="auto"/>
            </w:tcBorders>
            <w:vAlign w:val="bottom"/>
          </w:tcPr>
          <w:p w14:paraId="6025C7C0"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81%</w:t>
            </w:r>
          </w:p>
        </w:tc>
        <w:tc>
          <w:tcPr>
            <w:tcW w:w="814" w:type="pct"/>
            <w:tcBorders>
              <w:top w:val="single" w:sz="12" w:space="0" w:color="auto"/>
            </w:tcBorders>
            <w:vAlign w:val="bottom"/>
          </w:tcPr>
          <w:p w14:paraId="246D0950"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75%</w:t>
            </w:r>
          </w:p>
        </w:tc>
      </w:tr>
      <w:tr w:rsidR="00766A4A" w:rsidRPr="00117586" w14:paraId="2B7797AC" w14:textId="77777777" w:rsidTr="00766A4A">
        <w:trPr>
          <w:trHeight w:val="377"/>
        </w:trPr>
        <w:tc>
          <w:tcPr>
            <w:tcW w:w="1524" w:type="pct"/>
            <w:tcBorders>
              <w:bottom w:val="single" w:sz="4" w:space="0" w:color="auto"/>
            </w:tcBorders>
            <w:shd w:val="clear" w:color="auto" w:fill="auto"/>
            <w:noWrap/>
            <w:vAlign w:val="center"/>
          </w:tcPr>
          <w:p w14:paraId="6EF8CF9A" w14:textId="77777777" w:rsidR="00766A4A" w:rsidRPr="001B12AF" w:rsidRDefault="00766A4A" w:rsidP="00EC4A67">
            <w:pPr>
              <w:spacing w:line="240" w:lineRule="auto"/>
              <w:rPr>
                <w:rFonts w:eastAsia="Times New Roman"/>
                <w:i/>
                <w:szCs w:val="24"/>
                <w:lang w:eastAsia="es-MX"/>
              </w:rPr>
            </w:pPr>
            <m:oMathPara>
              <m:oMath>
                <m:f>
                  <m:fPr>
                    <m:type m:val="skw"/>
                    <m:ctrlPr>
                      <w:rPr>
                        <w:rFonts w:ascii="Cambria Math" w:eastAsia="Times New Roman" w:hAnsi="Cambria Math"/>
                        <w:i/>
                        <w:sz w:val="20"/>
                        <w:szCs w:val="24"/>
                        <w:lang w:eastAsia="es-MX"/>
                      </w:rPr>
                    </m:ctrlPr>
                  </m:fPr>
                  <m:num>
                    <m:r>
                      <w:rPr>
                        <w:rFonts w:ascii="Cambria Math" w:eastAsia="Times New Roman" w:hAnsi="Cambria Math"/>
                        <w:sz w:val="20"/>
                        <w:szCs w:val="24"/>
                        <w:lang w:eastAsia="es-MX"/>
                      </w:rPr>
                      <m:t>volat</m:t>
                    </m:r>
                  </m:num>
                  <m:den>
                    <m:r>
                      <w:rPr>
                        <w:rFonts w:ascii="Cambria Math" w:eastAsia="Times New Roman" w:hAnsi="Cambria Math"/>
                        <w:sz w:val="20"/>
                        <w:szCs w:val="24"/>
                        <w:lang w:eastAsia="es-MX"/>
                      </w:rPr>
                      <m:t>total</m:t>
                    </m:r>
                  </m:den>
                </m:f>
              </m:oMath>
            </m:oMathPara>
          </w:p>
        </w:tc>
        <w:tc>
          <w:tcPr>
            <w:tcW w:w="1034" w:type="pct"/>
            <w:tcBorders>
              <w:bottom w:val="single" w:sz="4" w:space="0" w:color="auto"/>
            </w:tcBorders>
            <w:vAlign w:val="bottom"/>
          </w:tcPr>
          <w:p w14:paraId="5A413BAF" w14:textId="77777777" w:rsidR="00766A4A" w:rsidRPr="003E03A0" w:rsidRDefault="00766A4A" w:rsidP="00EC4A67">
            <w:pPr>
              <w:spacing w:line="240" w:lineRule="auto"/>
              <w:jc w:val="center"/>
              <w:rPr>
                <w:rFonts w:eastAsia="Times New Roman"/>
                <w:color w:val="000000"/>
                <w:szCs w:val="24"/>
                <w:lang w:eastAsia="es-MX"/>
              </w:rPr>
            </w:pPr>
            <w:r w:rsidRPr="00333510">
              <w:rPr>
                <w:szCs w:val="24"/>
              </w:rPr>
              <w:t>~</w:t>
            </w:r>
            <w:r w:rsidRPr="003E03A0">
              <w:rPr>
                <w:color w:val="000000"/>
                <w:szCs w:val="24"/>
              </w:rPr>
              <w:t>0%</w:t>
            </w:r>
          </w:p>
        </w:tc>
        <w:tc>
          <w:tcPr>
            <w:tcW w:w="814" w:type="pct"/>
            <w:tcBorders>
              <w:bottom w:val="single" w:sz="4" w:space="0" w:color="auto"/>
            </w:tcBorders>
            <w:vAlign w:val="bottom"/>
          </w:tcPr>
          <w:p w14:paraId="139B826B"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14%</w:t>
            </w:r>
          </w:p>
        </w:tc>
        <w:tc>
          <w:tcPr>
            <w:tcW w:w="814" w:type="pct"/>
            <w:tcBorders>
              <w:bottom w:val="single" w:sz="4" w:space="0" w:color="auto"/>
            </w:tcBorders>
            <w:vAlign w:val="bottom"/>
          </w:tcPr>
          <w:p w14:paraId="4FE6EE2E"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19%</w:t>
            </w:r>
          </w:p>
        </w:tc>
        <w:tc>
          <w:tcPr>
            <w:tcW w:w="814" w:type="pct"/>
            <w:tcBorders>
              <w:bottom w:val="single" w:sz="4" w:space="0" w:color="auto"/>
            </w:tcBorders>
            <w:vAlign w:val="bottom"/>
          </w:tcPr>
          <w:p w14:paraId="694C3419" w14:textId="77777777" w:rsidR="00766A4A" w:rsidRPr="003E03A0" w:rsidRDefault="00766A4A" w:rsidP="00EC4A67">
            <w:pPr>
              <w:spacing w:line="240" w:lineRule="auto"/>
              <w:jc w:val="center"/>
              <w:rPr>
                <w:rFonts w:eastAsia="Times New Roman"/>
                <w:color w:val="000000"/>
                <w:szCs w:val="24"/>
                <w:lang w:eastAsia="es-MX"/>
              </w:rPr>
            </w:pPr>
            <w:r w:rsidRPr="003E03A0">
              <w:rPr>
                <w:color w:val="000000"/>
                <w:szCs w:val="24"/>
              </w:rPr>
              <w:t>25%</w:t>
            </w:r>
          </w:p>
        </w:tc>
      </w:tr>
    </w:tbl>
    <w:p w14:paraId="26026D3D" w14:textId="77777777" w:rsidR="00766A4A" w:rsidRPr="000263B0" w:rsidRDefault="00766A4A" w:rsidP="00766A4A">
      <w:pPr>
        <w:tabs>
          <w:tab w:val="left" w:pos="2423"/>
        </w:tabs>
        <w:spacing w:line="240" w:lineRule="auto"/>
        <w:jc w:val="both"/>
        <w:rPr>
          <w:rFonts w:eastAsiaTheme="minorEastAsia"/>
          <w:sz w:val="20"/>
          <w:szCs w:val="24"/>
        </w:rPr>
      </w:pPr>
      <w:r w:rsidRPr="000263B0">
        <w:rPr>
          <w:rFonts w:eastAsiaTheme="minorEastAsia"/>
          <w:sz w:val="20"/>
          <w:szCs w:val="24"/>
        </w:rPr>
        <w:t xml:space="preserve">Note: Risk premiums as % deviation of standard deviation of profits </w:t>
      </w:r>
      <w:r>
        <w:rPr>
          <w:rFonts w:eastAsiaTheme="minorEastAsia"/>
          <w:sz w:val="20"/>
          <w:szCs w:val="24"/>
        </w:rPr>
        <w:t xml:space="preserve">in columns 2 through 5 </w:t>
      </w:r>
      <w:r w:rsidRPr="000263B0">
        <w:rPr>
          <w:rFonts w:eastAsiaTheme="minorEastAsia"/>
          <w:sz w:val="20"/>
          <w:szCs w:val="24"/>
        </w:rPr>
        <w:t>are equivalent to relative risk aversion coefficients of 0, 2, 3, and 4.</w:t>
      </w:r>
    </w:p>
    <w:p w14:paraId="46258923" w14:textId="77777777" w:rsidR="00766A4A" w:rsidRDefault="00766A4A" w:rsidP="00766A4A">
      <w:pPr>
        <w:spacing w:line="240" w:lineRule="auto"/>
        <w:ind w:left="708" w:hanging="708"/>
        <w:jc w:val="both"/>
        <w:rPr>
          <w:rFonts w:eastAsiaTheme="minorEastAsia"/>
          <w:b/>
          <w:szCs w:val="24"/>
        </w:rPr>
      </w:pPr>
    </w:p>
    <w:p w14:paraId="290AE499" w14:textId="77777777" w:rsidR="00766A4A" w:rsidRDefault="00766A4A" w:rsidP="00766A4A">
      <w:pPr>
        <w:spacing w:line="240" w:lineRule="auto"/>
        <w:ind w:left="708" w:hanging="708"/>
        <w:jc w:val="both"/>
        <w:rPr>
          <w:rFonts w:eastAsiaTheme="minorEastAsia"/>
          <w:b/>
          <w:szCs w:val="24"/>
        </w:rPr>
      </w:pPr>
    </w:p>
    <w:p w14:paraId="21F0961A" w14:textId="77777777" w:rsidR="00766A4A" w:rsidRDefault="00766A4A" w:rsidP="00766A4A">
      <w:pPr>
        <w:spacing w:line="240" w:lineRule="auto"/>
        <w:ind w:left="708" w:hanging="708"/>
        <w:jc w:val="both"/>
        <w:rPr>
          <w:rFonts w:eastAsiaTheme="minorEastAsia"/>
          <w:b/>
          <w:szCs w:val="24"/>
        </w:rPr>
      </w:pPr>
    </w:p>
    <w:p w14:paraId="615DA52D" w14:textId="77777777" w:rsidR="00766A4A" w:rsidRDefault="00766A4A" w:rsidP="00766A4A">
      <w:pPr>
        <w:ind w:firstLine="0"/>
      </w:pPr>
    </w:p>
    <w:p w14:paraId="25BB3917" w14:textId="5B839D85" w:rsidR="00766A4A" w:rsidRDefault="00766A4A">
      <w:pPr>
        <w:spacing w:after="200" w:line="276" w:lineRule="auto"/>
        <w:ind w:firstLine="0"/>
      </w:pPr>
      <w:r>
        <w:br w:type="page"/>
      </w:r>
    </w:p>
    <w:p w14:paraId="633EDBCB" w14:textId="77777777" w:rsidR="00766A4A" w:rsidRDefault="00766A4A" w:rsidP="00766A4A">
      <w:pPr>
        <w:ind w:firstLine="0"/>
      </w:pPr>
      <w:bookmarkStart w:id="3" w:name="_GoBack"/>
      <w:bookmarkEnd w:id="3"/>
    </w:p>
    <w:p w14:paraId="5F204E79" w14:textId="77777777" w:rsidR="00766A4A" w:rsidRPr="00744972" w:rsidRDefault="00766A4A" w:rsidP="00766A4A">
      <w:pPr>
        <w:rPr>
          <w:b/>
        </w:rPr>
      </w:pPr>
      <w:r w:rsidRPr="00744972">
        <w:rPr>
          <w:b/>
        </w:rPr>
        <w:t>References</w:t>
      </w:r>
    </w:p>
    <w:p w14:paraId="756F65CD" w14:textId="77777777" w:rsidR="00766A4A" w:rsidRPr="00744972" w:rsidRDefault="00766A4A" w:rsidP="00766A4A">
      <w:pPr>
        <w:ind w:left="284" w:hanging="284"/>
        <w:rPr>
          <w:szCs w:val="24"/>
        </w:rPr>
      </w:pPr>
      <w:proofErr w:type="spellStart"/>
      <w:r w:rsidRPr="00744972">
        <w:rPr>
          <w:szCs w:val="24"/>
        </w:rPr>
        <w:t>Apland</w:t>
      </w:r>
      <w:proofErr w:type="spellEnd"/>
      <w:r w:rsidRPr="00744972">
        <w:rPr>
          <w:szCs w:val="24"/>
        </w:rPr>
        <w:t xml:space="preserve"> J, </w:t>
      </w:r>
      <w:proofErr w:type="spellStart"/>
      <w:r w:rsidRPr="00744972">
        <w:rPr>
          <w:szCs w:val="24"/>
        </w:rPr>
        <w:t>McCarl</w:t>
      </w:r>
      <w:proofErr w:type="spellEnd"/>
      <w:r w:rsidRPr="00744972">
        <w:rPr>
          <w:szCs w:val="24"/>
        </w:rPr>
        <w:t xml:space="preserve"> BA, Miller WL (1980) Risk and the demand for supplemental irrigation: a case study in the Corn Belt. American Journal of Agricultural Economics 62(1):142-145</w:t>
      </w:r>
    </w:p>
    <w:p w14:paraId="4DA14E40" w14:textId="77777777" w:rsidR="00766A4A" w:rsidRPr="00744972" w:rsidRDefault="00766A4A" w:rsidP="00766A4A">
      <w:pPr>
        <w:ind w:left="284" w:hanging="284"/>
        <w:rPr>
          <w:szCs w:val="24"/>
        </w:rPr>
      </w:pPr>
      <w:r w:rsidRPr="00744972">
        <w:rPr>
          <w:szCs w:val="24"/>
        </w:rPr>
        <w:t>Babcock BA, Hennessy DA (1996) Input demand under yield and revenue insurance. American Journal of Agricultural Economics 78(2):416-427.</w:t>
      </w:r>
    </w:p>
    <w:p w14:paraId="4043D2EE" w14:textId="77777777" w:rsidR="00766A4A" w:rsidRPr="00744972" w:rsidRDefault="00766A4A" w:rsidP="00766A4A">
      <w:pPr>
        <w:ind w:left="284" w:hanging="284"/>
        <w:rPr>
          <w:szCs w:val="24"/>
        </w:rPr>
      </w:pPr>
      <w:r w:rsidRPr="00744972">
        <w:rPr>
          <w:szCs w:val="24"/>
        </w:rPr>
        <w:t xml:space="preserve">Babcock BA, Choi EK, </w:t>
      </w:r>
      <w:proofErr w:type="spellStart"/>
      <w:r w:rsidRPr="00744972">
        <w:rPr>
          <w:szCs w:val="24"/>
        </w:rPr>
        <w:t>Feinerman</w:t>
      </w:r>
      <w:proofErr w:type="spellEnd"/>
      <w:r w:rsidRPr="00744972">
        <w:rPr>
          <w:szCs w:val="24"/>
        </w:rPr>
        <w:t xml:space="preserve"> E (1993) Risk and probability premiums for CARA utility function. Journal of Agricultural and Resource Economics 18(1):17–24</w:t>
      </w:r>
    </w:p>
    <w:p w14:paraId="04FFBA99" w14:textId="77777777" w:rsidR="00766A4A" w:rsidRPr="00744972" w:rsidRDefault="00766A4A" w:rsidP="00766A4A">
      <w:pPr>
        <w:ind w:left="284" w:hanging="284"/>
        <w:rPr>
          <w:szCs w:val="24"/>
        </w:rPr>
      </w:pPr>
      <w:r w:rsidRPr="00744972">
        <w:rPr>
          <w:szCs w:val="24"/>
        </w:rPr>
        <w:t xml:space="preserve">Barbieri CW, de </w:t>
      </w:r>
      <w:proofErr w:type="spellStart"/>
      <w:r w:rsidRPr="00744972">
        <w:rPr>
          <w:szCs w:val="24"/>
        </w:rPr>
        <w:t>Quadros</w:t>
      </w:r>
      <w:proofErr w:type="spellEnd"/>
      <w:r w:rsidRPr="00744972">
        <w:rPr>
          <w:szCs w:val="24"/>
        </w:rPr>
        <w:t xml:space="preserve"> FLF, </w:t>
      </w:r>
      <w:proofErr w:type="spellStart"/>
      <w:r w:rsidRPr="00744972">
        <w:rPr>
          <w:szCs w:val="24"/>
        </w:rPr>
        <w:t>Jochims</w:t>
      </w:r>
      <w:proofErr w:type="spellEnd"/>
      <w:r w:rsidRPr="00744972">
        <w:rPr>
          <w:szCs w:val="24"/>
        </w:rPr>
        <w:t xml:space="preserve"> F, </w:t>
      </w:r>
      <w:proofErr w:type="spellStart"/>
      <w:r w:rsidRPr="00744972">
        <w:rPr>
          <w:szCs w:val="24"/>
        </w:rPr>
        <w:t>Soares</w:t>
      </w:r>
      <w:proofErr w:type="spellEnd"/>
      <w:r w:rsidRPr="00744972">
        <w:rPr>
          <w:szCs w:val="24"/>
        </w:rPr>
        <w:t xml:space="preserve"> ÉM, de Oliveira LB, </w:t>
      </w:r>
      <w:proofErr w:type="spellStart"/>
      <w:r w:rsidRPr="00744972">
        <w:rPr>
          <w:szCs w:val="24"/>
        </w:rPr>
        <w:t>Carvalho</w:t>
      </w:r>
      <w:proofErr w:type="spellEnd"/>
      <w:r w:rsidRPr="00744972">
        <w:rPr>
          <w:szCs w:val="24"/>
        </w:rPr>
        <w:t xml:space="preserve"> RMR, </w:t>
      </w:r>
      <w:proofErr w:type="spellStart"/>
      <w:r w:rsidRPr="00744972">
        <w:rPr>
          <w:szCs w:val="24"/>
        </w:rPr>
        <w:t>Gusatto</w:t>
      </w:r>
      <w:proofErr w:type="spellEnd"/>
      <w:r w:rsidRPr="00744972">
        <w:rPr>
          <w:szCs w:val="24"/>
        </w:rPr>
        <w:t xml:space="preserve"> F (2014) Sward structural characteristics and performance of beef heifers reared under rotational grazing management on </w:t>
      </w:r>
      <w:proofErr w:type="spellStart"/>
      <w:r w:rsidRPr="00744972">
        <w:rPr>
          <w:szCs w:val="24"/>
        </w:rPr>
        <w:t>campos</w:t>
      </w:r>
      <w:proofErr w:type="spellEnd"/>
      <w:r w:rsidRPr="00744972">
        <w:rPr>
          <w:szCs w:val="24"/>
        </w:rPr>
        <w:t xml:space="preserve"> grassland. American Journal of Plant Sciences 5(7):1020.</w:t>
      </w:r>
    </w:p>
    <w:p w14:paraId="61A633A8" w14:textId="77777777" w:rsidR="00766A4A" w:rsidRPr="00744972" w:rsidRDefault="00766A4A" w:rsidP="00766A4A">
      <w:pPr>
        <w:ind w:left="284" w:hanging="284"/>
        <w:rPr>
          <w:szCs w:val="24"/>
        </w:rPr>
      </w:pPr>
      <w:proofErr w:type="spellStart"/>
      <w:r w:rsidRPr="00744972">
        <w:rPr>
          <w:szCs w:val="24"/>
        </w:rPr>
        <w:t>Beeskow</w:t>
      </w:r>
      <w:proofErr w:type="spellEnd"/>
      <w:r w:rsidRPr="00744972">
        <w:rPr>
          <w:szCs w:val="24"/>
        </w:rPr>
        <w:t xml:space="preserve"> AM, </w:t>
      </w:r>
      <w:proofErr w:type="spellStart"/>
      <w:r w:rsidRPr="00744972">
        <w:rPr>
          <w:szCs w:val="24"/>
        </w:rPr>
        <w:t>Elissalde</w:t>
      </w:r>
      <w:proofErr w:type="spellEnd"/>
      <w:r w:rsidRPr="00744972">
        <w:rPr>
          <w:szCs w:val="24"/>
        </w:rPr>
        <w:t xml:space="preserve">, NO, </w:t>
      </w:r>
      <w:proofErr w:type="spellStart"/>
      <w:r w:rsidRPr="00744972">
        <w:rPr>
          <w:szCs w:val="24"/>
        </w:rPr>
        <w:t>Rostagno</w:t>
      </w:r>
      <w:proofErr w:type="spellEnd"/>
      <w:r w:rsidRPr="00744972">
        <w:rPr>
          <w:szCs w:val="24"/>
        </w:rPr>
        <w:t xml:space="preserve"> CM (1995) Ecosystem changes associated with grazing intensity on the Punta </w:t>
      </w:r>
      <w:proofErr w:type="spellStart"/>
      <w:r w:rsidRPr="00744972">
        <w:rPr>
          <w:szCs w:val="24"/>
        </w:rPr>
        <w:t>Ninfas</w:t>
      </w:r>
      <w:proofErr w:type="spellEnd"/>
      <w:r w:rsidRPr="00744972">
        <w:rPr>
          <w:szCs w:val="24"/>
        </w:rPr>
        <w:t xml:space="preserve"> rangelands of Patagonia, Argentina. Journal of Range Management 517-522.</w:t>
      </w:r>
    </w:p>
    <w:p w14:paraId="40189716" w14:textId="77777777" w:rsidR="00766A4A" w:rsidRPr="00744972" w:rsidRDefault="00766A4A" w:rsidP="00766A4A">
      <w:pPr>
        <w:ind w:left="284" w:hanging="284"/>
        <w:rPr>
          <w:szCs w:val="24"/>
        </w:rPr>
      </w:pPr>
      <w:proofErr w:type="spellStart"/>
      <w:r w:rsidRPr="00744972">
        <w:rPr>
          <w:szCs w:val="24"/>
        </w:rPr>
        <w:t>Becoña</w:t>
      </w:r>
      <w:proofErr w:type="spellEnd"/>
      <w:r w:rsidRPr="00744972">
        <w:rPr>
          <w:szCs w:val="24"/>
        </w:rPr>
        <w:t xml:space="preserve"> G, </w:t>
      </w:r>
      <w:proofErr w:type="spellStart"/>
      <w:r w:rsidRPr="00744972">
        <w:rPr>
          <w:szCs w:val="24"/>
        </w:rPr>
        <w:t>Astigarraga</w:t>
      </w:r>
      <w:proofErr w:type="spellEnd"/>
      <w:r w:rsidRPr="00744972">
        <w:rPr>
          <w:szCs w:val="24"/>
        </w:rPr>
        <w:t xml:space="preserve"> L, Picasso V (2014) Greenhouse gas emissions of beef cow-calf grazing systems in Uruguay. Sustainable Agriculture Research 3(2):89</w:t>
      </w:r>
    </w:p>
    <w:p w14:paraId="0A6905C8" w14:textId="77777777" w:rsidR="00766A4A" w:rsidRPr="00744972" w:rsidRDefault="00766A4A" w:rsidP="00766A4A">
      <w:pPr>
        <w:ind w:left="284" w:hanging="284"/>
        <w:rPr>
          <w:szCs w:val="24"/>
        </w:rPr>
      </w:pPr>
      <w:r w:rsidRPr="00744972">
        <w:rPr>
          <w:szCs w:val="24"/>
        </w:rPr>
        <w:t>Binswanger HP (1980) Attitudes toward risk: Experimental measurement in rural India. American Journal of Agricultural Economics 62(3):395-407.</w:t>
      </w:r>
    </w:p>
    <w:p w14:paraId="7A0F7483" w14:textId="77777777" w:rsidR="00766A4A" w:rsidRPr="00744972" w:rsidRDefault="00766A4A" w:rsidP="00766A4A">
      <w:pPr>
        <w:ind w:left="284" w:hanging="284"/>
        <w:rPr>
          <w:szCs w:val="24"/>
        </w:rPr>
      </w:pPr>
      <w:proofErr w:type="spellStart"/>
      <w:r w:rsidRPr="00744972">
        <w:rPr>
          <w:szCs w:val="24"/>
        </w:rPr>
        <w:t>Bocquého</w:t>
      </w:r>
      <w:proofErr w:type="spellEnd"/>
      <w:r w:rsidRPr="00744972">
        <w:rPr>
          <w:szCs w:val="24"/>
        </w:rPr>
        <w:t xml:space="preserve"> G, </w:t>
      </w:r>
      <w:proofErr w:type="spellStart"/>
      <w:r w:rsidRPr="00744972">
        <w:rPr>
          <w:szCs w:val="24"/>
        </w:rPr>
        <w:t>Jacquet</w:t>
      </w:r>
      <w:proofErr w:type="spellEnd"/>
      <w:r w:rsidRPr="00744972">
        <w:rPr>
          <w:szCs w:val="24"/>
        </w:rPr>
        <w:t xml:space="preserve"> F, Reynaud A (2013) Expected utility or prospect theory </w:t>
      </w:r>
      <w:proofErr w:type="spellStart"/>
      <w:r w:rsidRPr="00744972">
        <w:rPr>
          <w:szCs w:val="24"/>
        </w:rPr>
        <w:t>maximisers</w:t>
      </w:r>
      <w:proofErr w:type="spellEnd"/>
      <w:r w:rsidRPr="00744972">
        <w:rPr>
          <w:szCs w:val="24"/>
        </w:rPr>
        <w:t xml:space="preserve">? Assessing farmers' risk </w:t>
      </w:r>
      <w:proofErr w:type="spellStart"/>
      <w:r w:rsidRPr="00744972">
        <w:rPr>
          <w:szCs w:val="24"/>
        </w:rPr>
        <w:t>behaviour</w:t>
      </w:r>
      <w:proofErr w:type="spellEnd"/>
      <w:r w:rsidRPr="00744972">
        <w:rPr>
          <w:szCs w:val="24"/>
        </w:rPr>
        <w:t xml:space="preserve"> from field-experiment data. European Review of Agricultural Economics 41(1):135-172.</w:t>
      </w:r>
    </w:p>
    <w:p w14:paraId="3DF5C1E5" w14:textId="77777777" w:rsidR="00766A4A" w:rsidRPr="00744972" w:rsidRDefault="00766A4A" w:rsidP="00766A4A">
      <w:pPr>
        <w:ind w:left="284" w:hanging="284"/>
        <w:rPr>
          <w:szCs w:val="24"/>
        </w:rPr>
      </w:pPr>
      <w:r w:rsidRPr="00744972">
        <w:rPr>
          <w:szCs w:val="24"/>
        </w:rPr>
        <w:lastRenderedPageBreak/>
        <w:t xml:space="preserve">Borges J, </w:t>
      </w:r>
      <w:proofErr w:type="spellStart"/>
      <w:r w:rsidRPr="00744972">
        <w:rPr>
          <w:szCs w:val="24"/>
        </w:rPr>
        <w:t>Tauer</w:t>
      </w:r>
      <w:proofErr w:type="spellEnd"/>
      <w:r w:rsidRPr="00744972">
        <w:rPr>
          <w:szCs w:val="24"/>
        </w:rPr>
        <w:t xml:space="preserve"> LW, </w:t>
      </w:r>
      <w:proofErr w:type="spellStart"/>
      <w:r w:rsidRPr="00744972">
        <w:rPr>
          <w:szCs w:val="24"/>
        </w:rPr>
        <w:t>Lansink</w:t>
      </w:r>
      <w:proofErr w:type="spellEnd"/>
      <w:r w:rsidRPr="00744972">
        <w:rPr>
          <w:szCs w:val="24"/>
        </w:rPr>
        <w:t>, AO (2016) Using the Theory of Planned Behavior to Identify Key Beliefs Underlying Brazilian Cattle Farmers' Intention to Use Improved Natural Grassland: A MIMIC modelling Approach. Land Use Policy 55:193-203.</w:t>
      </w:r>
    </w:p>
    <w:p w14:paraId="181C5538" w14:textId="77777777" w:rsidR="00766A4A" w:rsidRPr="00744972" w:rsidRDefault="00766A4A" w:rsidP="00766A4A">
      <w:pPr>
        <w:ind w:left="284" w:hanging="284"/>
        <w:rPr>
          <w:szCs w:val="24"/>
        </w:rPr>
      </w:pPr>
      <w:proofErr w:type="spellStart"/>
      <w:r w:rsidRPr="00744972">
        <w:rPr>
          <w:szCs w:val="24"/>
        </w:rPr>
        <w:t>Claramunt</w:t>
      </w:r>
      <w:proofErr w:type="spellEnd"/>
      <w:r w:rsidRPr="00744972">
        <w:rPr>
          <w:szCs w:val="24"/>
        </w:rPr>
        <w:t xml:space="preserve"> M, </w:t>
      </w:r>
      <w:proofErr w:type="spellStart"/>
      <w:r w:rsidRPr="00744972">
        <w:rPr>
          <w:szCs w:val="24"/>
        </w:rPr>
        <w:t>Fernández-Foren</w:t>
      </w:r>
      <w:proofErr w:type="spellEnd"/>
      <w:r w:rsidRPr="00744972">
        <w:rPr>
          <w:szCs w:val="24"/>
        </w:rPr>
        <w:t xml:space="preserve"> A, </w:t>
      </w:r>
      <w:proofErr w:type="spellStart"/>
      <w:r w:rsidRPr="00744972">
        <w:rPr>
          <w:szCs w:val="24"/>
        </w:rPr>
        <w:t>Soca</w:t>
      </w:r>
      <w:proofErr w:type="spellEnd"/>
      <w:r w:rsidRPr="00744972">
        <w:rPr>
          <w:szCs w:val="24"/>
        </w:rPr>
        <w:t xml:space="preserve"> P (2018). Effect of herbage allowance on productive and reproductive responses of </w:t>
      </w:r>
      <w:proofErr w:type="spellStart"/>
      <w:r w:rsidRPr="00744972">
        <w:rPr>
          <w:szCs w:val="24"/>
        </w:rPr>
        <w:t>primiparous</w:t>
      </w:r>
      <w:proofErr w:type="spellEnd"/>
      <w:r w:rsidRPr="00744972">
        <w:rPr>
          <w:szCs w:val="24"/>
        </w:rPr>
        <w:t xml:space="preserve"> beef cows grazing on </w:t>
      </w:r>
      <w:proofErr w:type="gramStart"/>
      <w:r w:rsidRPr="00744972">
        <w:rPr>
          <w:szCs w:val="24"/>
        </w:rPr>
        <w:t>Campos</w:t>
      </w:r>
      <w:proofErr w:type="gramEnd"/>
      <w:r w:rsidRPr="00744972">
        <w:rPr>
          <w:szCs w:val="24"/>
        </w:rPr>
        <w:t xml:space="preserve"> grassland. Animal Production Science 58(9):1615-1624</w:t>
      </w:r>
    </w:p>
    <w:p w14:paraId="11FE15D2" w14:textId="77777777" w:rsidR="00766A4A" w:rsidRPr="00766A4A" w:rsidRDefault="00766A4A" w:rsidP="00766A4A">
      <w:pPr>
        <w:ind w:left="284" w:hanging="284"/>
        <w:rPr>
          <w:szCs w:val="24"/>
          <w:lang w:val="es-UY"/>
        </w:rPr>
      </w:pPr>
      <w:r w:rsidRPr="00744972">
        <w:rPr>
          <w:szCs w:val="24"/>
        </w:rPr>
        <w:t xml:space="preserve">Cruz P, De </w:t>
      </w:r>
      <w:proofErr w:type="spellStart"/>
      <w:r w:rsidRPr="00744972">
        <w:rPr>
          <w:szCs w:val="24"/>
        </w:rPr>
        <w:t>Quadros</w:t>
      </w:r>
      <w:proofErr w:type="spellEnd"/>
      <w:r w:rsidRPr="00744972">
        <w:rPr>
          <w:szCs w:val="24"/>
        </w:rPr>
        <w:t xml:space="preserve"> FLF, </w:t>
      </w:r>
      <w:proofErr w:type="spellStart"/>
      <w:r w:rsidRPr="00744972">
        <w:rPr>
          <w:szCs w:val="24"/>
        </w:rPr>
        <w:t>Theau</w:t>
      </w:r>
      <w:proofErr w:type="spellEnd"/>
      <w:r w:rsidRPr="00744972">
        <w:rPr>
          <w:szCs w:val="24"/>
        </w:rPr>
        <w:t xml:space="preserve"> JP, </w:t>
      </w:r>
      <w:proofErr w:type="spellStart"/>
      <w:r w:rsidRPr="00744972">
        <w:rPr>
          <w:szCs w:val="24"/>
        </w:rPr>
        <w:t>Frizzo</w:t>
      </w:r>
      <w:proofErr w:type="spellEnd"/>
      <w:r w:rsidRPr="00744972">
        <w:rPr>
          <w:szCs w:val="24"/>
        </w:rPr>
        <w:t xml:space="preserve"> A, </w:t>
      </w:r>
      <w:proofErr w:type="spellStart"/>
      <w:r w:rsidRPr="00744972">
        <w:rPr>
          <w:szCs w:val="24"/>
        </w:rPr>
        <w:t>Jouany</w:t>
      </w:r>
      <w:proofErr w:type="spellEnd"/>
      <w:r w:rsidRPr="00744972">
        <w:rPr>
          <w:szCs w:val="24"/>
        </w:rPr>
        <w:t xml:space="preserve"> C, </w:t>
      </w:r>
      <w:proofErr w:type="spellStart"/>
      <w:r w:rsidRPr="00744972">
        <w:rPr>
          <w:szCs w:val="24"/>
        </w:rPr>
        <w:t>Duru</w:t>
      </w:r>
      <w:proofErr w:type="spellEnd"/>
      <w:r w:rsidRPr="00744972">
        <w:rPr>
          <w:szCs w:val="24"/>
        </w:rPr>
        <w:t xml:space="preserve"> M, </w:t>
      </w:r>
      <w:proofErr w:type="spellStart"/>
      <w:r w:rsidRPr="00744972">
        <w:rPr>
          <w:szCs w:val="24"/>
        </w:rPr>
        <w:t>Carvalho</w:t>
      </w:r>
      <w:proofErr w:type="spellEnd"/>
      <w:r w:rsidRPr="00744972">
        <w:rPr>
          <w:szCs w:val="24"/>
        </w:rPr>
        <w:t xml:space="preserve"> PCF (2010) Leaf traits as functional descriptors of the intensity of continuous grazing in native grasslands in the south of Brazil. </w:t>
      </w:r>
      <w:proofErr w:type="spellStart"/>
      <w:r w:rsidRPr="00766A4A">
        <w:rPr>
          <w:szCs w:val="24"/>
          <w:lang w:val="es-UY"/>
        </w:rPr>
        <w:t>Rangeland</w:t>
      </w:r>
      <w:proofErr w:type="spellEnd"/>
      <w:r w:rsidRPr="00766A4A">
        <w:rPr>
          <w:szCs w:val="24"/>
          <w:lang w:val="es-UY"/>
        </w:rPr>
        <w:t xml:space="preserve"> </w:t>
      </w:r>
      <w:proofErr w:type="spellStart"/>
      <w:r w:rsidRPr="00766A4A">
        <w:rPr>
          <w:szCs w:val="24"/>
          <w:lang w:val="es-UY"/>
        </w:rPr>
        <w:t>Ecology</w:t>
      </w:r>
      <w:proofErr w:type="spellEnd"/>
      <w:r w:rsidRPr="00766A4A">
        <w:rPr>
          <w:szCs w:val="24"/>
          <w:lang w:val="es-UY"/>
        </w:rPr>
        <w:t xml:space="preserve"> &amp; Management 63(3):350-358</w:t>
      </w:r>
    </w:p>
    <w:p w14:paraId="5B97CFE9" w14:textId="77777777" w:rsidR="00766A4A" w:rsidRPr="00766A4A" w:rsidRDefault="00766A4A" w:rsidP="00766A4A">
      <w:pPr>
        <w:ind w:left="284" w:hanging="284"/>
        <w:rPr>
          <w:szCs w:val="24"/>
          <w:lang w:val="es-UY"/>
        </w:rPr>
      </w:pPr>
      <w:proofErr w:type="spellStart"/>
      <w:r w:rsidRPr="00766A4A">
        <w:rPr>
          <w:szCs w:val="24"/>
          <w:lang w:val="es-UY"/>
        </w:rPr>
        <w:t>Dieguez</w:t>
      </w:r>
      <w:proofErr w:type="spellEnd"/>
      <w:r w:rsidRPr="00766A4A">
        <w:rPr>
          <w:szCs w:val="24"/>
          <w:lang w:val="es-UY"/>
        </w:rPr>
        <w:t xml:space="preserve"> F (2012) Modelización de una Explotación Ganadera Extensiva criadora en basalto. </w:t>
      </w:r>
      <w:proofErr w:type="spellStart"/>
      <w:r w:rsidRPr="00766A4A">
        <w:rPr>
          <w:szCs w:val="24"/>
          <w:lang w:val="es-UY"/>
        </w:rPr>
        <w:t>Agrociencia</w:t>
      </w:r>
      <w:proofErr w:type="spellEnd"/>
      <w:r w:rsidRPr="00766A4A">
        <w:rPr>
          <w:szCs w:val="24"/>
          <w:lang w:val="es-UY"/>
        </w:rPr>
        <w:t xml:space="preserve"> Uruguay 16(2):120-130</w:t>
      </w:r>
    </w:p>
    <w:p w14:paraId="6A100771" w14:textId="77777777" w:rsidR="00766A4A" w:rsidRPr="00766A4A" w:rsidRDefault="00766A4A" w:rsidP="00766A4A">
      <w:pPr>
        <w:ind w:left="284" w:hanging="284"/>
        <w:rPr>
          <w:szCs w:val="24"/>
          <w:lang w:val="es-UY"/>
        </w:rPr>
      </w:pPr>
      <w:proofErr w:type="spellStart"/>
      <w:r w:rsidRPr="00766A4A">
        <w:rPr>
          <w:szCs w:val="24"/>
          <w:lang w:val="es-UY"/>
        </w:rPr>
        <w:t>Dieguez</w:t>
      </w:r>
      <w:proofErr w:type="spellEnd"/>
      <w:r w:rsidRPr="00766A4A">
        <w:rPr>
          <w:szCs w:val="24"/>
          <w:lang w:val="es-UY"/>
        </w:rPr>
        <w:t xml:space="preserve"> F, Terra R (2014) Aplicación del Modelo de Explotación Ganadera Extensiva (</w:t>
      </w:r>
      <w:proofErr w:type="spellStart"/>
      <w:r w:rsidRPr="00766A4A">
        <w:rPr>
          <w:szCs w:val="24"/>
          <w:lang w:val="es-UY"/>
        </w:rPr>
        <w:t>MEGanE</w:t>
      </w:r>
      <w:proofErr w:type="spellEnd"/>
      <w:r w:rsidRPr="00766A4A">
        <w:rPr>
          <w:szCs w:val="24"/>
          <w:lang w:val="es-UY"/>
        </w:rPr>
        <w:t xml:space="preserve">). In XLIII Jornadas Argentinas de Informática e Investigación Operativa (43JAIIO)-VI Congreso Argentino de </w:t>
      </w:r>
      <w:proofErr w:type="spellStart"/>
      <w:r w:rsidRPr="00766A4A">
        <w:rPr>
          <w:szCs w:val="24"/>
          <w:lang w:val="es-UY"/>
        </w:rPr>
        <w:t>AgroInformática</w:t>
      </w:r>
      <w:proofErr w:type="spellEnd"/>
      <w:r w:rsidRPr="00766A4A">
        <w:rPr>
          <w:szCs w:val="24"/>
          <w:lang w:val="es-UY"/>
        </w:rPr>
        <w:t xml:space="preserve"> (CAI) (Buenos Aires, 2014)</w:t>
      </w:r>
    </w:p>
    <w:p w14:paraId="03FA662D" w14:textId="77777777" w:rsidR="00766A4A" w:rsidRPr="00744972" w:rsidRDefault="00766A4A" w:rsidP="00766A4A">
      <w:pPr>
        <w:ind w:left="284" w:hanging="284"/>
        <w:rPr>
          <w:szCs w:val="24"/>
        </w:rPr>
      </w:pPr>
      <w:r w:rsidRPr="00744972">
        <w:rPr>
          <w:szCs w:val="24"/>
        </w:rPr>
        <w:t xml:space="preserve">Dillon JL (1971) An expository review of </w:t>
      </w:r>
      <w:proofErr w:type="spellStart"/>
      <w:r w:rsidRPr="00744972">
        <w:rPr>
          <w:szCs w:val="24"/>
        </w:rPr>
        <w:t>bernoullian</w:t>
      </w:r>
      <w:proofErr w:type="spellEnd"/>
      <w:r w:rsidRPr="00744972">
        <w:rPr>
          <w:szCs w:val="24"/>
        </w:rPr>
        <w:t xml:space="preserve"> decision theory in agriculture: Is utility futility</w:t>
      </w:r>
      <w:proofErr w:type="gramStart"/>
      <w:r w:rsidRPr="00744972">
        <w:rPr>
          <w:szCs w:val="24"/>
        </w:rPr>
        <w:t>?.</w:t>
      </w:r>
      <w:proofErr w:type="gramEnd"/>
      <w:r w:rsidRPr="00744972">
        <w:rPr>
          <w:szCs w:val="24"/>
        </w:rPr>
        <w:t xml:space="preserve"> Review of marketing and agricultural economics 39(01)</w:t>
      </w:r>
    </w:p>
    <w:p w14:paraId="382E83F2" w14:textId="77777777" w:rsidR="00766A4A" w:rsidRPr="00766A4A" w:rsidRDefault="00766A4A" w:rsidP="00766A4A">
      <w:pPr>
        <w:ind w:left="284" w:hanging="284"/>
        <w:rPr>
          <w:szCs w:val="24"/>
          <w:lang w:val="es-UY"/>
        </w:rPr>
      </w:pPr>
      <w:proofErr w:type="spellStart"/>
      <w:r w:rsidRPr="00744972">
        <w:rPr>
          <w:szCs w:val="24"/>
        </w:rPr>
        <w:t>DiNardo</w:t>
      </w:r>
      <w:proofErr w:type="spellEnd"/>
      <w:r w:rsidRPr="00744972">
        <w:rPr>
          <w:szCs w:val="24"/>
        </w:rPr>
        <w:t xml:space="preserve"> J, Tobias JL (2001) </w:t>
      </w:r>
      <w:proofErr w:type="gramStart"/>
      <w:r w:rsidRPr="00744972">
        <w:rPr>
          <w:szCs w:val="24"/>
        </w:rPr>
        <w:t>Nonparametric</w:t>
      </w:r>
      <w:proofErr w:type="gramEnd"/>
      <w:r w:rsidRPr="00744972">
        <w:rPr>
          <w:szCs w:val="24"/>
        </w:rPr>
        <w:t xml:space="preserve"> density and regression estimation. </w:t>
      </w:r>
      <w:proofErr w:type="spellStart"/>
      <w:r w:rsidRPr="00766A4A">
        <w:rPr>
          <w:szCs w:val="24"/>
          <w:lang w:val="es-UY"/>
        </w:rPr>
        <w:t>The</w:t>
      </w:r>
      <w:proofErr w:type="spellEnd"/>
      <w:r w:rsidRPr="00766A4A">
        <w:rPr>
          <w:szCs w:val="24"/>
          <w:lang w:val="es-UY"/>
        </w:rPr>
        <w:t xml:space="preserve"> </w:t>
      </w:r>
      <w:proofErr w:type="spellStart"/>
      <w:r w:rsidRPr="00766A4A">
        <w:rPr>
          <w:szCs w:val="24"/>
          <w:lang w:val="es-UY"/>
        </w:rPr>
        <w:t>Journal</w:t>
      </w:r>
      <w:proofErr w:type="spellEnd"/>
      <w:r w:rsidRPr="00766A4A">
        <w:rPr>
          <w:szCs w:val="24"/>
          <w:lang w:val="es-UY"/>
        </w:rPr>
        <w:t xml:space="preserve"> of </w:t>
      </w:r>
      <w:proofErr w:type="spellStart"/>
      <w:r w:rsidRPr="00766A4A">
        <w:rPr>
          <w:szCs w:val="24"/>
          <w:lang w:val="es-UY"/>
        </w:rPr>
        <w:t>Economic</w:t>
      </w:r>
      <w:proofErr w:type="spellEnd"/>
      <w:r w:rsidRPr="00766A4A">
        <w:rPr>
          <w:szCs w:val="24"/>
          <w:lang w:val="es-UY"/>
        </w:rPr>
        <w:t xml:space="preserve"> </w:t>
      </w:r>
      <w:proofErr w:type="spellStart"/>
      <w:r w:rsidRPr="00766A4A">
        <w:rPr>
          <w:szCs w:val="24"/>
          <w:lang w:val="es-UY"/>
        </w:rPr>
        <w:t>Perspectives</w:t>
      </w:r>
      <w:proofErr w:type="spellEnd"/>
      <w:r w:rsidRPr="00766A4A">
        <w:rPr>
          <w:szCs w:val="24"/>
          <w:lang w:val="es-UY"/>
        </w:rPr>
        <w:t xml:space="preserve"> 15(4):11-28.</w:t>
      </w:r>
    </w:p>
    <w:p w14:paraId="6B88AC35" w14:textId="77777777" w:rsidR="00766A4A" w:rsidRPr="00766A4A" w:rsidRDefault="00766A4A" w:rsidP="00766A4A">
      <w:pPr>
        <w:ind w:left="284" w:hanging="284"/>
        <w:rPr>
          <w:szCs w:val="24"/>
          <w:lang w:val="es-UY"/>
        </w:rPr>
      </w:pPr>
      <w:proofErr w:type="spellStart"/>
      <w:r w:rsidRPr="00766A4A">
        <w:rPr>
          <w:szCs w:val="24"/>
          <w:lang w:val="es-UY"/>
        </w:rPr>
        <w:t>Gelós</w:t>
      </w:r>
      <w:proofErr w:type="spellEnd"/>
      <w:r w:rsidRPr="00766A4A">
        <w:rPr>
          <w:szCs w:val="24"/>
          <w:lang w:val="es-UY"/>
        </w:rPr>
        <w:t xml:space="preserve"> M (2016) Factores que afectan la decisión de adopción de riego de maíz: Combinando retornos y riesgo. Trabajo monográfico. Universidad de la República, Uruguay.</w:t>
      </w:r>
    </w:p>
    <w:p w14:paraId="75437086" w14:textId="77777777" w:rsidR="00766A4A" w:rsidRPr="00744972" w:rsidRDefault="00766A4A" w:rsidP="00766A4A">
      <w:pPr>
        <w:ind w:left="284" w:hanging="284"/>
        <w:rPr>
          <w:szCs w:val="24"/>
        </w:rPr>
      </w:pPr>
      <w:r w:rsidRPr="00766A4A">
        <w:rPr>
          <w:szCs w:val="24"/>
          <w:lang w:val="es-UY"/>
        </w:rPr>
        <w:t xml:space="preserve">Hull JC (2009) </w:t>
      </w:r>
      <w:proofErr w:type="spellStart"/>
      <w:r w:rsidRPr="00766A4A">
        <w:rPr>
          <w:szCs w:val="24"/>
          <w:lang w:val="es-UY"/>
        </w:rPr>
        <w:t>Futures</w:t>
      </w:r>
      <w:proofErr w:type="spellEnd"/>
      <w:r w:rsidRPr="00766A4A">
        <w:rPr>
          <w:szCs w:val="24"/>
          <w:lang w:val="es-UY"/>
        </w:rPr>
        <w:t xml:space="preserve">, </w:t>
      </w:r>
      <w:proofErr w:type="spellStart"/>
      <w:r w:rsidRPr="00766A4A">
        <w:rPr>
          <w:szCs w:val="24"/>
          <w:lang w:val="es-UY"/>
        </w:rPr>
        <w:t>options</w:t>
      </w:r>
      <w:proofErr w:type="spellEnd"/>
      <w:r w:rsidRPr="00766A4A">
        <w:rPr>
          <w:szCs w:val="24"/>
          <w:lang w:val="es-UY"/>
        </w:rPr>
        <w:t xml:space="preserve"> and </w:t>
      </w:r>
      <w:proofErr w:type="spellStart"/>
      <w:r w:rsidRPr="00766A4A">
        <w:rPr>
          <w:szCs w:val="24"/>
          <w:lang w:val="es-UY"/>
        </w:rPr>
        <w:t>other</w:t>
      </w:r>
      <w:proofErr w:type="spellEnd"/>
      <w:r w:rsidRPr="00766A4A">
        <w:rPr>
          <w:szCs w:val="24"/>
          <w:lang w:val="es-UY"/>
        </w:rPr>
        <w:t xml:space="preserve"> </w:t>
      </w:r>
      <w:proofErr w:type="spellStart"/>
      <w:r w:rsidRPr="00766A4A">
        <w:rPr>
          <w:szCs w:val="24"/>
          <w:lang w:val="es-UY"/>
        </w:rPr>
        <w:t>derivatives</w:t>
      </w:r>
      <w:proofErr w:type="spellEnd"/>
      <w:r w:rsidRPr="00766A4A">
        <w:rPr>
          <w:szCs w:val="24"/>
          <w:lang w:val="es-UY"/>
        </w:rPr>
        <w:t xml:space="preserve">. </w:t>
      </w:r>
      <w:r w:rsidRPr="00744972">
        <w:rPr>
          <w:szCs w:val="24"/>
        </w:rPr>
        <w:t>Prentice Hall. Upper Saddle River.</w:t>
      </w:r>
    </w:p>
    <w:p w14:paraId="3740CDE0" w14:textId="77777777" w:rsidR="00766A4A" w:rsidRPr="00744972" w:rsidRDefault="00766A4A" w:rsidP="00766A4A">
      <w:pPr>
        <w:ind w:left="284" w:hanging="284"/>
        <w:rPr>
          <w:szCs w:val="24"/>
        </w:rPr>
      </w:pPr>
      <w:r w:rsidRPr="00744972">
        <w:rPr>
          <w:szCs w:val="24"/>
        </w:rPr>
        <w:t>Hennessy DA, Babcock BA, Hayes DJ (1997) Budgetary and producer welfare effect of revenue insurance. American Journal of Agricultural Economics 79(3):1024–1034</w:t>
      </w:r>
    </w:p>
    <w:p w14:paraId="4C26D454" w14:textId="77777777" w:rsidR="00766A4A" w:rsidRPr="00744972" w:rsidRDefault="00766A4A" w:rsidP="00766A4A">
      <w:pPr>
        <w:ind w:left="284" w:hanging="284"/>
        <w:rPr>
          <w:szCs w:val="24"/>
        </w:rPr>
      </w:pPr>
      <w:proofErr w:type="spellStart"/>
      <w:r w:rsidRPr="00744972">
        <w:rPr>
          <w:szCs w:val="24"/>
        </w:rPr>
        <w:lastRenderedPageBreak/>
        <w:t>Jochims</w:t>
      </w:r>
      <w:proofErr w:type="spellEnd"/>
      <w:r w:rsidRPr="00744972">
        <w:rPr>
          <w:szCs w:val="24"/>
        </w:rPr>
        <w:t xml:space="preserve"> F, </w:t>
      </w:r>
      <w:proofErr w:type="spellStart"/>
      <w:r w:rsidRPr="00744972">
        <w:rPr>
          <w:szCs w:val="24"/>
        </w:rPr>
        <w:t>Poli</w:t>
      </w:r>
      <w:proofErr w:type="spellEnd"/>
      <w:r w:rsidRPr="00744972">
        <w:rPr>
          <w:szCs w:val="24"/>
        </w:rPr>
        <w:t xml:space="preserve"> C, </w:t>
      </w:r>
      <w:proofErr w:type="spellStart"/>
      <w:r w:rsidRPr="00744972">
        <w:rPr>
          <w:szCs w:val="24"/>
        </w:rPr>
        <w:t>Carvalho</w:t>
      </w:r>
      <w:proofErr w:type="spellEnd"/>
      <w:r w:rsidRPr="00744972">
        <w:rPr>
          <w:szCs w:val="24"/>
        </w:rPr>
        <w:t xml:space="preserve"> PCF, David DB, Campos NMF, Fonseca L, </w:t>
      </w:r>
      <w:proofErr w:type="spellStart"/>
      <w:r w:rsidRPr="00744972">
        <w:rPr>
          <w:szCs w:val="24"/>
        </w:rPr>
        <w:t>Amaral</w:t>
      </w:r>
      <w:proofErr w:type="spellEnd"/>
      <w:r w:rsidRPr="00744972">
        <w:rPr>
          <w:szCs w:val="24"/>
        </w:rPr>
        <w:t xml:space="preserve"> GA (2013) Grazing methods and herbage allowances effects on animal performances in natural grassland grazed during winter and spring with early pregnant ewes. Livestock Science 155(2):364-372</w:t>
      </w:r>
    </w:p>
    <w:p w14:paraId="08AC7F13" w14:textId="77777777" w:rsidR="00766A4A" w:rsidRPr="00744972" w:rsidRDefault="00766A4A" w:rsidP="00766A4A">
      <w:pPr>
        <w:ind w:left="284" w:hanging="284"/>
        <w:rPr>
          <w:szCs w:val="24"/>
        </w:rPr>
      </w:pPr>
      <w:r w:rsidRPr="00744972">
        <w:rPr>
          <w:szCs w:val="24"/>
        </w:rPr>
        <w:t xml:space="preserve">Jones RJ, </w:t>
      </w:r>
      <w:proofErr w:type="spellStart"/>
      <w:r w:rsidRPr="00744972">
        <w:rPr>
          <w:szCs w:val="24"/>
        </w:rPr>
        <w:t>Sandland</w:t>
      </w:r>
      <w:proofErr w:type="spellEnd"/>
      <w:r w:rsidRPr="00744972">
        <w:rPr>
          <w:szCs w:val="24"/>
        </w:rPr>
        <w:t xml:space="preserve"> RL (1974) </w:t>
      </w:r>
      <w:proofErr w:type="gramStart"/>
      <w:r w:rsidRPr="00744972">
        <w:rPr>
          <w:szCs w:val="24"/>
        </w:rPr>
        <w:t>The</w:t>
      </w:r>
      <w:proofErr w:type="gramEnd"/>
      <w:r w:rsidRPr="00744972">
        <w:rPr>
          <w:szCs w:val="24"/>
        </w:rPr>
        <w:t xml:space="preserve"> relation between animal gain and stocking rate: derivation of the relation from the results of grazing trials. The Journal of Agricultural Science 83(2):335-342</w:t>
      </w:r>
    </w:p>
    <w:p w14:paraId="5C93A63C" w14:textId="77777777" w:rsidR="00766A4A" w:rsidRPr="00744972" w:rsidRDefault="00766A4A" w:rsidP="00766A4A">
      <w:pPr>
        <w:ind w:left="284" w:hanging="284"/>
        <w:rPr>
          <w:szCs w:val="24"/>
        </w:rPr>
      </w:pPr>
      <w:r w:rsidRPr="00744972">
        <w:rPr>
          <w:szCs w:val="24"/>
        </w:rPr>
        <w:t xml:space="preserve">Johnson ME, </w:t>
      </w:r>
      <w:proofErr w:type="spellStart"/>
      <w:r w:rsidRPr="00744972">
        <w:rPr>
          <w:szCs w:val="24"/>
        </w:rPr>
        <w:t>Tenenbein</w:t>
      </w:r>
      <w:proofErr w:type="spellEnd"/>
      <w:r w:rsidRPr="00744972">
        <w:rPr>
          <w:szCs w:val="24"/>
        </w:rPr>
        <w:t xml:space="preserve"> A (1981) A bivariate distribution family with specified </w:t>
      </w:r>
      <w:proofErr w:type="spellStart"/>
      <w:r w:rsidRPr="00744972">
        <w:rPr>
          <w:szCs w:val="24"/>
        </w:rPr>
        <w:t>marginals</w:t>
      </w:r>
      <w:proofErr w:type="spellEnd"/>
      <w:r w:rsidRPr="00744972">
        <w:rPr>
          <w:szCs w:val="24"/>
        </w:rPr>
        <w:t>. Journal of the American Statistical Association 76(373):198-201</w:t>
      </w:r>
    </w:p>
    <w:p w14:paraId="275D3DB1" w14:textId="77777777" w:rsidR="00766A4A" w:rsidRPr="00766A4A" w:rsidRDefault="00766A4A" w:rsidP="00766A4A">
      <w:pPr>
        <w:ind w:left="284" w:hanging="284"/>
        <w:rPr>
          <w:szCs w:val="24"/>
          <w:lang w:val="es-UY"/>
        </w:rPr>
      </w:pPr>
      <w:r w:rsidRPr="00744972">
        <w:rPr>
          <w:szCs w:val="24"/>
        </w:rPr>
        <w:t xml:space="preserve">Just RE, Pope RD (1978) </w:t>
      </w:r>
      <w:proofErr w:type="gramStart"/>
      <w:r w:rsidRPr="00744972">
        <w:rPr>
          <w:szCs w:val="24"/>
        </w:rPr>
        <w:t>Stochastic</w:t>
      </w:r>
      <w:proofErr w:type="gramEnd"/>
      <w:r w:rsidRPr="00744972">
        <w:rPr>
          <w:szCs w:val="24"/>
        </w:rPr>
        <w:t xml:space="preserve"> specification of production functions and economic implications. </w:t>
      </w:r>
      <w:proofErr w:type="spellStart"/>
      <w:r w:rsidRPr="00766A4A">
        <w:rPr>
          <w:szCs w:val="24"/>
          <w:lang w:val="es-UY"/>
        </w:rPr>
        <w:t>Journal</w:t>
      </w:r>
      <w:proofErr w:type="spellEnd"/>
      <w:r w:rsidRPr="00766A4A">
        <w:rPr>
          <w:szCs w:val="24"/>
          <w:lang w:val="es-UY"/>
        </w:rPr>
        <w:t xml:space="preserve"> of </w:t>
      </w:r>
      <w:proofErr w:type="spellStart"/>
      <w:r w:rsidRPr="00766A4A">
        <w:rPr>
          <w:szCs w:val="24"/>
          <w:lang w:val="es-UY"/>
        </w:rPr>
        <w:t>Econometrics</w:t>
      </w:r>
      <w:proofErr w:type="spellEnd"/>
      <w:r w:rsidRPr="00766A4A">
        <w:rPr>
          <w:szCs w:val="24"/>
          <w:lang w:val="es-UY"/>
        </w:rPr>
        <w:t xml:space="preserve"> 7(1):67-86</w:t>
      </w:r>
    </w:p>
    <w:p w14:paraId="3F146660" w14:textId="77777777" w:rsidR="00766A4A" w:rsidRPr="00744972" w:rsidRDefault="00766A4A" w:rsidP="00766A4A">
      <w:pPr>
        <w:ind w:left="284" w:hanging="284"/>
        <w:rPr>
          <w:szCs w:val="24"/>
        </w:rPr>
      </w:pPr>
      <w:proofErr w:type="spellStart"/>
      <w:r w:rsidRPr="00766A4A">
        <w:rPr>
          <w:szCs w:val="24"/>
          <w:lang w:val="es-UY"/>
        </w:rPr>
        <w:t>Kremer</w:t>
      </w:r>
      <w:proofErr w:type="spellEnd"/>
      <w:r w:rsidRPr="00766A4A">
        <w:rPr>
          <w:szCs w:val="24"/>
          <w:lang w:val="es-UY"/>
        </w:rPr>
        <w:t xml:space="preserve"> R (2010) Corderos pesados en Uruguay: Evolución e impacto en la producción de carne ovina. </w:t>
      </w:r>
      <w:proofErr w:type="spellStart"/>
      <w:r w:rsidRPr="00744972">
        <w:rPr>
          <w:szCs w:val="24"/>
        </w:rPr>
        <w:t>Agrociencia</w:t>
      </w:r>
      <w:proofErr w:type="spellEnd"/>
      <w:r w:rsidRPr="00744972">
        <w:rPr>
          <w:szCs w:val="24"/>
        </w:rPr>
        <w:t xml:space="preserve"> Uruguay 14(3):69-71</w:t>
      </w:r>
    </w:p>
    <w:p w14:paraId="0CA837C3" w14:textId="77777777" w:rsidR="00766A4A" w:rsidRPr="00766A4A" w:rsidRDefault="00766A4A" w:rsidP="00766A4A">
      <w:pPr>
        <w:ind w:left="284" w:hanging="284"/>
        <w:rPr>
          <w:szCs w:val="24"/>
          <w:lang w:val="es-UY"/>
        </w:rPr>
      </w:pPr>
      <w:proofErr w:type="spellStart"/>
      <w:r w:rsidRPr="00744972">
        <w:rPr>
          <w:szCs w:val="24"/>
        </w:rPr>
        <w:t>Marra</w:t>
      </w:r>
      <w:proofErr w:type="spellEnd"/>
      <w:r w:rsidRPr="00744972">
        <w:rPr>
          <w:szCs w:val="24"/>
        </w:rPr>
        <w:t xml:space="preserve"> MC, Woods TA (1990) </w:t>
      </w:r>
      <w:proofErr w:type="gramStart"/>
      <w:r w:rsidRPr="00744972">
        <w:rPr>
          <w:szCs w:val="24"/>
        </w:rPr>
        <w:t>The</w:t>
      </w:r>
      <w:proofErr w:type="gramEnd"/>
      <w:r w:rsidRPr="00744972">
        <w:rPr>
          <w:szCs w:val="24"/>
        </w:rPr>
        <w:t xml:space="preserve"> profitability of Supplemental Irrigation of Maine potatoes. </w:t>
      </w:r>
      <w:r w:rsidRPr="00766A4A">
        <w:rPr>
          <w:szCs w:val="24"/>
          <w:lang w:val="es-UY"/>
        </w:rPr>
        <w:t xml:space="preserve">Maine </w:t>
      </w:r>
      <w:proofErr w:type="spellStart"/>
      <w:r w:rsidRPr="00766A4A">
        <w:rPr>
          <w:szCs w:val="24"/>
          <w:lang w:val="es-UY"/>
        </w:rPr>
        <w:t>Agricultural</w:t>
      </w:r>
      <w:proofErr w:type="spellEnd"/>
      <w:r w:rsidRPr="00766A4A">
        <w:rPr>
          <w:szCs w:val="24"/>
          <w:lang w:val="es-UY"/>
        </w:rPr>
        <w:t xml:space="preserve"> </w:t>
      </w:r>
      <w:proofErr w:type="spellStart"/>
      <w:r w:rsidRPr="00766A4A">
        <w:rPr>
          <w:szCs w:val="24"/>
          <w:lang w:val="es-UY"/>
        </w:rPr>
        <w:t>Experiement</w:t>
      </w:r>
      <w:proofErr w:type="spellEnd"/>
      <w:r w:rsidRPr="00766A4A">
        <w:rPr>
          <w:szCs w:val="24"/>
          <w:lang w:val="es-UY"/>
        </w:rPr>
        <w:t xml:space="preserve"> </w:t>
      </w:r>
      <w:proofErr w:type="spellStart"/>
      <w:r w:rsidRPr="00766A4A">
        <w:rPr>
          <w:szCs w:val="24"/>
          <w:lang w:val="es-UY"/>
        </w:rPr>
        <w:t>Station</w:t>
      </w:r>
      <w:proofErr w:type="spellEnd"/>
      <w:r w:rsidRPr="00766A4A">
        <w:rPr>
          <w:szCs w:val="24"/>
          <w:lang w:val="es-UY"/>
        </w:rPr>
        <w:t xml:space="preserve"> </w:t>
      </w:r>
      <w:proofErr w:type="spellStart"/>
      <w:r w:rsidRPr="00766A4A">
        <w:rPr>
          <w:szCs w:val="24"/>
          <w:lang w:val="es-UY"/>
        </w:rPr>
        <w:t>Bulletin</w:t>
      </w:r>
      <w:proofErr w:type="spellEnd"/>
      <w:r w:rsidRPr="00766A4A">
        <w:rPr>
          <w:szCs w:val="24"/>
          <w:lang w:val="es-UY"/>
        </w:rPr>
        <w:t xml:space="preserve"> 832</w:t>
      </w:r>
    </w:p>
    <w:p w14:paraId="2C6FE0E0" w14:textId="77777777" w:rsidR="00766A4A" w:rsidRPr="00766A4A" w:rsidRDefault="00766A4A" w:rsidP="00766A4A">
      <w:pPr>
        <w:ind w:left="284" w:hanging="284"/>
        <w:rPr>
          <w:szCs w:val="24"/>
          <w:lang w:val="es-UY"/>
        </w:rPr>
      </w:pPr>
      <w:r w:rsidRPr="00766A4A">
        <w:rPr>
          <w:szCs w:val="24"/>
          <w:lang w:val="es-UY"/>
        </w:rPr>
        <w:t xml:space="preserve">Ministerio de Ganadería, Agricultura y Pesca, Dirección de Estadísticas Agropecuarias – MGAP-DIEA. (2018) Informe sobre Riego en Uruguay. Trabajos Especiales Nº 354. Montevideo, Uruguay. </w:t>
      </w:r>
    </w:p>
    <w:p w14:paraId="5B12AB38" w14:textId="77777777" w:rsidR="00766A4A" w:rsidRPr="00766A4A" w:rsidRDefault="00766A4A" w:rsidP="00766A4A">
      <w:pPr>
        <w:ind w:left="284" w:hanging="284"/>
        <w:rPr>
          <w:szCs w:val="24"/>
          <w:lang w:val="es-UY"/>
        </w:rPr>
      </w:pPr>
      <w:r w:rsidRPr="00766A4A">
        <w:rPr>
          <w:szCs w:val="24"/>
          <w:lang w:val="es-UY"/>
        </w:rPr>
        <w:t>MGAP-FAO (2013a) Clima de cambios: Nuevos desafíos de adaptación en Uruguay. Volumen III. Sensibilidad y capacidad adaptativa de la ganadería frente al cambio climático. Proyecto FAO TCP URU 3302, Montevideo, Uruguay.</w:t>
      </w:r>
    </w:p>
    <w:p w14:paraId="763F65DF" w14:textId="77777777" w:rsidR="00766A4A" w:rsidRPr="00744972" w:rsidRDefault="00766A4A" w:rsidP="00766A4A">
      <w:pPr>
        <w:ind w:left="284" w:hanging="284"/>
        <w:rPr>
          <w:szCs w:val="24"/>
        </w:rPr>
      </w:pPr>
      <w:r w:rsidRPr="00766A4A">
        <w:rPr>
          <w:szCs w:val="24"/>
          <w:lang w:val="es-UY"/>
        </w:rPr>
        <w:t xml:space="preserve">MGAP-FAO (2013b) Clima de cambios: Nuevos desafíos de adaptación en Uruguay. Volumen VII. Estudio sobre políticas públicas y medidas de adaptación del sector </w:t>
      </w:r>
      <w:r w:rsidRPr="00766A4A">
        <w:rPr>
          <w:szCs w:val="24"/>
          <w:lang w:val="es-UY"/>
        </w:rPr>
        <w:lastRenderedPageBreak/>
        <w:t xml:space="preserve">agropecuario al cambio climático. </w:t>
      </w:r>
      <w:r w:rsidRPr="00744972">
        <w:rPr>
          <w:szCs w:val="24"/>
        </w:rPr>
        <w:t>Proyecto FAO TCP URU 3302, Montevideo, Uruguay.</w:t>
      </w:r>
    </w:p>
    <w:p w14:paraId="793416BE" w14:textId="77777777" w:rsidR="00766A4A" w:rsidRPr="00744972" w:rsidRDefault="00766A4A" w:rsidP="00766A4A">
      <w:pPr>
        <w:ind w:left="284" w:hanging="284"/>
        <w:rPr>
          <w:szCs w:val="24"/>
        </w:rPr>
      </w:pPr>
      <w:proofErr w:type="spellStart"/>
      <w:r w:rsidRPr="00744972">
        <w:rPr>
          <w:szCs w:val="24"/>
        </w:rPr>
        <w:t>Modernel</w:t>
      </w:r>
      <w:proofErr w:type="spellEnd"/>
      <w:r w:rsidRPr="00744972">
        <w:rPr>
          <w:szCs w:val="24"/>
        </w:rPr>
        <w:t xml:space="preserve"> P, </w:t>
      </w:r>
      <w:proofErr w:type="spellStart"/>
      <w:r w:rsidRPr="00744972">
        <w:rPr>
          <w:szCs w:val="24"/>
        </w:rPr>
        <w:t>Rossing</w:t>
      </w:r>
      <w:proofErr w:type="spellEnd"/>
      <w:r w:rsidRPr="00744972">
        <w:rPr>
          <w:szCs w:val="24"/>
        </w:rPr>
        <w:t xml:space="preserve"> WAH, </w:t>
      </w:r>
      <w:proofErr w:type="spellStart"/>
      <w:r w:rsidRPr="00744972">
        <w:rPr>
          <w:szCs w:val="24"/>
        </w:rPr>
        <w:t>Corbeels</w:t>
      </w:r>
      <w:proofErr w:type="spellEnd"/>
      <w:r w:rsidRPr="00744972">
        <w:rPr>
          <w:szCs w:val="24"/>
        </w:rPr>
        <w:t xml:space="preserve"> M, </w:t>
      </w:r>
      <w:proofErr w:type="spellStart"/>
      <w:r w:rsidRPr="00744972">
        <w:rPr>
          <w:szCs w:val="24"/>
        </w:rPr>
        <w:t>Dogliotti</w:t>
      </w:r>
      <w:proofErr w:type="spellEnd"/>
      <w:r w:rsidRPr="00744972">
        <w:rPr>
          <w:szCs w:val="24"/>
        </w:rPr>
        <w:t xml:space="preserve"> S, Picasso V, </w:t>
      </w:r>
      <w:proofErr w:type="spellStart"/>
      <w:r w:rsidRPr="00744972">
        <w:rPr>
          <w:szCs w:val="24"/>
        </w:rPr>
        <w:t>Tittonell</w:t>
      </w:r>
      <w:proofErr w:type="spellEnd"/>
      <w:r w:rsidRPr="00744972">
        <w:rPr>
          <w:szCs w:val="24"/>
        </w:rPr>
        <w:t xml:space="preserve"> P (2016) Land use change and ecosystem service provision in Pampas and </w:t>
      </w:r>
      <w:proofErr w:type="gramStart"/>
      <w:r w:rsidRPr="00744972">
        <w:rPr>
          <w:szCs w:val="24"/>
        </w:rPr>
        <w:t>Campos</w:t>
      </w:r>
      <w:proofErr w:type="gramEnd"/>
      <w:r w:rsidRPr="00744972">
        <w:rPr>
          <w:szCs w:val="24"/>
        </w:rPr>
        <w:t xml:space="preserve"> grasslands of southern South America. Environmental Research Letters 11(11):113002 </w:t>
      </w:r>
    </w:p>
    <w:p w14:paraId="5E59653E" w14:textId="77777777" w:rsidR="00766A4A" w:rsidRPr="00744972" w:rsidRDefault="00766A4A" w:rsidP="00766A4A">
      <w:pPr>
        <w:ind w:left="284" w:hanging="284"/>
        <w:rPr>
          <w:szCs w:val="24"/>
        </w:rPr>
      </w:pPr>
      <w:proofErr w:type="spellStart"/>
      <w:r w:rsidRPr="00744972">
        <w:rPr>
          <w:szCs w:val="24"/>
        </w:rPr>
        <w:t>Moschini</w:t>
      </w:r>
      <w:proofErr w:type="spellEnd"/>
      <w:r w:rsidRPr="00744972">
        <w:rPr>
          <w:szCs w:val="24"/>
        </w:rPr>
        <w:t xml:space="preserve"> G, Hennessy DA (2001) Uncertainty, risk aversion, and risk management for agricultural producers. Handbook of Agricultural Economics 1:87-153</w:t>
      </w:r>
    </w:p>
    <w:p w14:paraId="268DDCDB" w14:textId="77777777" w:rsidR="00766A4A" w:rsidRPr="00744972" w:rsidRDefault="00766A4A" w:rsidP="00766A4A">
      <w:pPr>
        <w:ind w:left="284" w:hanging="284"/>
        <w:rPr>
          <w:szCs w:val="24"/>
        </w:rPr>
      </w:pPr>
      <w:r w:rsidRPr="00744972">
        <w:rPr>
          <w:szCs w:val="24"/>
        </w:rPr>
        <w:t xml:space="preserve">Mott GO (1960) Grazing pressure and the measurement of pasture production. Proceedings 8th International Grassland Congress. pp.6 </w:t>
      </w:r>
    </w:p>
    <w:p w14:paraId="2B5E9587" w14:textId="77777777" w:rsidR="00766A4A" w:rsidRPr="00744972" w:rsidRDefault="00766A4A" w:rsidP="00766A4A">
      <w:pPr>
        <w:ind w:left="284" w:hanging="284"/>
        <w:rPr>
          <w:szCs w:val="24"/>
        </w:rPr>
      </w:pPr>
      <w:r w:rsidRPr="00744972">
        <w:rPr>
          <w:szCs w:val="24"/>
        </w:rPr>
        <w:t xml:space="preserve">Neumann JV, Morgenstern O 1944. Theory of games and economic </w:t>
      </w:r>
      <w:proofErr w:type="spellStart"/>
      <w:r w:rsidRPr="00744972">
        <w:rPr>
          <w:szCs w:val="24"/>
        </w:rPr>
        <w:t>behaviour</w:t>
      </w:r>
      <w:proofErr w:type="spellEnd"/>
      <w:r w:rsidRPr="00744972">
        <w:rPr>
          <w:szCs w:val="24"/>
        </w:rPr>
        <w:t>.</w:t>
      </w:r>
    </w:p>
    <w:p w14:paraId="669B18F5" w14:textId="77777777" w:rsidR="00766A4A" w:rsidRPr="00744972" w:rsidRDefault="00766A4A" w:rsidP="00766A4A">
      <w:pPr>
        <w:ind w:left="284" w:hanging="284"/>
        <w:rPr>
          <w:szCs w:val="24"/>
        </w:rPr>
      </w:pPr>
      <w:r w:rsidRPr="00744972">
        <w:rPr>
          <w:szCs w:val="24"/>
        </w:rPr>
        <w:t xml:space="preserve">Quiggin J, Chambers RG (2006) </w:t>
      </w:r>
      <w:proofErr w:type="gramStart"/>
      <w:r w:rsidRPr="00744972">
        <w:rPr>
          <w:szCs w:val="24"/>
        </w:rPr>
        <w:t>The</w:t>
      </w:r>
      <w:proofErr w:type="gramEnd"/>
      <w:r w:rsidRPr="00744972">
        <w:rPr>
          <w:szCs w:val="24"/>
        </w:rPr>
        <w:t xml:space="preserve"> state</w:t>
      </w:r>
      <w:r w:rsidRPr="00744972">
        <w:rPr>
          <w:rFonts w:ascii="Cambria Math" w:hAnsi="Cambria Math" w:cs="Cambria Math"/>
          <w:szCs w:val="24"/>
        </w:rPr>
        <w:t>‐</w:t>
      </w:r>
      <w:r w:rsidRPr="00744972">
        <w:rPr>
          <w:szCs w:val="24"/>
        </w:rPr>
        <w:t>contingent approach to production under uncertainty. Australian Journal of Agricultural and Resource Economics 50(2):153-169.</w:t>
      </w:r>
    </w:p>
    <w:p w14:paraId="671962B1" w14:textId="77777777" w:rsidR="00766A4A" w:rsidRPr="00744972" w:rsidRDefault="00766A4A" w:rsidP="00766A4A">
      <w:pPr>
        <w:ind w:left="284" w:hanging="284"/>
        <w:rPr>
          <w:szCs w:val="24"/>
        </w:rPr>
      </w:pPr>
      <w:r w:rsidRPr="00744972">
        <w:rPr>
          <w:szCs w:val="24"/>
        </w:rPr>
        <w:t>Pandey S (1990) Risk-efficient irrigation strategies for wheat. Agricultural Economics 4(1):59-71</w:t>
      </w:r>
    </w:p>
    <w:p w14:paraId="53EC0B86" w14:textId="77777777" w:rsidR="00766A4A" w:rsidRPr="00744972" w:rsidRDefault="00766A4A" w:rsidP="00766A4A">
      <w:pPr>
        <w:ind w:left="284" w:hanging="284"/>
        <w:rPr>
          <w:szCs w:val="24"/>
        </w:rPr>
      </w:pPr>
      <w:r w:rsidRPr="00744972">
        <w:rPr>
          <w:szCs w:val="24"/>
        </w:rPr>
        <w:t>Petersen RG, Lucas HL, Mott GO (1965) Relationship between rate of stocking and per animal and per acre performance on pasture. Agronomy Journal 57(1):27-30</w:t>
      </w:r>
    </w:p>
    <w:p w14:paraId="2182EAC0" w14:textId="77777777" w:rsidR="00766A4A" w:rsidRPr="00744972" w:rsidRDefault="00766A4A" w:rsidP="00766A4A">
      <w:pPr>
        <w:ind w:left="284" w:hanging="284"/>
        <w:rPr>
          <w:szCs w:val="24"/>
        </w:rPr>
      </w:pPr>
      <w:r w:rsidRPr="00744972">
        <w:rPr>
          <w:szCs w:val="24"/>
        </w:rPr>
        <w:t xml:space="preserve">Picasso V, </w:t>
      </w:r>
      <w:proofErr w:type="spellStart"/>
      <w:r w:rsidRPr="00744972">
        <w:rPr>
          <w:szCs w:val="24"/>
        </w:rPr>
        <w:t>Modernel</w:t>
      </w:r>
      <w:proofErr w:type="spellEnd"/>
      <w:r w:rsidRPr="00744972">
        <w:rPr>
          <w:szCs w:val="24"/>
        </w:rPr>
        <w:t xml:space="preserve"> PD, </w:t>
      </w:r>
      <w:proofErr w:type="spellStart"/>
      <w:r w:rsidRPr="00744972">
        <w:rPr>
          <w:szCs w:val="24"/>
        </w:rPr>
        <w:t>Becoña</w:t>
      </w:r>
      <w:proofErr w:type="spellEnd"/>
      <w:r w:rsidRPr="00744972">
        <w:rPr>
          <w:szCs w:val="24"/>
        </w:rPr>
        <w:t xml:space="preserve"> G, Salvo L, Gutiérrez L, </w:t>
      </w:r>
      <w:proofErr w:type="spellStart"/>
      <w:r w:rsidRPr="00744972">
        <w:rPr>
          <w:szCs w:val="24"/>
        </w:rPr>
        <w:t>Astigarraga</w:t>
      </w:r>
      <w:proofErr w:type="spellEnd"/>
      <w:r w:rsidRPr="00744972">
        <w:rPr>
          <w:szCs w:val="24"/>
        </w:rPr>
        <w:t xml:space="preserve"> L (2014) Sustainability of meat production beyond carbon footprint: a synthesis of case studies from grazing systems in Uruguay. Meat science 98(3):346-354</w:t>
      </w:r>
    </w:p>
    <w:p w14:paraId="36747DC6" w14:textId="77777777" w:rsidR="00766A4A" w:rsidRDefault="00766A4A" w:rsidP="00766A4A">
      <w:pPr>
        <w:ind w:left="284" w:hanging="284"/>
        <w:rPr>
          <w:szCs w:val="24"/>
        </w:rPr>
      </w:pPr>
      <w:proofErr w:type="spellStart"/>
      <w:r w:rsidRPr="006A5214">
        <w:rPr>
          <w:szCs w:val="24"/>
        </w:rPr>
        <w:t>Renard</w:t>
      </w:r>
      <w:proofErr w:type="spellEnd"/>
      <w:r w:rsidRPr="006A5214">
        <w:rPr>
          <w:szCs w:val="24"/>
        </w:rPr>
        <w:t xml:space="preserve"> KG, Foster GR, </w:t>
      </w:r>
      <w:proofErr w:type="spellStart"/>
      <w:r w:rsidRPr="006A5214">
        <w:rPr>
          <w:szCs w:val="24"/>
        </w:rPr>
        <w:t>Weesies</w:t>
      </w:r>
      <w:proofErr w:type="spellEnd"/>
      <w:r w:rsidRPr="006A5214">
        <w:rPr>
          <w:szCs w:val="24"/>
        </w:rPr>
        <w:t xml:space="preserve"> GA, McCool DK, and Yoder DC, coordinators. (1997) Predicting Soil Erosion by Water: A Guide to Conservation Planning with the Revised Universal Soil Loss Equation. U.S. Department of Agriculture, Agriculture Handbook 703</w:t>
      </w:r>
    </w:p>
    <w:p w14:paraId="2E09ED59" w14:textId="77777777" w:rsidR="00766A4A" w:rsidRPr="006A5214" w:rsidRDefault="00766A4A" w:rsidP="00766A4A">
      <w:pPr>
        <w:ind w:left="284" w:hanging="284"/>
        <w:rPr>
          <w:szCs w:val="24"/>
        </w:rPr>
      </w:pPr>
      <w:proofErr w:type="spellStart"/>
      <w:r w:rsidRPr="006A5214">
        <w:rPr>
          <w:szCs w:val="24"/>
        </w:rPr>
        <w:lastRenderedPageBreak/>
        <w:t>República</w:t>
      </w:r>
      <w:proofErr w:type="spellEnd"/>
      <w:r w:rsidRPr="006A5214">
        <w:rPr>
          <w:szCs w:val="24"/>
        </w:rPr>
        <w:t xml:space="preserve"> Oriental del Uruguay – </w:t>
      </w:r>
      <w:proofErr w:type="spellStart"/>
      <w:r w:rsidRPr="006A5214">
        <w:rPr>
          <w:szCs w:val="24"/>
        </w:rPr>
        <w:t>Política</w:t>
      </w:r>
      <w:proofErr w:type="spellEnd"/>
      <w:r w:rsidRPr="006A5214">
        <w:rPr>
          <w:szCs w:val="24"/>
        </w:rPr>
        <w:t xml:space="preserve"> Nacional de </w:t>
      </w:r>
      <w:proofErr w:type="spellStart"/>
      <w:r w:rsidRPr="006A5214">
        <w:rPr>
          <w:szCs w:val="24"/>
        </w:rPr>
        <w:t>Cambio</w:t>
      </w:r>
      <w:proofErr w:type="spellEnd"/>
      <w:r w:rsidRPr="006A5214">
        <w:rPr>
          <w:szCs w:val="24"/>
        </w:rPr>
        <w:t xml:space="preserve"> </w:t>
      </w:r>
      <w:proofErr w:type="spellStart"/>
      <w:r w:rsidRPr="006A5214">
        <w:rPr>
          <w:szCs w:val="24"/>
        </w:rPr>
        <w:t>Climático</w:t>
      </w:r>
      <w:proofErr w:type="spellEnd"/>
      <w:r w:rsidRPr="006A5214">
        <w:rPr>
          <w:szCs w:val="24"/>
        </w:rPr>
        <w:t xml:space="preserve"> – ROU-PNCC (2017</w:t>
      </w:r>
      <w:proofErr w:type="gramStart"/>
      <w:r w:rsidRPr="006A5214">
        <w:rPr>
          <w:szCs w:val="24"/>
        </w:rPr>
        <w:t>)  Available</w:t>
      </w:r>
      <w:proofErr w:type="gramEnd"/>
      <w:r w:rsidRPr="006A5214">
        <w:rPr>
          <w:szCs w:val="24"/>
        </w:rPr>
        <w:t xml:space="preserve"> in: http://www.mvotma.gub.uy/politica-planes-y-proyectos/politica-nacional-de-cambio-climatico (Accessed in December 2018)</w:t>
      </w:r>
    </w:p>
    <w:p w14:paraId="4DE32FB2" w14:textId="77777777" w:rsidR="00766A4A" w:rsidRPr="00744972" w:rsidRDefault="00766A4A" w:rsidP="00766A4A">
      <w:pPr>
        <w:ind w:left="284" w:hanging="284"/>
        <w:rPr>
          <w:szCs w:val="24"/>
        </w:rPr>
      </w:pPr>
      <w:proofErr w:type="spellStart"/>
      <w:r w:rsidRPr="00744972">
        <w:rPr>
          <w:szCs w:val="24"/>
        </w:rPr>
        <w:t>República</w:t>
      </w:r>
      <w:proofErr w:type="spellEnd"/>
      <w:r w:rsidRPr="00744972">
        <w:rPr>
          <w:szCs w:val="24"/>
        </w:rPr>
        <w:t xml:space="preserve"> Oriental </w:t>
      </w:r>
      <w:proofErr w:type="gramStart"/>
      <w:r w:rsidRPr="00744972">
        <w:rPr>
          <w:szCs w:val="24"/>
        </w:rPr>
        <w:t>del</w:t>
      </w:r>
      <w:proofErr w:type="gramEnd"/>
      <w:r w:rsidRPr="00744972">
        <w:rPr>
          <w:szCs w:val="24"/>
        </w:rPr>
        <w:t xml:space="preserve"> Uruguay – First Nationally Determined Contribution to the Paris Agreement – ROU-NDC. (2017) Available in: http://www4.unfccc.int/ndcregistry/PublishedDocuments/Uruguay%20First/Uruguay_Primera%20Contribuci%C3%B3n%20Determinada%20a%20nivel%20Nacional.pdf (Accessed in December 2018)</w:t>
      </w:r>
    </w:p>
    <w:p w14:paraId="1FA99AA1" w14:textId="77777777" w:rsidR="00766A4A" w:rsidRPr="00766A4A" w:rsidRDefault="00766A4A" w:rsidP="00766A4A">
      <w:pPr>
        <w:ind w:left="284" w:hanging="284"/>
        <w:rPr>
          <w:szCs w:val="24"/>
          <w:lang w:val="es-UY"/>
        </w:rPr>
      </w:pPr>
      <w:r w:rsidRPr="00766A4A">
        <w:rPr>
          <w:szCs w:val="24"/>
          <w:lang w:val="es-UY"/>
        </w:rPr>
        <w:t xml:space="preserve">Rosas F, </w:t>
      </w:r>
      <w:proofErr w:type="spellStart"/>
      <w:r w:rsidRPr="00766A4A">
        <w:rPr>
          <w:szCs w:val="24"/>
          <w:lang w:val="es-UY"/>
        </w:rPr>
        <w:t>Ackermann</w:t>
      </w:r>
      <w:proofErr w:type="spellEnd"/>
      <w:r w:rsidRPr="00766A4A">
        <w:rPr>
          <w:szCs w:val="24"/>
          <w:lang w:val="es-UY"/>
        </w:rPr>
        <w:t xml:space="preserve"> M, </w:t>
      </w:r>
      <w:proofErr w:type="spellStart"/>
      <w:r w:rsidRPr="00766A4A">
        <w:rPr>
          <w:szCs w:val="24"/>
          <w:lang w:val="es-UY"/>
        </w:rPr>
        <w:t>Buonomo</w:t>
      </w:r>
      <w:proofErr w:type="spellEnd"/>
      <w:r w:rsidRPr="00766A4A">
        <w:rPr>
          <w:szCs w:val="24"/>
          <w:lang w:val="es-UY"/>
        </w:rPr>
        <w:t xml:space="preserve"> M (2014) “Modelo para la evaluación privada de proyectos de inversión en riego: aplicación a embalses estratégicos en la cuenca hidrográfica del río San Salvador, Soriano” in: </w:t>
      </w:r>
      <w:proofErr w:type="spellStart"/>
      <w:r w:rsidRPr="00766A4A">
        <w:rPr>
          <w:szCs w:val="24"/>
          <w:lang w:val="es-UY"/>
        </w:rPr>
        <w:t>Conference</w:t>
      </w:r>
      <w:proofErr w:type="spellEnd"/>
      <w:r w:rsidRPr="00766A4A">
        <w:rPr>
          <w:szCs w:val="24"/>
          <w:lang w:val="es-UY"/>
        </w:rPr>
        <w:t xml:space="preserve"> </w:t>
      </w:r>
      <w:proofErr w:type="spellStart"/>
      <w:r w:rsidRPr="00766A4A">
        <w:rPr>
          <w:szCs w:val="24"/>
          <w:lang w:val="es-UY"/>
        </w:rPr>
        <w:t>Proceedings</w:t>
      </w:r>
      <w:proofErr w:type="spellEnd"/>
      <w:r w:rsidRPr="00766A4A">
        <w:rPr>
          <w:szCs w:val="24"/>
          <w:lang w:val="es-UY"/>
        </w:rPr>
        <w:t xml:space="preserve"> del Tercer Seminario Internacional de Riego en Cultivos y Pasturas. Grupo de Desarrollo del Riego. Paysandú, Uruguay.</w:t>
      </w:r>
    </w:p>
    <w:p w14:paraId="489DD998" w14:textId="77777777" w:rsidR="00766A4A" w:rsidRPr="00766A4A" w:rsidRDefault="00766A4A" w:rsidP="00766A4A">
      <w:pPr>
        <w:ind w:left="284" w:hanging="284"/>
        <w:rPr>
          <w:szCs w:val="24"/>
          <w:lang w:val="es-UY"/>
        </w:rPr>
      </w:pPr>
      <w:proofErr w:type="spellStart"/>
      <w:r w:rsidRPr="00766A4A">
        <w:rPr>
          <w:szCs w:val="24"/>
          <w:lang w:val="es-UY"/>
        </w:rPr>
        <w:t>Scarlato</w:t>
      </w:r>
      <w:proofErr w:type="spellEnd"/>
      <w:r w:rsidRPr="00766A4A">
        <w:rPr>
          <w:szCs w:val="24"/>
          <w:lang w:val="es-UY"/>
        </w:rPr>
        <w:t xml:space="preserve"> S (2017) Mejorando el manejo del campo natural en sistemas ganaderos criadores. In Producción Animal Sostenible en Pastoreo sobre Campo Natural. Mesa de Ganadería sobre Campo Natural. MGAP. Uruguay 88-97</w:t>
      </w:r>
    </w:p>
    <w:p w14:paraId="6AB18484" w14:textId="77777777" w:rsidR="00766A4A" w:rsidRPr="00744972" w:rsidRDefault="00766A4A" w:rsidP="00766A4A">
      <w:pPr>
        <w:ind w:left="284" w:hanging="284"/>
        <w:rPr>
          <w:szCs w:val="24"/>
        </w:rPr>
      </w:pPr>
      <w:r w:rsidRPr="00766A4A">
        <w:rPr>
          <w:szCs w:val="24"/>
          <w:lang w:val="es-UY"/>
        </w:rPr>
        <w:t xml:space="preserve">Soca P (2017) Aportes del campo natural a las mejoras del resultado y sostenibilidad de la cría vacuna en Uruguay. In Producción Animal Sostenible en Pastoreo sobre Campo Natural. Mesa de Ganadería sobre Campo Natural. </w:t>
      </w:r>
      <w:r w:rsidRPr="00744972">
        <w:rPr>
          <w:szCs w:val="24"/>
        </w:rPr>
        <w:t>MGAP. Uruguay 74-83</w:t>
      </w:r>
    </w:p>
    <w:p w14:paraId="3735B629" w14:textId="77777777" w:rsidR="00766A4A" w:rsidRPr="00744972" w:rsidRDefault="00766A4A" w:rsidP="00766A4A">
      <w:pPr>
        <w:ind w:left="284" w:hanging="284"/>
        <w:rPr>
          <w:szCs w:val="24"/>
        </w:rPr>
      </w:pPr>
      <w:proofErr w:type="spellStart"/>
      <w:r w:rsidRPr="00744972">
        <w:rPr>
          <w:szCs w:val="24"/>
        </w:rPr>
        <w:t>Soca</w:t>
      </w:r>
      <w:proofErr w:type="spellEnd"/>
      <w:r w:rsidRPr="00744972">
        <w:rPr>
          <w:szCs w:val="24"/>
        </w:rPr>
        <w:t xml:space="preserve"> P, </w:t>
      </w:r>
      <w:proofErr w:type="spellStart"/>
      <w:r w:rsidRPr="00744972">
        <w:rPr>
          <w:szCs w:val="24"/>
        </w:rPr>
        <w:t>Berreta</w:t>
      </w:r>
      <w:proofErr w:type="spellEnd"/>
      <w:r w:rsidRPr="00744972">
        <w:rPr>
          <w:szCs w:val="24"/>
        </w:rPr>
        <w:t xml:space="preserve"> V, </w:t>
      </w:r>
      <w:proofErr w:type="spellStart"/>
      <w:r w:rsidRPr="00744972">
        <w:rPr>
          <w:szCs w:val="24"/>
        </w:rPr>
        <w:t>Heinzen</w:t>
      </w:r>
      <w:proofErr w:type="spellEnd"/>
      <w:r w:rsidRPr="00744972">
        <w:rPr>
          <w:szCs w:val="24"/>
        </w:rPr>
        <w:t xml:space="preserve"> M, </w:t>
      </w:r>
      <w:proofErr w:type="spellStart"/>
      <w:r w:rsidRPr="00744972">
        <w:rPr>
          <w:szCs w:val="24"/>
        </w:rPr>
        <w:t>Bentancurt</w:t>
      </w:r>
      <w:proofErr w:type="spellEnd"/>
      <w:r w:rsidRPr="00744972">
        <w:rPr>
          <w:szCs w:val="24"/>
        </w:rPr>
        <w:t xml:space="preserve"> O (2002) Effect of pasture height and control of grazing time on grazing behavior and defoliation dynamic of growing beef cattle. In Symposium responding to the increasing global demand for animal products. British Society Animal Science 12-15</w:t>
      </w:r>
    </w:p>
    <w:p w14:paraId="229A268D" w14:textId="77777777" w:rsidR="00766A4A" w:rsidRPr="00744972" w:rsidRDefault="00766A4A" w:rsidP="00766A4A">
      <w:pPr>
        <w:ind w:left="284" w:hanging="284"/>
        <w:rPr>
          <w:szCs w:val="24"/>
        </w:rPr>
      </w:pPr>
      <w:proofErr w:type="spellStart"/>
      <w:r w:rsidRPr="00744972">
        <w:rPr>
          <w:szCs w:val="24"/>
        </w:rPr>
        <w:lastRenderedPageBreak/>
        <w:t>Soca</w:t>
      </w:r>
      <w:proofErr w:type="spellEnd"/>
      <w:r w:rsidRPr="00744972">
        <w:rPr>
          <w:szCs w:val="24"/>
        </w:rPr>
        <w:t xml:space="preserve"> P, </w:t>
      </w:r>
      <w:proofErr w:type="spellStart"/>
      <w:r w:rsidRPr="00744972">
        <w:rPr>
          <w:szCs w:val="24"/>
        </w:rPr>
        <w:t>Carriquiry</w:t>
      </w:r>
      <w:proofErr w:type="spellEnd"/>
      <w:r w:rsidRPr="00744972">
        <w:rPr>
          <w:szCs w:val="24"/>
        </w:rPr>
        <w:t xml:space="preserve"> M, </w:t>
      </w:r>
      <w:proofErr w:type="spellStart"/>
      <w:r w:rsidRPr="00744972">
        <w:rPr>
          <w:szCs w:val="24"/>
        </w:rPr>
        <w:t>Claramunt</w:t>
      </w:r>
      <w:proofErr w:type="spellEnd"/>
      <w:r w:rsidRPr="00744972">
        <w:rPr>
          <w:szCs w:val="24"/>
        </w:rPr>
        <w:t xml:space="preserve"> M, </w:t>
      </w:r>
      <w:proofErr w:type="spellStart"/>
      <w:r w:rsidRPr="00744972">
        <w:rPr>
          <w:szCs w:val="24"/>
        </w:rPr>
        <w:t>Rupretech</w:t>
      </w:r>
      <w:proofErr w:type="spellEnd"/>
      <w:r w:rsidRPr="00744972">
        <w:rPr>
          <w:szCs w:val="24"/>
        </w:rPr>
        <w:t xml:space="preserve"> A, </w:t>
      </w:r>
      <w:proofErr w:type="spellStart"/>
      <w:r w:rsidRPr="00744972">
        <w:rPr>
          <w:szCs w:val="24"/>
        </w:rPr>
        <w:t>Meikle</w:t>
      </w:r>
      <w:proofErr w:type="spellEnd"/>
      <w:r w:rsidRPr="00744972">
        <w:rPr>
          <w:szCs w:val="24"/>
        </w:rPr>
        <w:t xml:space="preserve"> A (2013a) Metabolic and endocrine profiles of </w:t>
      </w:r>
      <w:proofErr w:type="spellStart"/>
      <w:r w:rsidRPr="00744972">
        <w:rPr>
          <w:szCs w:val="24"/>
        </w:rPr>
        <w:t>primiparous</w:t>
      </w:r>
      <w:proofErr w:type="spellEnd"/>
      <w:r w:rsidRPr="00744972">
        <w:rPr>
          <w:szCs w:val="24"/>
        </w:rPr>
        <w:t xml:space="preserve"> beef cows grazing native pasture 1) Relationships between body condition score at calving and metabolic profiles during the transition period. Animal Production Science 54(7):856-861</w:t>
      </w:r>
    </w:p>
    <w:p w14:paraId="0EC5B908" w14:textId="77777777" w:rsidR="00766A4A" w:rsidRPr="00744972" w:rsidRDefault="00766A4A" w:rsidP="00766A4A">
      <w:pPr>
        <w:ind w:left="284" w:hanging="284"/>
        <w:rPr>
          <w:szCs w:val="24"/>
        </w:rPr>
      </w:pPr>
      <w:proofErr w:type="spellStart"/>
      <w:r w:rsidRPr="00744972">
        <w:rPr>
          <w:szCs w:val="24"/>
        </w:rPr>
        <w:t>Soca</w:t>
      </w:r>
      <w:proofErr w:type="spellEnd"/>
      <w:r w:rsidRPr="00744972">
        <w:rPr>
          <w:szCs w:val="24"/>
        </w:rPr>
        <w:t xml:space="preserve"> P, </w:t>
      </w:r>
      <w:proofErr w:type="spellStart"/>
      <w:r w:rsidRPr="00744972">
        <w:rPr>
          <w:szCs w:val="24"/>
        </w:rPr>
        <w:t>Carriquiry</w:t>
      </w:r>
      <w:proofErr w:type="spellEnd"/>
      <w:r w:rsidRPr="00744972">
        <w:rPr>
          <w:szCs w:val="24"/>
        </w:rPr>
        <w:t xml:space="preserve"> M, </w:t>
      </w:r>
      <w:proofErr w:type="spellStart"/>
      <w:r w:rsidRPr="00744972">
        <w:rPr>
          <w:szCs w:val="24"/>
        </w:rPr>
        <w:t>Claramunt</w:t>
      </w:r>
      <w:proofErr w:type="spellEnd"/>
      <w:r w:rsidRPr="00744972">
        <w:rPr>
          <w:szCs w:val="24"/>
        </w:rPr>
        <w:t xml:space="preserve"> M, </w:t>
      </w:r>
      <w:proofErr w:type="spellStart"/>
      <w:r w:rsidRPr="00744972">
        <w:rPr>
          <w:szCs w:val="24"/>
        </w:rPr>
        <w:t>Rupretech</w:t>
      </w:r>
      <w:proofErr w:type="spellEnd"/>
      <w:r w:rsidRPr="00744972">
        <w:rPr>
          <w:szCs w:val="24"/>
        </w:rPr>
        <w:t xml:space="preserve"> A, </w:t>
      </w:r>
      <w:proofErr w:type="spellStart"/>
      <w:r w:rsidRPr="00744972">
        <w:rPr>
          <w:szCs w:val="24"/>
        </w:rPr>
        <w:t>Meikle</w:t>
      </w:r>
      <w:proofErr w:type="spellEnd"/>
      <w:r w:rsidRPr="00744972">
        <w:rPr>
          <w:szCs w:val="24"/>
        </w:rPr>
        <w:t xml:space="preserve"> A (2013b) Metabolic and endocrine profiles of </w:t>
      </w:r>
      <w:proofErr w:type="spellStart"/>
      <w:r w:rsidRPr="00744972">
        <w:rPr>
          <w:szCs w:val="24"/>
        </w:rPr>
        <w:t>primiparous</w:t>
      </w:r>
      <w:proofErr w:type="spellEnd"/>
      <w:r w:rsidRPr="00744972">
        <w:rPr>
          <w:szCs w:val="24"/>
        </w:rPr>
        <w:t xml:space="preserve"> beef cows grazing native pasture. 2) Effects of body condition score at calving, type of suckling restriction and flushing on plasmatic and productive parameters. Animal Production Science 54(7):862-868</w:t>
      </w:r>
    </w:p>
    <w:p w14:paraId="52581829" w14:textId="77777777" w:rsidR="00766A4A" w:rsidRPr="00744972" w:rsidRDefault="00766A4A" w:rsidP="00766A4A">
      <w:pPr>
        <w:ind w:left="284" w:hanging="284"/>
        <w:rPr>
          <w:szCs w:val="24"/>
        </w:rPr>
      </w:pPr>
      <w:proofErr w:type="spellStart"/>
      <w:r w:rsidRPr="00744972">
        <w:rPr>
          <w:szCs w:val="24"/>
        </w:rPr>
        <w:t>Tavakoli</w:t>
      </w:r>
      <w:proofErr w:type="spellEnd"/>
      <w:r w:rsidRPr="00744972">
        <w:rPr>
          <w:szCs w:val="24"/>
        </w:rPr>
        <w:t xml:space="preserve"> AR, </w:t>
      </w:r>
      <w:proofErr w:type="spellStart"/>
      <w:r w:rsidRPr="00744972">
        <w:rPr>
          <w:szCs w:val="24"/>
        </w:rPr>
        <w:t>Oweis</w:t>
      </w:r>
      <w:proofErr w:type="spellEnd"/>
      <w:r w:rsidRPr="00744972">
        <w:rPr>
          <w:szCs w:val="24"/>
        </w:rPr>
        <w:t xml:space="preserve"> T, </w:t>
      </w:r>
      <w:proofErr w:type="spellStart"/>
      <w:r w:rsidRPr="00744972">
        <w:rPr>
          <w:szCs w:val="24"/>
        </w:rPr>
        <w:t>Farahani</w:t>
      </w:r>
      <w:proofErr w:type="spellEnd"/>
      <w:r w:rsidRPr="00744972">
        <w:rPr>
          <w:szCs w:val="24"/>
        </w:rPr>
        <w:t xml:space="preserve"> H, Ashrafi S, </w:t>
      </w:r>
      <w:proofErr w:type="spellStart"/>
      <w:r w:rsidRPr="00744972">
        <w:rPr>
          <w:szCs w:val="24"/>
        </w:rPr>
        <w:t>Hormoz</w:t>
      </w:r>
      <w:proofErr w:type="spellEnd"/>
      <w:r w:rsidRPr="00744972">
        <w:rPr>
          <w:szCs w:val="24"/>
        </w:rPr>
        <w:t xml:space="preserve"> A, </w:t>
      </w:r>
      <w:proofErr w:type="spellStart"/>
      <w:r w:rsidRPr="00744972">
        <w:rPr>
          <w:szCs w:val="24"/>
        </w:rPr>
        <w:t>Siadat</w:t>
      </w:r>
      <w:proofErr w:type="spellEnd"/>
      <w:r w:rsidRPr="00744972">
        <w:rPr>
          <w:szCs w:val="24"/>
        </w:rPr>
        <w:t xml:space="preserve"> H, </w:t>
      </w:r>
      <w:proofErr w:type="spellStart"/>
      <w:r w:rsidRPr="00744972">
        <w:rPr>
          <w:szCs w:val="24"/>
        </w:rPr>
        <w:t>Liaghat</w:t>
      </w:r>
      <w:proofErr w:type="spellEnd"/>
      <w:r w:rsidRPr="00744972">
        <w:rPr>
          <w:szCs w:val="24"/>
        </w:rPr>
        <w:t xml:space="preserve"> A (2010) Improving rainwater productivity with supplemental irrigation in upper Karkheh river basin of Iran. International Center for Agricultural Research in the Dry Areas (ICARDA), Aleppo, Syria, 123.</w:t>
      </w:r>
    </w:p>
    <w:p w14:paraId="204A580B" w14:textId="18A3B5D6" w:rsidR="00766A4A" w:rsidRPr="00766A4A" w:rsidRDefault="00766A4A" w:rsidP="00766A4A">
      <w:pPr>
        <w:ind w:firstLine="0"/>
      </w:pPr>
      <w:r w:rsidRPr="00744972">
        <w:rPr>
          <w:szCs w:val="24"/>
        </w:rPr>
        <w:t xml:space="preserve">Yuan T, </w:t>
      </w:r>
      <w:proofErr w:type="spellStart"/>
      <w:r w:rsidRPr="00744972">
        <w:rPr>
          <w:szCs w:val="24"/>
        </w:rPr>
        <w:t>Fengmin</w:t>
      </w:r>
      <w:proofErr w:type="spellEnd"/>
      <w:r w:rsidRPr="00744972">
        <w:rPr>
          <w:szCs w:val="24"/>
        </w:rPr>
        <w:t xml:space="preserve"> L, </w:t>
      </w:r>
      <w:proofErr w:type="spellStart"/>
      <w:r w:rsidRPr="00744972">
        <w:rPr>
          <w:szCs w:val="24"/>
        </w:rPr>
        <w:t>Puhai</w:t>
      </w:r>
      <w:proofErr w:type="spellEnd"/>
      <w:r w:rsidRPr="00744972">
        <w:rPr>
          <w:szCs w:val="24"/>
        </w:rPr>
        <w:t xml:space="preserve"> L (2003) Economic analysis of rainwater harvesting and irrigation methods, with an example from China. Agricultural Water Management</w:t>
      </w:r>
    </w:p>
    <w:sectPr w:rsidR="00766A4A" w:rsidRPr="00766A4A" w:rsidSect="00E002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F874B" w14:textId="77777777" w:rsidR="004B3982" w:rsidRDefault="004B3982" w:rsidP="00BC5BB2">
      <w:r>
        <w:separator/>
      </w:r>
    </w:p>
  </w:endnote>
  <w:endnote w:type="continuationSeparator" w:id="0">
    <w:p w14:paraId="2F8D7CC9" w14:textId="77777777" w:rsidR="004B3982" w:rsidRDefault="004B3982" w:rsidP="00BC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243EB" w14:textId="77777777" w:rsidR="004B3982" w:rsidRDefault="004B3982" w:rsidP="00BC5BB2">
      <w:r>
        <w:separator/>
      </w:r>
    </w:p>
  </w:footnote>
  <w:footnote w:type="continuationSeparator" w:id="0">
    <w:p w14:paraId="1EF40F9C" w14:textId="77777777" w:rsidR="004B3982" w:rsidRDefault="004B3982" w:rsidP="00BC5BB2">
      <w:r>
        <w:continuationSeparator/>
      </w:r>
    </w:p>
  </w:footnote>
  <w:footnote w:id="1">
    <w:p w14:paraId="0B2ED8FE" w14:textId="77777777" w:rsidR="00E93399" w:rsidRPr="00763F35" w:rsidRDefault="00E93399" w:rsidP="00036B50">
      <w:pPr>
        <w:pStyle w:val="Default"/>
        <w:jc w:val="both"/>
        <w:rPr>
          <w:sz w:val="20"/>
          <w:szCs w:val="20"/>
          <w:lang w:val="en-GB"/>
        </w:rPr>
      </w:pPr>
      <w:r>
        <w:rPr>
          <w:rStyle w:val="Refdenotaalpie"/>
        </w:rPr>
        <w:footnoteRef/>
      </w:r>
      <w:r w:rsidRPr="00714706">
        <w:rPr>
          <w:color w:val="auto"/>
          <w:sz w:val="20"/>
          <w:szCs w:val="20"/>
          <w:lang w:val="en-US"/>
        </w:rPr>
        <w:t>Pandey (1990), through a stochastic dominance approach</w:t>
      </w:r>
      <w:r>
        <w:rPr>
          <w:color w:val="auto"/>
          <w:sz w:val="20"/>
          <w:szCs w:val="20"/>
          <w:lang w:val="en-US"/>
        </w:rPr>
        <w:t xml:space="preserve"> and </w:t>
      </w:r>
      <w:r w:rsidRPr="00714706">
        <w:rPr>
          <w:color w:val="auto"/>
          <w:sz w:val="20"/>
          <w:szCs w:val="20"/>
          <w:lang w:val="en-US"/>
        </w:rPr>
        <w:t xml:space="preserve">using the output of a crop simulation model, </w:t>
      </w:r>
      <w:r>
        <w:rPr>
          <w:color w:val="auto"/>
          <w:sz w:val="20"/>
          <w:szCs w:val="20"/>
          <w:lang w:val="en-US"/>
        </w:rPr>
        <w:t xml:space="preserve">identifies </w:t>
      </w:r>
      <w:r w:rsidRPr="00714706">
        <w:rPr>
          <w:color w:val="auto"/>
          <w:sz w:val="20"/>
          <w:szCs w:val="20"/>
          <w:lang w:val="en-US"/>
        </w:rPr>
        <w:t xml:space="preserve">risk-efficient irrigation schedules for winter wheat in central India and quantitatively estimates the benefits </w:t>
      </w:r>
      <w:r>
        <w:rPr>
          <w:color w:val="auto"/>
          <w:sz w:val="20"/>
          <w:szCs w:val="20"/>
          <w:lang w:val="en-US"/>
        </w:rPr>
        <w:t>to</w:t>
      </w:r>
      <w:r w:rsidRPr="00714706">
        <w:rPr>
          <w:color w:val="auto"/>
          <w:sz w:val="20"/>
          <w:szCs w:val="20"/>
          <w:lang w:val="en-US"/>
        </w:rPr>
        <w:t xml:space="preserve"> the farmers due to risk reduction. </w:t>
      </w:r>
      <w:proofErr w:type="spellStart"/>
      <w:r w:rsidRPr="00714706">
        <w:rPr>
          <w:color w:val="auto"/>
          <w:sz w:val="20"/>
          <w:szCs w:val="20"/>
          <w:lang w:val="en-US"/>
        </w:rPr>
        <w:t>Apland</w:t>
      </w:r>
      <w:proofErr w:type="spellEnd"/>
      <w:r w:rsidRPr="00714706">
        <w:rPr>
          <w:color w:val="auto"/>
          <w:sz w:val="20"/>
          <w:szCs w:val="20"/>
          <w:lang w:val="en-US"/>
        </w:rPr>
        <w:t xml:space="preserve"> et al. (1980) use data of the Corn Belt from 1968 to 1975 to analyze the impact of risk aversion on the dem</w:t>
      </w:r>
      <w:r>
        <w:rPr>
          <w:color w:val="auto"/>
          <w:sz w:val="20"/>
          <w:szCs w:val="20"/>
          <w:lang w:val="en-US"/>
        </w:rPr>
        <w:t>and for supplemented irrigation</w:t>
      </w:r>
      <w:r w:rsidRPr="00714706">
        <w:rPr>
          <w:color w:val="auto"/>
          <w:sz w:val="20"/>
          <w:szCs w:val="20"/>
          <w:lang w:val="en-US"/>
        </w:rPr>
        <w:t>.</w:t>
      </w:r>
      <w:r w:rsidRPr="00714706">
        <w:rPr>
          <w:sz w:val="20"/>
          <w:szCs w:val="20"/>
          <w:lang w:val="en-US"/>
        </w:rPr>
        <w:t xml:space="preserve"> </w:t>
      </w:r>
      <w:proofErr w:type="spellStart"/>
      <w:r w:rsidRPr="00714706">
        <w:rPr>
          <w:sz w:val="20"/>
          <w:szCs w:val="20"/>
          <w:lang w:val="en-US"/>
        </w:rPr>
        <w:t>Gelós</w:t>
      </w:r>
      <w:proofErr w:type="spellEnd"/>
      <w:r w:rsidRPr="00714706">
        <w:rPr>
          <w:sz w:val="20"/>
          <w:szCs w:val="20"/>
          <w:lang w:val="en-US"/>
        </w:rPr>
        <w:t xml:space="preserve"> (2016) </w:t>
      </w:r>
      <w:r>
        <w:rPr>
          <w:sz w:val="20"/>
          <w:szCs w:val="20"/>
          <w:lang w:val="en-US"/>
        </w:rPr>
        <w:t xml:space="preserve">employs </w:t>
      </w:r>
      <w:r w:rsidRPr="00714706">
        <w:rPr>
          <w:sz w:val="20"/>
          <w:szCs w:val="20"/>
          <w:lang w:val="en-GB"/>
        </w:rPr>
        <w:t>an expected utility approach and certainty equivalent</w:t>
      </w:r>
      <w:r>
        <w:rPr>
          <w:sz w:val="20"/>
          <w:szCs w:val="20"/>
          <w:lang w:val="en-GB"/>
        </w:rPr>
        <w:t>s</w:t>
      </w:r>
      <w:r w:rsidRPr="00714706">
        <w:rPr>
          <w:sz w:val="20"/>
          <w:szCs w:val="20"/>
          <w:lang w:val="en-GB"/>
        </w:rPr>
        <w:t xml:space="preserve"> </w:t>
      </w:r>
      <w:r>
        <w:rPr>
          <w:sz w:val="20"/>
          <w:szCs w:val="20"/>
          <w:lang w:val="en-GB"/>
        </w:rPr>
        <w:t>to evaluate the most feasible supplemented irrigation technology of corn in Uruguay under different output price, interest rate, and risk aversion scenarios.</w:t>
      </w:r>
    </w:p>
  </w:footnote>
  <w:footnote w:id="2">
    <w:p w14:paraId="1F47432B" w14:textId="77777777" w:rsidR="00E93399" w:rsidRPr="00F51778" w:rsidRDefault="00E93399" w:rsidP="00BC5BB2">
      <w:pPr>
        <w:pStyle w:val="Textonotapie"/>
        <w:rPr>
          <w:lang w:val="en-US"/>
        </w:rPr>
      </w:pPr>
      <w:r w:rsidRPr="008D6482">
        <w:rPr>
          <w:rStyle w:val="Refdenotaalpie"/>
        </w:rPr>
        <w:footnoteRef/>
      </w:r>
      <w:r w:rsidRPr="00F51778">
        <w:rPr>
          <w:lang w:val="en-US"/>
        </w:rPr>
        <w:t xml:space="preserve"> We set this parameter to be consistent with a coefficient of relative risk aversion (</w:t>
      </w:r>
      <w:proofErr w:type="spellStart"/>
      <w:r w:rsidRPr="00F51778">
        <w:rPr>
          <w:i/>
          <w:lang w:val="en-US"/>
        </w:rPr>
        <w:t>rra</w:t>
      </w:r>
      <w:proofErr w:type="spellEnd"/>
      <w:r w:rsidRPr="00F51778">
        <w:rPr>
          <w:lang w:val="en-US"/>
        </w:rPr>
        <w:t>) equal to {0</w:t>
      </w:r>
      <w:proofErr w:type="gramStart"/>
      <w:r w:rsidRPr="00F51778">
        <w:rPr>
          <w:lang w:val="en-US"/>
        </w:rPr>
        <w:t>,2,3,4</w:t>
      </w:r>
      <w:proofErr w:type="gramEnd"/>
      <w:r w:rsidRPr="00F51778">
        <w:rPr>
          <w:lang w:val="en-US"/>
        </w:rPr>
        <w:t xml:space="preserve">}, relying on the Arrow-Pratt measure of relative risk aversion: </w:t>
      </w:r>
      <w:proofErr w:type="spellStart"/>
      <w:r w:rsidRPr="00F51778">
        <w:rPr>
          <w:i/>
          <w:lang w:val="en-US"/>
        </w:rPr>
        <w:t>rra</w:t>
      </w:r>
      <w:proofErr w:type="spellEnd"/>
      <w:r w:rsidRPr="00F51778">
        <w:rPr>
          <w:lang w:val="en-US"/>
        </w:rPr>
        <w:t xml:space="preserve"> = </w:t>
      </w:r>
      <w:proofErr w:type="spellStart"/>
      <w:r w:rsidRPr="00F51778">
        <w:rPr>
          <w:i/>
          <w:lang w:val="en-US"/>
        </w:rPr>
        <w:t>ara</w:t>
      </w:r>
      <w:proofErr w:type="spellEnd"/>
      <w:r w:rsidRPr="00F51778">
        <w:rPr>
          <w:lang w:val="en-US"/>
        </w:rPr>
        <w:t>×</w:t>
      </w:r>
      <m:oMath>
        <m:r>
          <w:rPr>
            <w:rFonts w:ascii="Cambria Math" w:hAnsi="Cambria Math"/>
          </w:rPr>
          <m:t>E</m:t>
        </m:r>
        <m:r>
          <w:rPr>
            <w:rFonts w:ascii="Cambria Math" w:hAnsi="Cambria Math"/>
            <w:lang w:val="en-US"/>
          </w:rPr>
          <m:t>(</m:t>
        </m:r>
        <m:acc>
          <m:accPr>
            <m:chr m:val="̃"/>
            <m:ctrlPr>
              <w:rPr>
                <w:rFonts w:ascii="Cambria Math" w:hAnsi="Cambria Math"/>
                <w:i/>
              </w:rPr>
            </m:ctrlPr>
          </m:accPr>
          <m:e>
            <m:r>
              <w:rPr>
                <w:rFonts w:ascii="Cambria Math" w:hAnsi="Cambria Math"/>
              </w:rPr>
              <m:t>π</m:t>
            </m:r>
          </m:e>
        </m:acc>
        <m:r>
          <w:rPr>
            <w:rFonts w:ascii="Cambria Math" w:hAnsi="Cambria Math"/>
            <w:lang w:val="en-US"/>
          </w:rPr>
          <m:t>)</m:t>
        </m:r>
      </m:oMath>
      <w:r w:rsidRPr="00F51778">
        <w:rPr>
          <w:lang w:val="en-US"/>
        </w:rPr>
        <w:t>.</w:t>
      </w:r>
    </w:p>
  </w:footnote>
  <w:footnote w:id="3">
    <w:p w14:paraId="7E4A0AD8" w14:textId="39C10BFD" w:rsidR="00E93399" w:rsidRPr="00BF5718" w:rsidRDefault="00E93399" w:rsidP="000541BF">
      <w:pPr>
        <w:pStyle w:val="Textonotapie"/>
        <w:rPr>
          <w:lang w:val="en-US"/>
        </w:rPr>
      </w:pPr>
      <w:r w:rsidRPr="00A329A0">
        <w:rPr>
          <w:vertAlign w:val="superscript"/>
        </w:rPr>
        <w:footnoteRef/>
      </w:r>
      <w:r w:rsidRPr="00F51778">
        <w:rPr>
          <w:lang w:val="en-US"/>
        </w:rPr>
        <w:t xml:space="preserve"> The risk premium (RP) is the amount of money the individual is willing to pay to avoid a risky gamble (uncertain production of crops or livestock in the case of this paper) that leaves him with the same level of utility</w:t>
      </w:r>
      <w:proofErr w:type="gramStart"/>
      <w:r w:rsidRPr="00F51778">
        <w:rPr>
          <w:lang w:val="en-US"/>
        </w:rPr>
        <w:t>:</w:t>
      </w:r>
      <w:r>
        <w:rPr>
          <w:lang w:val="en-US"/>
        </w:rPr>
        <w:t xml:space="preserve"> </w:t>
      </w:r>
      <w:proofErr w:type="gramEnd"/>
      <w:r w:rsidRPr="00AA5C70">
        <w:rPr>
          <w:position w:val="-10"/>
          <w:sz w:val="18"/>
        </w:rPr>
        <w:object w:dxaOrig="2460" w:dyaOrig="320" w14:anchorId="0CDC6637">
          <v:shape id="_x0000_i1065" type="#_x0000_t75" style="width:122.75pt;height:15.8pt" o:ole="">
            <v:imagedata r:id="rId1" o:title=""/>
          </v:shape>
          <o:OLEObject Type="Embed" ProgID="Equation.DSMT4" ShapeID="_x0000_i1065" DrawAspect="Content" ObjectID="_1657379057" r:id="rId2"/>
        </w:object>
      </w:r>
      <w:r w:rsidRPr="00F51778">
        <w:rPr>
          <w:lang w:val="en-US"/>
        </w:rPr>
        <w:t>.</w:t>
      </w:r>
    </w:p>
  </w:footnote>
  <w:footnote w:id="4">
    <w:p w14:paraId="755A29CC" w14:textId="5A97238D" w:rsidR="00E93399" w:rsidRPr="00F51778" w:rsidRDefault="00E93399" w:rsidP="00BC5BB2">
      <w:pPr>
        <w:pStyle w:val="Textonotapie"/>
        <w:rPr>
          <w:lang w:val="en-US"/>
        </w:rPr>
      </w:pPr>
      <w:r w:rsidRPr="00533A21">
        <w:rPr>
          <w:rStyle w:val="Refdenotaalpie"/>
        </w:rPr>
        <w:footnoteRef/>
      </w:r>
      <w:r w:rsidRPr="00F51778">
        <w:rPr>
          <w:lang w:val="en-US"/>
        </w:rPr>
        <w:t xml:space="preserve"> This expression is derived from substituting </w:t>
      </w:r>
      <m:oMath>
        <m:r>
          <w:rPr>
            <w:rFonts w:ascii="Cambria Math" w:hAnsi="Cambria Math"/>
          </w:rPr>
          <m:t>U</m:t>
        </m:r>
      </m:oMath>
      <w:r>
        <w:rPr>
          <w:lang w:val="en-US"/>
        </w:rPr>
        <w:t xml:space="preserve"> by</w:t>
      </w:r>
      <w:r w:rsidRPr="00F51778">
        <w:rPr>
          <w:lang w:val="en-US"/>
        </w:rPr>
        <w:t xml:space="preserve"> the function in (2), and solving for </w:t>
      </w:r>
      <w:r w:rsidRPr="00F51778">
        <w:rPr>
          <w:i/>
          <w:lang w:val="en-US"/>
        </w:rPr>
        <w:t>RP</w:t>
      </w:r>
      <w:r w:rsidRPr="00F51778">
        <w:rPr>
          <w:lang w:val="en-US"/>
        </w:rPr>
        <w:t>.</w:t>
      </w:r>
    </w:p>
  </w:footnote>
  <w:footnote w:id="5">
    <w:p w14:paraId="1F026A6D" w14:textId="77777777" w:rsidR="00E93399" w:rsidRPr="00F51778" w:rsidRDefault="00E93399" w:rsidP="00BC5BB2">
      <w:pPr>
        <w:pStyle w:val="Textonotapie"/>
        <w:rPr>
          <w:lang w:val="en-US"/>
        </w:rPr>
      </w:pPr>
      <w:r w:rsidRPr="00533A21">
        <w:rPr>
          <w:rStyle w:val="Refdenotaalpie"/>
        </w:rPr>
        <w:footnoteRef/>
      </w:r>
      <w:r w:rsidRPr="00F51778">
        <w:rPr>
          <w:lang w:val="en-US"/>
        </w:rPr>
        <w:t xml:space="preserve"> This means that an individual is willing to pay an amount of money equal to x% of the standard deviation of his or her profits to avoid the implicit risk of the activity.</w:t>
      </w:r>
    </w:p>
  </w:footnote>
  <w:footnote w:id="6">
    <w:p w14:paraId="3AB9A00E" w14:textId="48AF96C6" w:rsidR="00E93399" w:rsidRPr="00F51778" w:rsidRDefault="00E93399" w:rsidP="00BC5BB2">
      <w:pPr>
        <w:pStyle w:val="Textonotapie"/>
        <w:rPr>
          <w:lang w:val="en-US"/>
        </w:rPr>
      </w:pPr>
      <w:r>
        <w:rPr>
          <w:rStyle w:val="Refdenotaalpie"/>
        </w:rPr>
        <w:footnoteRef/>
      </w:r>
      <w:r w:rsidRPr="000C77F3">
        <w:rPr>
          <w:lang w:val="en-US"/>
        </w:rPr>
        <w:t xml:space="preserve"> </w:t>
      </w:r>
      <w:r w:rsidRPr="00F51778">
        <w:rPr>
          <w:lang w:val="en-US"/>
        </w:rPr>
        <w:t xml:space="preserve">This </w:t>
      </w:r>
      <w:r>
        <w:rPr>
          <w:lang w:val="en-US"/>
        </w:rPr>
        <w:t xml:space="preserve">is the </w:t>
      </w:r>
      <w:r w:rsidRPr="00F51778">
        <w:rPr>
          <w:lang w:val="en-US"/>
        </w:rPr>
        <w:t>port</w:t>
      </w:r>
      <w:r>
        <w:rPr>
          <w:lang w:val="en-US"/>
        </w:rPr>
        <w:t xml:space="preserve"> from which most grain export take place, and</w:t>
      </w:r>
      <w:r w:rsidRPr="00F51778">
        <w:rPr>
          <w:lang w:val="en-US"/>
        </w:rPr>
        <w:t xml:space="preserve"> is located in the south</w:t>
      </w:r>
      <w:r>
        <w:rPr>
          <w:lang w:val="en-US"/>
        </w:rPr>
        <w:t>-</w:t>
      </w:r>
      <w:r w:rsidRPr="00F51778">
        <w:rPr>
          <w:lang w:val="en-US"/>
        </w:rPr>
        <w:t>west of Uruguay</w:t>
      </w:r>
      <w:r>
        <w:rPr>
          <w:lang w:val="en-US"/>
        </w:rPr>
        <w:t>.</w:t>
      </w:r>
    </w:p>
  </w:footnote>
  <w:footnote w:id="7">
    <w:p w14:paraId="7E3E055C" w14:textId="0811992B" w:rsidR="00E93399" w:rsidRPr="00F51778" w:rsidRDefault="00E93399" w:rsidP="00BC5BB2">
      <w:pPr>
        <w:pStyle w:val="Textonotapie"/>
        <w:rPr>
          <w:lang w:val="en-US"/>
        </w:rPr>
      </w:pPr>
      <w:r>
        <w:rPr>
          <w:rStyle w:val="Refdenotaalpie"/>
        </w:rPr>
        <w:footnoteRef/>
      </w:r>
      <w:r w:rsidRPr="00F51778">
        <w:rPr>
          <w:lang w:val="en-US"/>
        </w:rPr>
        <w:t xml:space="preserve"> Medium prices are those expected in 2016 for 2017. Low prices are equivalent to the minimum registered around the years 2015-2016, and high prices are those observed in the 2016 harvest season. </w:t>
      </w:r>
      <w:r>
        <w:rPr>
          <w:lang w:val="en-US"/>
        </w:rPr>
        <w:t xml:space="preserve">Results for the other price scenarios are </w:t>
      </w:r>
      <w:r w:rsidRPr="00F51778">
        <w:rPr>
          <w:lang w:val="en-US"/>
        </w:rPr>
        <w:t xml:space="preserve">available from the authors upon request. </w:t>
      </w:r>
    </w:p>
  </w:footnote>
  <w:footnote w:id="8">
    <w:p w14:paraId="2C60972E" w14:textId="77777777" w:rsidR="00E93399" w:rsidRPr="00F51778" w:rsidRDefault="00E93399" w:rsidP="00BC5BB2">
      <w:pPr>
        <w:pStyle w:val="Textonotapie"/>
        <w:rPr>
          <w:lang w:val="en-US"/>
        </w:rPr>
      </w:pPr>
      <w:r w:rsidRPr="00CE4A02">
        <w:rPr>
          <w:rStyle w:val="Refdenotaalpie"/>
        </w:rPr>
        <w:footnoteRef/>
      </w:r>
      <w:r w:rsidRPr="00F51778">
        <w:rPr>
          <w:lang w:val="en-US"/>
        </w:rPr>
        <w:t xml:space="preserve"> Non-parametric methods provided a better fit, especially in the tails of the distribution, than parametric methods such as </w:t>
      </w:r>
      <w:r w:rsidRPr="00F51778">
        <w:rPr>
          <w:i/>
          <w:lang w:val="en-US"/>
        </w:rPr>
        <w:t>Beta</w:t>
      </w:r>
      <w:r w:rsidRPr="00F51778">
        <w:rPr>
          <w:lang w:val="en-US"/>
        </w:rPr>
        <w:t xml:space="preserve"> or </w:t>
      </w:r>
      <w:r w:rsidRPr="00F51778">
        <w:rPr>
          <w:i/>
          <w:lang w:val="en-US"/>
        </w:rPr>
        <w:t>Gamma</w:t>
      </w:r>
      <w:r w:rsidRPr="00F51778">
        <w:rPr>
          <w:lang w:val="en-US"/>
        </w:rPr>
        <w:t xml:space="preserve"> distributions. </w:t>
      </w:r>
    </w:p>
  </w:footnote>
  <w:footnote w:id="9">
    <w:p w14:paraId="109483D3" w14:textId="5183C5DC" w:rsidR="00E93399" w:rsidRPr="00F51778" w:rsidRDefault="00E93399" w:rsidP="00BC5BB2">
      <w:pPr>
        <w:pStyle w:val="Textonotapie"/>
        <w:rPr>
          <w:lang w:val="en-US"/>
        </w:rPr>
      </w:pPr>
      <w:r w:rsidRPr="00CE4A02">
        <w:rPr>
          <w:rStyle w:val="Refdenotaalpie"/>
        </w:rPr>
        <w:footnoteRef/>
      </w:r>
      <w:r w:rsidRPr="00F51778">
        <w:rPr>
          <w:lang w:val="en-US"/>
        </w:rPr>
        <w:t xml:space="preserve"> We also generated results for sorghum as first and second crop, which </w:t>
      </w:r>
      <w:r>
        <w:rPr>
          <w:lang w:val="en-US"/>
        </w:rPr>
        <w:t>we use</w:t>
      </w:r>
      <w:r w:rsidRPr="00F51778">
        <w:rPr>
          <w:lang w:val="en-US"/>
        </w:rPr>
        <w:t xml:space="preserve"> in other scenarios not presented here.</w:t>
      </w:r>
    </w:p>
  </w:footnote>
  <w:footnote w:id="10">
    <w:p w14:paraId="2C91ED67" w14:textId="32A08115" w:rsidR="00E93399" w:rsidRPr="00F51778" w:rsidRDefault="00E93399" w:rsidP="00BC5BB2">
      <w:pPr>
        <w:pStyle w:val="Textonotapie"/>
        <w:rPr>
          <w:lang w:val="en-US"/>
        </w:rPr>
      </w:pPr>
      <w:r w:rsidRPr="00CE4A02">
        <w:rPr>
          <w:rStyle w:val="Refdenotaalpie"/>
        </w:rPr>
        <w:footnoteRef/>
      </w:r>
      <w:r w:rsidRPr="00F51778">
        <w:rPr>
          <w:lang w:val="en-US"/>
        </w:rPr>
        <w:t xml:space="preserve"> Table S.3 reports the descriptive statistics for various crops in one scenario. Calibra</w:t>
      </w:r>
      <w:r>
        <w:rPr>
          <w:lang w:val="en-US"/>
        </w:rPr>
        <w:t xml:space="preserve">ting data covers more than 350,000 ha </w:t>
      </w:r>
      <w:r w:rsidRPr="00F51778">
        <w:rPr>
          <w:lang w:val="en-US"/>
        </w:rPr>
        <w:t>during 10 years of rain-fed agricultural systems and more than 20</w:t>
      </w:r>
      <w:r>
        <w:rPr>
          <w:lang w:val="en-US"/>
        </w:rPr>
        <w:t>,000 ha</w:t>
      </w:r>
      <w:r w:rsidRPr="00F51778">
        <w:rPr>
          <w:lang w:val="en-US"/>
        </w:rPr>
        <w:t xml:space="preserve"> of crops during 8 years with irrigation. Furthermore, characteristics of farms surveyed match the scenarios of interest.</w:t>
      </w:r>
    </w:p>
  </w:footnote>
  <w:footnote w:id="11">
    <w:p w14:paraId="75E41861" w14:textId="77777777" w:rsidR="00E93399" w:rsidRPr="00F51778" w:rsidRDefault="00E93399" w:rsidP="004E72C4">
      <w:pPr>
        <w:pStyle w:val="Textonotapie"/>
        <w:rPr>
          <w:lang w:val="en-US"/>
        </w:rPr>
      </w:pPr>
      <w:r>
        <w:rPr>
          <w:rStyle w:val="Refdenotaalpie"/>
        </w:rPr>
        <w:footnoteRef/>
      </w:r>
      <w:r w:rsidRPr="00F51778">
        <w:rPr>
          <w:lang w:val="en-US"/>
        </w:rPr>
        <w:t xml:space="preserve"> </w:t>
      </w:r>
      <w:r w:rsidRPr="00F51778">
        <w:rPr>
          <w:lang w:val="en-US" w:eastAsia="es-MX"/>
        </w:rPr>
        <w:t>The data of the costs used is available from the authors upon request</w:t>
      </w:r>
      <w:r w:rsidRPr="00F51778">
        <w:rPr>
          <w:sz w:val="24"/>
          <w:szCs w:val="24"/>
          <w:lang w:val="en-US"/>
        </w:rPr>
        <w:t xml:space="preserve">. </w:t>
      </w:r>
    </w:p>
  </w:footnote>
  <w:footnote w:id="12">
    <w:p w14:paraId="2FCE888E" w14:textId="77777777" w:rsidR="00E93399" w:rsidRPr="009E03F9" w:rsidRDefault="00E93399" w:rsidP="009E03F9">
      <w:pPr>
        <w:spacing w:line="240" w:lineRule="auto"/>
        <w:ind w:firstLine="706"/>
        <w:rPr>
          <w:sz w:val="20"/>
          <w:szCs w:val="24"/>
          <w:lang w:val="en-GB"/>
        </w:rPr>
      </w:pPr>
      <w:r w:rsidRPr="00A25CD4">
        <w:rPr>
          <w:rStyle w:val="Refdenotaalpie"/>
          <w:sz w:val="20"/>
          <w:szCs w:val="20"/>
        </w:rPr>
        <w:footnoteRef/>
      </w:r>
      <w:r w:rsidRPr="00A25CD4">
        <w:rPr>
          <w:lang w:val="en-GB"/>
        </w:rPr>
        <w:t xml:space="preserve"> </w:t>
      </w:r>
      <w:r w:rsidRPr="009E03F9">
        <w:rPr>
          <w:sz w:val="20"/>
          <w:lang w:val="en-GB"/>
        </w:rPr>
        <w:t xml:space="preserve">MEGANE is sensible to variations of only the quantity of sheep, not </w:t>
      </w:r>
      <w:r w:rsidRPr="009E03F9">
        <w:rPr>
          <w:rFonts w:eastAsia="Times New Roman"/>
          <w:sz w:val="20"/>
          <w:lang w:val="en-GB" w:eastAsia="es-MX"/>
        </w:rPr>
        <w:t>considering neither changes in weight nor their various categories.</w:t>
      </w:r>
      <w:r w:rsidRPr="009E03F9">
        <w:rPr>
          <w:sz w:val="20"/>
          <w:szCs w:val="24"/>
          <w:lang w:val="en-GB"/>
        </w:rPr>
        <w:t xml:space="preserve"> </w:t>
      </w:r>
    </w:p>
  </w:footnote>
  <w:footnote w:id="13">
    <w:p w14:paraId="21596CF4" w14:textId="16079445" w:rsidR="00E93399" w:rsidRPr="00F51778" w:rsidRDefault="00E93399" w:rsidP="009E03F9">
      <w:pPr>
        <w:pStyle w:val="Textonotapie"/>
        <w:ind w:firstLine="706"/>
        <w:rPr>
          <w:lang w:val="en-US"/>
        </w:rPr>
      </w:pPr>
      <w:r w:rsidRPr="006E035D">
        <w:rPr>
          <w:rStyle w:val="Refdenotaalpie"/>
          <w:lang w:val="en-US"/>
        </w:rPr>
        <w:footnoteRef/>
      </w:r>
      <w:r w:rsidRPr="00CD06B0">
        <w:rPr>
          <w:rStyle w:val="Refdenotaalpie"/>
          <w:lang w:val="en-US"/>
        </w:rPr>
        <w:t xml:space="preserve"> </w:t>
      </w:r>
      <w:r w:rsidRPr="00CF29FC">
        <w:rPr>
          <w:color w:val="000000" w:themeColor="text1"/>
          <w:lang w:val="en-US"/>
        </w:rPr>
        <w:t>This eco-zone is located in the north-central region of Uruguay, where most cow-calf operations</w:t>
      </w:r>
      <w:r>
        <w:rPr>
          <w:color w:val="000000" w:themeColor="text1"/>
          <w:lang w:val="en-US"/>
        </w:rPr>
        <w:t xml:space="preserve"> </w:t>
      </w:r>
      <w:r w:rsidRPr="00CF29FC">
        <w:rPr>
          <w:color w:val="000000" w:themeColor="text1"/>
          <w:lang w:val="en-US"/>
        </w:rPr>
        <w:t xml:space="preserve">are located. </w:t>
      </w:r>
      <w:r w:rsidRPr="00F51778">
        <w:rPr>
          <w:lang w:val="en-US"/>
        </w:rPr>
        <w:t>See supplementary material 3 for</w:t>
      </w:r>
      <w:r>
        <w:rPr>
          <w:lang w:val="en-US"/>
        </w:rPr>
        <w:t xml:space="preserve"> a further description of this e</w:t>
      </w:r>
      <w:r w:rsidRPr="00F51778">
        <w:rPr>
          <w:lang w:val="en-US"/>
        </w:rPr>
        <w:t>co</w:t>
      </w:r>
      <w:r>
        <w:rPr>
          <w:lang w:val="en-US"/>
        </w:rPr>
        <w:t>-</w:t>
      </w:r>
      <w:r w:rsidRPr="00F51778">
        <w:rPr>
          <w:lang w:val="en-US"/>
        </w:rPr>
        <w:t>zone</w:t>
      </w:r>
      <w:r>
        <w:rPr>
          <w:lang w:val="en-US"/>
        </w:rPr>
        <w:t>.</w:t>
      </w:r>
    </w:p>
  </w:footnote>
  <w:footnote w:id="14">
    <w:p w14:paraId="7EB59D69" w14:textId="4B8BC3D6" w:rsidR="00E93399" w:rsidRPr="00F51778" w:rsidRDefault="00E93399" w:rsidP="00BC5BB2">
      <w:pPr>
        <w:pStyle w:val="Textonotapie"/>
        <w:rPr>
          <w:lang w:val="en-US"/>
        </w:rPr>
      </w:pPr>
      <w:r w:rsidRPr="00525A3C">
        <w:rPr>
          <w:rStyle w:val="Refdenotaalpie"/>
        </w:rPr>
        <w:footnoteRef/>
      </w:r>
      <w:r>
        <w:rPr>
          <w:lang w:val="en-US"/>
        </w:rPr>
        <w:t xml:space="preserve"> </w:t>
      </w:r>
      <w:r w:rsidRPr="00F51778">
        <w:rPr>
          <w:lang w:val="en-US"/>
        </w:rPr>
        <w:t>Quantile matching implies that for each simulated month in the normal space we obtain the corresponding observation in the same percentile but in the distribution of the observed series of climatic coefficients.</w:t>
      </w:r>
      <w:r w:rsidRPr="00F51778">
        <w:rPr>
          <w:rFonts w:eastAsiaTheme="minorEastAsia"/>
          <w:sz w:val="24"/>
          <w:szCs w:val="24"/>
          <w:lang w:val="en-US"/>
        </w:rPr>
        <w:t xml:space="preserve"> </w:t>
      </w:r>
    </w:p>
  </w:footnote>
  <w:footnote w:id="15">
    <w:p w14:paraId="1864BE02" w14:textId="68CCA96A" w:rsidR="00E93399" w:rsidRPr="00F51778" w:rsidRDefault="00E93399" w:rsidP="00BC5BB2">
      <w:pPr>
        <w:pStyle w:val="Textonotapie"/>
        <w:rPr>
          <w:lang w:val="en-US"/>
        </w:rPr>
      </w:pPr>
      <w:r w:rsidRPr="009934D5">
        <w:rPr>
          <w:rStyle w:val="Refdenotaalpie"/>
        </w:rPr>
        <w:footnoteRef/>
      </w:r>
      <w:r w:rsidRPr="00F51778">
        <w:rPr>
          <w:lang w:val="en-US"/>
        </w:rPr>
        <w:t xml:space="preserve"> We assume failed cows </w:t>
      </w:r>
      <w:r>
        <w:rPr>
          <w:lang w:val="en-US"/>
        </w:rPr>
        <w:t xml:space="preserve">do not go for a second service </w:t>
      </w:r>
      <w:r w:rsidRPr="00F51778">
        <w:rPr>
          <w:lang w:val="en-US"/>
        </w:rPr>
        <w:t>in the fall.</w:t>
      </w:r>
    </w:p>
  </w:footnote>
  <w:footnote w:id="16">
    <w:p w14:paraId="6BDA05C0" w14:textId="32DCA74D" w:rsidR="00E93399" w:rsidRPr="00F51778" w:rsidRDefault="00E93399" w:rsidP="00BC5BB2">
      <w:pPr>
        <w:pStyle w:val="Textonotapie"/>
        <w:rPr>
          <w:lang w:val="en-US"/>
        </w:rPr>
      </w:pPr>
      <w:r w:rsidRPr="009934D5">
        <w:rPr>
          <w:rStyle w:val="Refdenotaalpie"/>
        </w:rPr>
        <w:footnoteRef/>
      </w:r>
      <w:r w:rsidRPr="00F51778">
        <w:rPr>
          <w:lang w:val="en-US"/>
        </w:rPr>
        <w:t xml:space="preserve"> The heifers of first offspring are part of a breeding scheme of the producer but in this analysis, we do not simulate it explicitly. We do keep account of numb</w:t>
      </w:r>
      <w:r>
        <w:rPr>
          <w:lang w:val="en-US"/>
        </w:rPr>
        <w:t xml:space="preserve">er and weight of weaned heifers and </w:t>
      </w:r>
      <w:r w:rsidRPr="00F51778">
        <w:rPr>
          <w:lang w:val="en-US"/>
        </w:rPr>
        <w:t xml:space="preserve">heifers of one and two years. </w:t>
      </w:r>
    </w:p>
  </w:footnote>
  <w:footnote w:id="17">
    <w:p w14:paraId="261B8B57" w14:textId="19FD90E0" w:rsidR="00E93399" w:rsidRPr="00F51778" w:rsidRDefault="00E93399" w:rsidP="00BC5BB2">
      <w:pPr>
        <w:pStyle w:val="Textonotapie"/>
        <w:rPr>
          <w:lang w:val="en-US"/>
        </w:rPr>
      </w:pPr>
      <w:r w:rsidRPr="00C36909">
        <w:rPr>
          <w:rStyle w:val="Refdenotaalpie"/>
        </w:rPr>
        <w:footnoteRef/>
      </w:r>
      <w:r w:rsidRPr="00F51778">
        <w:rPr>
          <w:lang w:val="en-US"/>
        </w:rPr>
        <w:t xml:space="preserve"> Weaning rate equals 7</w:t>
      </w:r>
      <w:r>
        <w:rPr>
          <w:lang w:val="en-US"/>
        </w:rPr>
        <w:t>0%, lamb</w:t>
      </w:r>
      <w:r w:rsidRPr="00F51778">
        <w:rPr>
          <w:lang w:val="en-US"/>
        </w:rPr>
        <w:t xml:space="preserve"> weight 15kg</w:t>
      </w:r>
      <w:r>
        <w:rPr>
          <w:lang w:val="en-US"/>
        </w:rPr>
        <w:t>/head</w:t>
      </w:r>
      <w:r w:rsidRPr="00F51778">
        <w:rPr>
          <w:lang w:val="en-US"/>
        </w:rPr>
        <w:t xml:space="preserve"> of meat</w:t>
      </w:r>
      <w:r>
        <w:rPr>
          <w:lang w:val="en-US"/>
        </w:rPr>
        <w:t>,</w:t>
      </w:r>
      <w:r w:rsidRPr="00F51778">
        <w:rPr>
          <w:lang w:val="en-US"/>
        </w:rPr>
        <w:t xml:space="preserve"> and sheep produce 4kg</w:t>
      </w:r>
      <w:r>
        <w:rPr>
          <w:lang w:val="en-US"/>
        </w:rPr>
        <w:t>/head</w:t>
      </w:r>
      <w:r w:rsidRPr="00F51778">
        <w:rPr>
          <w:lang w:val="en-US"/>
        </w:rPr>
        <w:t xml:space="preserve"> of wool (Kremer 2010).</w:t>
      </w:r>
    </w:p>
  </w:footnote>
  <w:footnote w:id="18">
    <w:p w14:paraId="09BD545D" w14:textId="77777777" w:rsidR="00E93399" w:rsidRPr="00F51778" w:rsidRDefault="00E93399" w:rsidP="00BC5BB2">
      <w:pPr>
        <w:pStyle w:val="Textonotapie"/>
        <w:rPr>
          <w:lang w:val="en-US"/>
        </w:rPr>
      </w:pPr>
      <w:r w:rsidRPr="00C36909">
        <w:rPr>
          <w:rStyle w:val="Refdenotaalpie"/>
        </w:rPr>
        <w:footnoteRef/>
      </w:r>
      <w:r w:rsidRPr="00F51778">
        <w:rPr>
          <w:lang w:val="en-US"/>
        </w:rPr>
        <w:t xml:space="preserve"> In MEGANE the survival weight is 220kg which is associated with a corporal condition leaning toward animal death. We assume the producer decides to incur in the cost of supplementation as the last alternative to avoid the death of the animal. </w:t>
      </w:r>
    </w:p>
  </w:footnote>
  <w:footnote w:id="19">
    <w:p w14:paraId="5B55AEC2" w14:textId="4A08734B" w:rsidR="00E93399" w:rsidRPr="009730D7" w:rsidRDefault="00E93399">
      <w:pPr>
        <w:pStyle w:val="Textonotapie"/>
        <w:rPr>
          <w:lang w:val="en-US"/>
        </w:rPr>
      </w:pPr>
      <w:r w:rsidRPr="009730D7">
        <w:rPr>
          <w:rStyle w:val="Refdenotaalpie"/>
        </w:rPr>
        <w:footnoteRef/>
      </w:r>
      <w:r w:rsidRPr="009730D7">
        <w:rPr>
          <w:lang w:val="en-US"/>
        </w:rPr>
        <w:t xml:space="preserve"> Adoption of the mentioned technology does not necessarily imply additional input costs; one reason is that it is a process-based technology, which basically requires technical assistance. Not only they are usually provided by the regular technical assistance the farmer receives, but also existing extension services provided by the government can provide it. In case the farmer must afford it, it will only affect average profit values but not their volatility, not affecting our main conclusions.</w:t>
      </w:r>
    </w:p>
  </w:footnote>
  <w:footnote w:id="20">
    <w:p w14:paraId="3F5A1966" w14:textId="77777777" w:rsidR="00E93399" w:rsidRPr="00F51778" w:rsidRDefault="00E93399" w:rsidP="00BC5BB2">
      <w:pPr>
        <w:pStyle w:val="Textonotapie"/>
        <w:rPr>
          <w:lang w:val="en-US"/>
        </w:rPr>
      </w:pPr>
      <w:r w:rsidRPr="009730D7">
        <w:rPr>
          <w:rStyle w:val="Refdenotaalpie"/>
        </w:rPr>
        <w:footnoteRef/>
      </w:r>
      <w:r w:rsidRPr="009730D7">
        <w:rPr>
          <w:lang w:val="en-US"/>
        </w:rPr>
        <w:t xml:space="preserve"> We present other two scenarios but with less detail. Additional scenarios are available from the authors upon request.</w:t>
      </w:r>
    </w:p>
  </w:footnote>
  <w:footnote w:id="21">
    <w:p w14:paraId="655206A4" w14:textId="0CEDB1DD" w:rsidR="00E93399" w:rsidRPr="00DB7784" w:rsidRDefault="00E93399">
      <w:pPr>
        <w:pStyle w:val="Textonotapie"/>
        <w:rPr>
          <w:lang w:val="en-US"/>
        </w:rPr>
      </w:pPr>
      <w:r>
        <w:rPr>
          <w:rStyle w:val="Refdenotaalpie"/>
        </w:rPr>
        <w:footnoteRef/>
      </w:r>
      <w:r w:rsidRPr="00DB7784">
        <w:rPr>
          <w:lang w:val="en-US"/>
        </w:rPr>
        <w:t xml:space="preserve"> </w:t>
      </w:r>
      <w:r>
        <w:rPr>
          <w:lang w:val="en-US"/>
        </w:rPr>
        <w:t xml:space="preserve">Each bracket corresponds to the year, and within it, the first is the summer crop and the second is the winter crop. </w:t>
      </w:r>
      <w:r w:rsidRPr="00EB26C6">
        <w:rPr>
          <w:lang w:val="en-US"/>
        </w:rPr>
        <w:t>CC</w:t>
      </w:r>
      <w:r>
        <w:rPr>
          <w:lang w:val="en-US"/>
        </w:rPr>
        <w:t xml:space="preserve">: </w:t>
      </w:r>
      <w:r w:rsidRPr="00EB26C6">
        <w:rPr>
          <w:lang w:val="en-US"/>
        </w:rPr>
        <w:t>Cover Crop; S1</w:t>
      </w:r>
      <w:r>
        <w:rPr>
          <w:lang w:val="en-US"/>
        </w:rPr>
        <w:t xml:space="preserve"> and S2:</w:t>
      </w:r>
      <w:r w:rsidRPr="00EB26C6">
        <w:rPr>
          <w:lang w:val="en-US"/>
        </w:rPr>
        <w:t xml:space="preserve"> Soybean as 1</w:t>
      </w:r>
      <w:r w:rsidRPr="00EB26C6">
        <w:rPr>
          <w:vertAlign w:val="superscript"/>
          <w:lang w:val="en-US"/>
        </w:rPr>
        <w:t>st</w:t>
      </w:r>
      <w:r>
        <w:rPr>
          <w:lang w:val="en-US"/>
        </w:rPr>
        <w:t xml:space="preserve"> and 2</w:t>
      </w:r>
      <w:r w:rsidRPr="00EB26C6">
        <w:rPr>
          <w:vertAlign w:val="superscript"/>
          <w:lang w:val="en-US"/>
        </w:rPr>
        <w:t>nd</w:t>
      </w:r>
      <w:r>
        <w:rPr>
          <w:lang w:val="en-US"/>
        </w:rPr>
        <w:t xml:space="preserve"> </w:t>
      </w:r>
      <w:r w:rsidRPr="00EB26C6">
        <w:rPr>
          <w:lang w:val="en-US"/>
        </w:rPr>
        <w:t>crop; M1</w:t>
      </w:r>
      <w:r>
        <w:rPr>
          <w:lang w:val="en-US"/>
        </w:rPr>
        <w:t xml:space="preserve"> and M2:</w:t>
      </w:r>
      <w:r w:rsidRPr="00EB26C6">
        <w:rPr>
          <w:lang w:val="en-US"/>
        </w:rPr>
        <w:t xml:space="preserve"> Corn as 1</w:t>
      </w:r>
      <w:r w:rsidRPr="00EB26C6">
        <w:rPr>
          <w:vertAlign w:val="superscript"/>
          <w:lang w:val="en-US"/>
        </w:rPr>
        <w:t>st</w:t>
      </w:r>
      <w:r>
        <w:rPr>
          <w:lang w:val="en-US"/>
        </w:rPr>
        <w:t xml:space="preserve"> and 2</w:t>
      </w:r>
      <w:r w:rsidRPr="00EB26C6">
        <w:rPr>
          <w:vertAlign w:val="superscript"/>
          <w:lang w:val="en-US"/>
        </w:rPr>
        <w:t>nd</w:t>
      </w:r>
      <w:r>
        <w:rPr>
          <w:lang w:val="en-US"/>
        </w:rPr>
        <w:t xml:space="preserve"> crop</w:t>
      </w:r>
      <w:r w:rsidRPr="00EB26C6">
        <w:rPr>
          <w:lang w:val="en-US"/>
        </w:rPr>
        <w:t>; W</w:t>
      </w:r>
      <w:r>
        <w:rPr>
          <w:lang w:val="en-US"/>
        </w:rPr>
        <w:t>:</w:t>
      </w:r>
      <w:r w:rsidRPr="00EB26C6">
        <w:rPr>
          <w:lang w:val="en-US"/>
        </w:rPr>
        <w:t xml:space="preserve"> Wheat; SG1</w:t>
      </w:r>
      <w:r>
        <w:rPr>
          <w:lang w:val="en-US"/>
        </w:rPr>
        <w:t>:</w:t>
      </w:r>
      <w:r w:rsidRPr="00EB26C6">
        <w:rPr>
          <w:lang w:val="en-US"/>
        </w:rPr>
        <w:t xml:space="preserve"> Sorghum as 1st crop.</w:t>
      </w:r>
    </w:p>
  </w:footnote>
  <w:footnote w:id="22">
    <w:p w14:paraId="7E8D3EEF" w14:textId="74753F2F" w:rsidR="00E93399" w:rsidRPr="00F51778" w:rsidRDefault="00E93399" w:rsidP="00BC5BB2">
      <w:pPr>
        <w:pStyle w:val="Textonotapie"/>
        <w:rPr>
          <w:lang w:val="en-US"/>
        </w:rPr>
      </w:pPr>
      <w:r>
        <w:rPr>
          <w:rStyle w:val="Refdenotaalpie"/>
        </w:rPr>
        <w:footnoteRef/>
      </w:r>
      <w:r w:rsidRPr="00F51778">
        <w:rPr>
          <w:lang w:val="en-US"/>
        </w:rPr>
        <w:t xml:space="preserve"> </w:t>
      </w:r>
      <w:r w:rsidRPr="00F51778">
        <w:rPr>
          <w:lang w:val="en-US" w:eastAsia="es-MX"/>
        </w:rPr>
        <w:t>C</w:t>
      </w:r>
      <w:r>
        <w:rPr>
          <w:lang w:val="en-US" w:eastAsia="es-MX"/>
        </w:rPr>
        <w:t xml:space="preserve">onstant </w:t>
      </w:r>
      <w:r w:rsidRPr="00F51778">
        <w:rPr>
          <w:lang w:val="en-US" w:eastAsia="es-MX"/>
        </w:rPr>
        <w:t>R</w:t>
      </w:r>
      <w:r>
        <w:rPr>
          <w:lang w:val="en-US" w:eastAsia="es-MX"/>
        </w:rPr>
        <w:t xml:space="preserve">elative </w:t>
      </w:r>
      <w:r w:rsidRPr="00F51778">
        <w:rPr>
          <w:lang w:val="en-US" w:eastAsia="es-MX"/>
        </w:rPr>
        <w:t>R</w:t>
      </w:r>
      <w:r>
        <w:rPr>
          <w:lang w:val="en-US" w:eastAsia="es-MX"/>
        </w:rPr>
        <w:t xml:space="preserve">isk </w:t>
      </w:r>
      <w:r w:rsidRPr="00F51778">
        <w:rPr>
          <w:lang w:val="en-US" w:eastAsia="es-MX"/>
        </w:rPr>
        <w:t>A</w:t>
      </w:r>
      <w:r>
        <w:rPr>
          <w:lang w:val="en-US" w:eastAsia="es-MX"/>
        </w:rPr>
        <w:t>version (CRRA)</w:t>
      </w:r>
      <w:r w:rsidRPr="00F51778">
        <w:rPr>
          <w:lang w:val="en-US" w:eastAsia="es-MX"/>
        </w:rPr>
        <w:t xml:space="preserve"> results</w:t>
      </w:r>
      <w:r>
        <w:rPr>
          <w:lang w:val="en-US" w:eastAsia="es-MX"/>
        </w:rPr>
        <w:t xml:space="preserve"> were similar and</w:t>
      </w:r>
      <w:r w:rsidRPr="00F51778">
        <w:rPr>
          <w:lang w:val="en-US" w:eastAsia="es-MX"/>
        </w:rPr>
        <w:t xml:space="preserve"> are available from the authors upon request. </w:t>
      </w:r>
    </w:p>
  </w:footnote>
  <w:footnote w:id="23">
    <w:p w14:paraId="0BB451B6" w14:textId="77777777" w:rsidR="00E93399" w:rsidRPr="00F51778" w:rsidRDefault="00E93399" w:rsidP="00BC5BB2">
      <w:pPr>
        <w:pStyle w:val="Textonotapie"/>
        <w:rPr>
          <w:lang w:val="en-US"/>
        </w:rPr>
      </w:pPr>
      <w:r w:rsidRPr="00ED72E8">
        <w:rPr>
          <w:rStyle w:val="Refdenotaalpie"/>
        </w:rPr>
        <w:footnoteRef/>
      </w:r>
      <w:r w:rsidRPr="00F51778">
        <w:rPr>
          <w:lang w:val="en-US"/>
        </w:rPr>
        <w:t xml:space="preserve"> Although we find that the decomposition of the total additional value is consistent with previous results, the absolute value where those proportions are applied to is practically insignificant.</w:t>
      </w:r>
    </w:p>
  </w:footnote>
  <w:footnote w:id="24">
    <w:p w14:paraId="1FAF6266" w14:textId="1082D470" w:rsidR="00E93399" w:rsidRPr="00F51778" w:rsidRDefault="00E93399" w:rsidP="00BC5BB2">
      <w:pPr>
        <w:pStyle w:val="Textonotapie"/>
        <w:rPr>
          <w:lang w:val="en-US"/>
        </w:rPr>
      </w:pPr>
      <w:r w:rsidRPr="00FB2D1A">
        <w:rPr>
          <w:sz w:val="18"/>
          <w:vertAlign w:val="superscript"/>
        </w:rPr>
        <w:footnoteRef/>
      </w:r>
      <w:r w:rsidRPr="00FB2D1A">
        <w:rPr>
          <w:sz w:val="18"/>
          <w:vertAlign w:val="superscript"/>
          <w:lang w:val="en-US"/>
        </w:rPr>
        <w:t xml:space="preserve"> </w:t>
      </w:r>
      <w:r>
        <w:rPr>
          <w:lang w:val="en-US"/>
        </w:rPr>
        <w:t xml:space="preserve">This practice is also observed in other areas such as the </w:t>
      </w:r>
      <w:r w:rsidRPr="00F51778">
        <w:rPr>
          <w:lang w:val="en-US"/>
        </w:rPr>
        <w:t>East Hills</w:t>
      </w:r>
      <w:r>
        <w:rPr>
          <w:lang w:val="en-US"/>
        </w:rPr>
        <w:t>,</w:t>
      </w:r>
      <w:r w:rsidRPr="00F51778">
        <w:rPr>
          <w:lang w:val="en-US"/>
        </w:rPr>
        <w:t xml:space="preserve"> </w:t>
      </w:r>
      <w:r>
        <w:rPr>
          <w:lang w:val="en-US"/>
        </w:rPr>
        <w:t>although not analyz</w:t>
      </w:r>
      <w:r w:rsidRPr="00F51778">
        <w:rPr>
          <w:lang w:val="en-US"/>
        </w:rPr>
        <w:t>ed here</w:t>
      </w:r>
      <w:r>
        <w:rPr>
          <w:rFonts w:eastAsiaTheme="minorEastAsia"/>
          <w:sz w:val="24"/>
          <w:szCs w:val="24"/>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7B06"/>
    <w:multiLevelType w:val="hybridMultilevel"/>
    <w:tmpl w:val="4380EE74"/>
    <w:lvl w:ilvl="0" w:tplc="8BF264EA">
      <w:start w:val="1"/>
      <w:numFmt w:val="upperRoman"/>
      <w:lvlText w:val="%1."/>
      <w:lvlJc w:val="left"/>
      <w:pPr>
        <w:ind w:left="1080" w:hanging="720"/>
      </w:pPr>
      <w:rPr>
        <w:rFonts w:hint="default"/>
        <w:b/>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42F3026"/>
    <w:multiLevelType w:val="multilevel"/>
    <w:tmpl w:val="77B24F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5E7FD7"/>
    <w:multiLevelType w:val="multilevel"/>
    <w:tmpl w:val="6E7CE9D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722E21"/>
    <w:multiLevelType w:val="hybridMultilevel"/>
    <w:tmpl w:val="271A9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4131E2"/>
    <w:multiLevelType w:val="hybridMultilevel"/>
    <w:tmpl w:val="CE923D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BA1AA8"/>
    <w:multiLevelType w:val="multilevel"/>
    <w:tmpl w:val="AFE6A64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22833"/>
    <w:multiLevelType w:val="hybridMultilevel"/>
    <w:tmpl w:val="1CA088EC"/>
    <w:lvl w:ilvl="0" w:tplc="73FE5318">
      <w:start w:val="5"/>
      <w:numFmt w:val="lowerRoman"/>
      <w:lvlText w:val="%1."/>
      <w:lvlJc w:val="left"/>
      <w:pPr>
        <w:ind w:left="1800" w:hanging="720"/>
      </w:pPr>
      <w:rPr>
        <w:rFonts w:hint="default"/>
      </w:r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7" w15:restartNumberingAfterBreak="0">
    <w:nsid w:val="2B3B325B"/>
    <w:multiLevelType w:val="hybridMultilevel"/>
    <w:tmpl w:val="544684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7127BA"/>
    <w:multiLevelType w:val="multilevel"/>
    <w:tmpl w:val="7EAE62C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904644"/>
    <w:multiLevelType w:val="multilevel"/>
    <w:tmpl w:val="D15C77B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B829B7"/>
    <w:multiLevelType w:val="hybridMultilevel"/>
    <w:tmpl w:val="0826F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F4C34"/>
    <w:multiLevelType w:val="multilevel"/>
    <w:tmpl w:val="78444DA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5C79D9"/>
    <w:multiLevelType w:val="hybridMultilevel"/>
    <w:tmpl w:val="A216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04815"/>
    <w:multiLevelType w:val="hybridMultilevel"/>
    <w:tmpl w:val="006A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2324"/>
    <w:multiLevelType w:val="hybridMultilevel"/>
    <w:tmpl w:val="39ACE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7BD37C6"/>
    <w:multiLevelType w:val="hybridMultilevel"/>
    <w:tmpl w:val="38905DD8"/>
    <w:lvl w:ilvl="0" w:tplc="FE84C028">
      <w:start w:val="4"/>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14"/>
  </w:num>
  <w:num w:numId="5">
    <w:abstractNumId w:val="2"/>
  </w:num>
  <w:num w:numId="6">
    <w:abstractNumId w:val="8"/>
  </w:num>
  <w:num w:numId="7">
    <w:abstractNumId w:val="9"/>
  </w:num>
  <w:num w:numId="8">
    <w:abstractNumId w:val="11"/>
  </w:num>
  <w:num w:numId="9">
    <w:abstractNumId w:val="5"/>
  </w:num>
  <w:num w:numId="10">
    <w:abstractNumId w:val="7"/>
  </w:num>
  <w:num w:numId="11">
    <w:abstractNumId w:val="4"/>
  </w:num>
  <w:num w:numId="12">
    <w:abstractNumId w:val="3"/>
  </w:num>
  <w:num w:numId="13">
    <w:abstractNumId w:val="1"/>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56"/>
    <w:rsid w:val="00000C52"/>
    <w:rsid w:val="00004555"/>
    <w:rsid w:val="00005D61"/>
    <w:rsid w:val="00014D9D"/>
    <w:rsid w:val="0002271F"/>
    <w:rsid w:val="00025C1D"/>
    <w:rsid w:val="000263B0"/>
    <w:rsid w:val="00026740"/>
    <w:rsid w:val="00030875"/>
    <w:rsid w:val="00030A82"/>
    <w:rsid w:val="0003134F"/>
    <w:rsid w:val="00035EE1"/>
    <w:rsid w:val="00036A87"/>
    <w:rsid w:val="00036B50"/>
    <w:rsid w:val="00037027"/>
    <w:rsid w:val="00040116"/>
    <w:rsid w:val="000417D3"/>
    <w:rsid w:val="00041AF8"/>
    <w:rsid w:val="00047D6C"/>
    <w:rsid w:val="00051651"/>
    <w:rsid w:val="00052A4F"/>
    <w:rsid w:val="000541BF"/>
    <w:rsid w:val="00054380"/>
    <w:rsid w:val="000543B4"/>
    <w:rsid w:val="00054714"/>
    <w:rsid w:val="000555A1"/>
    <w:rsid w:val="000560E3"/>
    <w:rsid w:val="00060A5B"/>
    <w:rsid w:val="00062646"/>
    <w:rsid w:val="000638EA"/>
    <w:rsid w:val="0006490D"/>
    <w:rsid w:val="000678E9"/>
    <w:rsid w:val="00080E08"/>
    <w:rsid w:val="000823F3"/>
    <w:rsid w:val="00086868"/>
    <w:rsid w:val="00087660"/>
    <w:rsid w:val="00087949"/>
    <w:rsid w:val="000925EB"/>
    <w:rsid w:val="00092E77"/>
    <w:rsid w:val="000934C3"/>
    <w:rsid w:val="0009746C"/>
    <w:rsid w:val="000A095A"/>
    <w:rsid w:val="000A0C94"/>
    <w:rsid w:val="000A2F19"/>
    <w:rsid w:val="000A3990"/>
    <w:rsid w:val="000A541C"/>
    <w:rsid w:val="000A5ABA"/>
    <w:rsid w:val="000A730E"/>
    <w:rsid w:val="000A7DD8"/>
    <w:rsid w:val="000B3F20"/>
    <w:rsid w:val="000B5426"/>
    <w:rsid w:val="000B74AD"/>
    <w:rsid w:val="000C026B"/>
    <w:rsid w:val="000C23D7"/>
    <w:rsid w:val="000C35DB"/>
    <w:rsid w:val="000C54A7"/>
    <w:rsid w:val="000C73EA"/>
    <w:rsid w:val="000C77F3"/>
    <w:rsid w:val="000D17FE"/>
    <w:rsid w:val="000D69A7"/>
    <w:rsid w:val="000E0AB5"/>
    <w:rsid w:val="000E1B42"/>
    <w:rsid w:val="000E3F84"/>
    <w:rsid w:val="000E744C"/>
    <w:rsid w:val="000E7F95"/>
    <w:rsid w:val="000F270C"/>
    <w:rsid w:val="001001DD"/>
    <w:rsid w:val="00100801"/>
    <w:rsid w:val="00105455"/>
    <w:rsid w:val="00106ED9"/>
    <w:rsid w:val="001117CF"/>
    <w:rsid w:val="00112385"/>
    <w:rsid w:val="00116C11"/>
    <w:rsid w:val="001258CB"/>
    <w:rsid w:val="00126F52"/>
    <w:rsid w:val="00134A25"/>
    <w:rsid w:val="001357CD"/>
    <w:rsid w:val="00136528"/>
    <w:rsid w:val="0013678F"/>
    <w:rsid w:val="0015079F"/>
    <w:rsid w:val="00152A4A"/>
    <w:rsid w:val="00152D0B"/>
    <w:rsid w:val="00153CDE"/>
    <w:rsid w:val="00155049"/>
    <w:rsid w:val="001622D7"/>
    <w:rsid w:val="00164D17"/>
    <w:rsid w:val="001673A1"/>
    <w:rsid w:val="0017490C"/>
    <w:rsid w:val="00180282"/>
    <w:rsid w:val="001809B2"/>
    <w:rsid w:val="00183A48"/>
    <w:rsid w:val="00184C6B"/>
    <w:rsid w:val="00186B39"/>
    <w:rsid w:val="0018707B"/>
    <w:rsid w:val="001908B6"/>
    <w:rsid w:val="00192027"/>
    <w:rsid w:val="00194347"/>
    <w:rsid w:val="0019708C"/>
    <w:rsid w:val="001A0EF4"/>
    <w:rsid w:val="001A2C1B"/>
    <w:rsid w:val="001A5616"/>
    <w:rsid w:val="001A623F"/>
    <w:rsid w:val="001B12AF"/>
    <w:rsid w:val="001B19E4"/>
    <w:rsid w:val="001B1E1D"/>
    <w:rsid w:val="001B45DF"/>
    <w:rsid w:val="001C59B7"/>
    <w:rsid w:val="001D1F3F"/>
    <w:rsid w:val="001D4B61"/>
    <w:rsid w:val="001E4747"/>
    <w:rsid w:val="001E5C60"/>
    <w:rsid w:val="001E744A"/>
    <w:rsid w:val="001E7F20"/>
    <w:rsid w:val="001F186D"/>
    <w:rsid w:val="001F5176"/>
    <w:rsid w:val="00200083"/>
    <w:rsid w:val="00200E1B"/>
    <w:rsid w:val="002035ED"/>
    <w:rsid w:val="00203969"/>
    <w:rsid w:val="002071D0"/>
    <w:rsid w:val="0020733B"/>
    <w:rsid w:val="00210193"/>
    <w:rsid w:val="00210EB9"/>
    <w:rsid w:val="00211BD2"/>
    <w:rsid w:val="00215787"/>
    <w:rsid w:val="00215972"/>
    <w:rsid w:val="00220148"/>
    <w:rsid w:val="00225BBA"/>
    <w:rsid w:val="002278F4"/>
    <w:rsid w:val="00234BCD"/>
    <w:rsid w:val="0024105E"/>
    <w:rsid w:val="00245E0F"/>
    <w:rsid w:val="00246718"/>
    <w:rsid w:val="00250CB2"/>
    <w:rsid w:val="00250FB7"/>
    <w:rsid w:val="0025163E"/>
    <w:rsid w:val="00252EC5"/>
    <w:rsid w:val="00257C2C"/>
    <w:rsid w:val="00260009"/>
    <w:rsid w:val="0026297C"/>
    <w:rsid w:val="00262B04"/>
    <w:rsid w:val="00264309"/>
    <w:rsid w:val="00265089"/>
    <w:rsid w:val="002661AA"/>
    <w:rsid w:val="00267580"/>
    <w:rsid w:val="00272777"/>
    <w:rsid w:val="00274F69"/>
    <w:rsid w:val="002771E8"/>
    <w:rsid w:val="002818E7"/>
    <w:rsid w:val="00282BCC"/>
    <w:rsid w:val="00283ED1"/>
    <w:rsid w:val="00286363"/>
    <w:rsid w:val="00291C3E"/>
    <w:rsid w:val="00292B62"/>
    <w:rsid w:val="002937D2"/>
    <w:rsid w:val="00295C79"/>
    <w:rsid w:val="002A02CB"/>
    <w:rsid w:val="002A161D"/>
    <w:rsid w:val="002A1AE7"/>
    <w:rsid w:val="002A56DC"/>
    <w:rsid w:val="002B3D38"/>
    <w:rsid w:val="002B65DA"/>
    <w:rsid w:val="002B7F0B"/>
    <w:rsid w:val="002C05AB"/>
    <w:rsid w:val="002C3024"/>
    <w:rsid w:val="002C3E62"/>
    <w:rsid w:val="002C662A"/>
    <w:rsid w:val="002D2334"/>
    <w:rsid w:val="002D2CCF"/>
    <w:rsid w:val="002D32A3"/>
    <w:rsid w:val="002D3709"/>
    <w:rsid w:val="002D40C1"/>
    <w:rsid w:val="002D5AF9"/>
    <w:rsid w:val="002D5C1E"/>
    <w:rsid w:val="002E020C"/>
    <w:rsid w:val="002E179D"/>
    <w:rsid w:val="002E56CF"/>
    <w:rsid w:val="002E7488"/>
    <w:rsid w:val="002F2879"/>
    <w:rsid w:val="002F4E78"/>
    <w:rsid w:val="00300164"/>
    <w:rsid w:val="0030400D"/>
    <w:rsid w:val="003070FD"/>
    <w:rsid w:val="0030730E"/>
    <w:rsid w:val="00307905"/>
    <w:rsid w:val="00307F10"/>
    <w:rsid w:val="00313A66"/>
    <w:rsid w:val="00313ABE"/>
    <w:rsid w:val="0031461E"/>
    <w:rsid w:val="003205F2"/>
    <w:rsid w:val="00321961"/>
    <w:rsid w:val="003228AA"/>
    <w:rsid w:val="00324DE8"/>
    <w:rsid w:val="00330775"/>
    <w:rsid w:val="00333510"/>
    <w:rsid w:val="003365E4"/>
    <w:rsid w:val="003377E6"/>
    <w:rsid w:val="003422C0"/>
    <w:rsid w:val="00347BE7"/>
    <w:rsid w:val="0035068A"/>
    <w:rsid w:val="00350AC5"/>
    <w:rsid w:val="0035145D"/>
    <w:rsid w:val="00353FB3"/>
    <w:rsid w:val="00355F70"/>
    <w:rsid w:val="0035642A"/>
    <w:rsid w:val="00356963"/>
    <w:rsid w:val="00360D4B"/>
    <w:rsid w:val="0036106D"/>
    <w:rsid w:val="0036532D"/>
    <w:rsid w:val="0037497B"/>
    <w:rsid w:val="0037633E"/>
    <w:rsid w:val="003815C6"/>
    <w:rsid w:val="00382B92"/>
    <w:rsid w:val="00382D6D"/>
    <w:rsid w:val="00383156"/>
    <w:rsid w:val="003837B1"/>
    <w:rsid w:val="00390047"/>
    <w:rsid w:val="00391925"/>
    <w:rsid w:val="003924A6"/>
    <w:rsid w:val="00393781"/>
    <w:rsid w:val="00394644"/>
    <w:rsid w:val="00396F00"/>
    <w:rsid w:val="003A0116"/>
    <w:rsid w:val="003A0B48"/>
    <w:rsid w:val="003B60F7"/>
    <w:rsid w:val="003B7761"/>
    <w:rsid w:val="003C12EB"/>
    <w:rsid w:val="003C1792"/>
    <w:rsid w:val="003C1EDB"/>
    <w:rsid w:val="003C5A36"/>
    <w:rsid w:val="003C74DB"/>
    <w:rsid w:val="003D1672"/>
    <w:rsid w:val="003E166F"/>
    <w:rsid w:val="003E4DAF"/>
    <w:rsid w:val="003E6A6B"/>
    <w:rsid w:val="003F1FA3"/>
    <w:rsid w:val="003F7D92"/>
    <w:rsid w:val="00400E2E"/>
    <w:rsid w:val="0040110E"/>
    <w:rsid w:val="004038BA"/>
    <w:rsid w:val="00404DF4"/>
    <w:rsid w:val="00405087"/>
    <w:rsid w:val="004078C7"/>
    <w:rsid w:val="00410213"/>
    <w:rsid w:val="0041206F"/>
    <w:rsid w:val="00414C33"/>
    <w:rsid w:val="00416675"/>
    <w:rsid w:val="004166EC"/>
    <w:rsid w:val="00416D26"/>
    <w:rsid w:val="00424F25"/>
    <w:rsid w:val="00427B06"/>
    <w:rsid w:val="00430A67"/>
    <w:rsid w:val="0043617F"/>
    <w:rsid w:val="004419E8"/>
    <w:rsid w:val="00452A36"/>
    <w:rsid w:val="004533AB"/>
    <w:rsid w:val="0045419A"/>
    <w:rsid w:val="004551A1"/>
    <w:rsid w:val="004571DD"/>
    <w:rsid w:val="004678EE"/>
    <w:rsid w:val="004679D6"/>
    <w:rsid w:val="004717C0"/>
    <w:rsid w:val="004717D4"/>
    <w:rsid w:val="0048350D"/>
    <w:rsid w:val="00484621"/>
    <w:rsid w:val="004874F1"/>
    <w:rsid w:val="00491C9C"/>
    <w:rsid w:val="00492B01"/>
    <w:rsid w:val="00496D27"/>
    <w:rsid w:val="004A1B43"/>
    <w:rsid w:val="004B0033"/>
    <w:rsid w:val="004B3763"/>
    <w:rsid w:val="004B3982"/>
    <w:rsid w:val="004B66FF"/>
    <w:rsid w:val="004B7E50"/>
    <w:rsid w:val="004C2DDD"/>
    <w:rsid w:val="004C3934"/>
    <w:rsid w:val="004C3BC1"/>
    <w:rsid w:val="004C58BA"/>
    <w:rsid w:val="004C5978"/>
    <w:rsid w:val="004D29D5"/>
    <w:rsid w:val="004D4671"/>
    <w:rsid w:val="004E0A23"/>
    <w:rsid w:val="004E10AC"/>
    <w:rsid w:val="004E1D23"/>
    <w:rsid w:val="004E39A1"/>
    <w:rsid w:val="004E4E30"/>
    <w:rsid w:val="004E4EF0"/>
    <w:rsid w:val="004E659D"/>
    <w:rsid w:val="004E72AF"/>
    <w:rsid w:val="004E72C4"/>
    <w:rsid w:val="004F3A91"/>
    <w:rsid w:val="00503E19"/>
    <w:rsid w:val="00505329"/>
    <w:rsid w:val="00505EA9"/>
    <w:rsid w:val="00517ED9"/>
    <w:rsid w:val="005254CE"/>
    <w:rsid w:val="00525A3C"/>
    <w:rsid w:val="00527FA5"/>
    <w:rsid w:val="005302B6"/>
    <w:rsid w:val="00533A21"/>
    <w:rsid w:val="00535CDF"/>
    <w:rsid w:val="00536297"/>
    <w:rsid w:val="00541196"/>
    <w:rsid w:val="00543836"/>
    <w:rsid w:val="00545C50"/>
    <w:rsid w:val="005501A7"/>
    <w:rsid w:val="00552B36"/>
    <w:rsid w:val="00554E96"/>
    <w:rsid w:val="005600B4"/>
    <w:rsid w:val="005614D0"/>
    <w:rsid w:val="005635CE"/>
    <w:rsid w:val="0056727C"/>
    <w:rsid w:val="00567B56"/>
    <w:rsid w:val="00570D2E"/>
    <w:rsid w:val="0057108D"/>
    <w:rsid w:val="005733EE"/>
    <w:rsid w:val="005768E2"/>
    <w:rsid w:val="005769C8"/>
    <w:rsid w:val="0057731A"/>
    <w:rsid w:val="00582B8D"/>
    <w:rsid w:val="0058420F"/>
    <w:rsid w:val="00591077"/>
    <w:rsid w:val="00593E72"/>
    <w:rsid w:val="00596FE9"/>
    <w:rsid w:val="005A00BC"/>
    <w:rsid w:val="005A0606"/>
    <w:rsid w:val="005A3CC7"/>
    <w:rsid w:val="005A5ABA"/>
    <w:rsid w:val="005A6648"/>
    <w:rsid w:val="005B06CB"/>
    <w:rsid w:val="005B53F5"/>
    <w:rsid w:val="005C0011"/>
    <w:rsid w:val="005C2DE6"/>
    <w:rsid w:val="005C4079"/>
    <w:rsid w:val="005C4C25"/>
    <w:rsid w:val="005C5F0E"/>
    <w:rsid w:val="005C7F0C"/>
    <w:rsid w:val="005D040E"/>
    <w:rsid w:val="005D1FCB"/>
    <w:rsid w:val="005D529C"/>
    <w:rsid w:val="005E526D"/>
    <w:rsid w:val="005E6DF6"/>
    <w:rsid w:val="005E7693"/>
    <w:rsid w:val="005E7E14"/>
    <w:rsid w:val="005F3BFE"/>
    <w:rsid w:val="005F539D"/>
    <w:rsid w:val="0060117C"/>
    <w:rsid w:val="006013D9"/>
    <w:rsid w:val="00601BA8"/>
    <w:rsid w:val="00604C04"/>
    <w:rsid w:val="006065D4"/>
    <w:rsid w:val="00607451"/>
    <w:rsid w:val="00612046"/>
    <w:rsid w:val="006134CA"/>
    <w:rsid w:val="00615DF2"/>
    <w:rsid w:val="006206D5"/>
    <w:rsid w:val="00621657"/>
    <w:rsid w:val="0062219F"/>
    <w:rsid w:val="00626EF0"/>
    <w:rsid w:val="006277A6"/>
    <w:rsid w:val="006301EA"/>
    <w:rsid w:val="00630C5B"/>
    <w:rsid w:val="006320EB"/>
    <w:rsid w:val="0063548F"/>
    <w:rsid w:val="006354C5"/>
    <w:rsid w:val="00636297"/>
    <w:rsid w:val="0063781C"/>
    <w:rsid w:val="00645E0B"/>
    <w:rsid w:val="0064608A"/>
    <w:rsid w:val="006633E4"/>
    <w:rsid w:val="00666AAD"/>
    <w:rsid w:val="0066768C"/>
    <w:rsid w:val="00667873"/>
    <w:rsid w:val="00667D64"/>
    <w:rsid w:val="00671716"/>
    <w:rsid w:val="00671E32"/>
    <w:rsid w:val="006737C3"/>
    <w:rsid w:val="00675CD5"/>
    <w:rsid w:val="00680666"/>
    <w:rsid w:val="00680694"/>
    <w:rsid w:val="006813AC"/>
    <w:rsid w:val="00681547"/>
    <w:rsid w:val="00683B06"/>
    <w:rsid w:val="0068659F"/>
    <w:rsid w:val="00693804"/>
    <w:rsid w:val="00693931"/>
    <w:rsid w:val="006941D3"/>
    <w:rsid w:val="006946C0"/>
    <w:rsid w:val="00694957"/>
    <w:rsid w:val="006949FD"/>
    <w:rsid w:val="006A2587"/>
    <w:rsid w:val="006B10A1"/>
    <w:rsid w:val="006B14C7"/>
    <w:rsid w:val="006B31B4"/>
    <w:rsid w:val="006B32C5"/>
    <w:rsid w:val="006B475C"/>
    <w:rsid w:val="006B4C73"/>
    <w:rsid w:val="006B7107"/>
    <w:rsid w:val="006B7B92"/>
    <w:rsid w:val="006B7FBD"/>
    <w:rsid w:val="006C124D"/>
    <w:rsid w:val="006C36FE"/>
    <w:rsid w:val="006C6DA9"/>
    <w:rsid w:val="006C7C31"/>
    <w:rsid w:val="006D0501"/>
    <w:rsid w:val="006D13DD"/>
    <w:rsid w:val="006D2DF4"/>
    <w:rsid w:val="006D43E0"/>
    <w:rsid w:val="006D5ACD"/>
    <w:rsid w:val="006E0111"/>
    <w:rsid w:val="006E035D"/>
    <w:rsid w:val="006E0560"/>
    <w:rsid w:val="006E267D"/>
    <w:rsid w:val="006E3184"/>
    <w:rsid w:val="006E3BF7"/>
    <w:rsid w:val="006E43BF"/>
    <w:rsid w:val="006E7AC2"/>
    <w:rsid w:val="006F375A"/>
    <w:rsid w:val="006F3D10"/>
    <w:rsid w:val="006F76F1"/>
    <w:rsid w:val="00700264"/>
    <w:rsid w:val="00700B47"/>
    <w:rsid w:val="0070260D"/>
    <w:rsid w:val="00702FF4"/>
    <w:rsid w:val="00705EF8"/>
    <w:rsid w:val="00707563"/>
    <w:rsid w:val="00707847"/>
    <w:rsid w:val="00711CA2"/>
    <w:rsid w:val="00714706"/>
    <w:rsid w:val="00715B9A"/>
    <w:rsid w:val="00716BAA"/>
    <w:rsid w:val="00717536"/>
    <w:rsid w:val="00720E28"/>
    <w:rsid w:val="00724722"/>
    <w:rsid w:val="00725EFA"/>
    <w:rsid w:val="00726EE1"/>
    <w:rsid w:val="00727273"/>
    <w:rsid w:val="007308F9"/>
    <w:rsid w:val="00730C16"/>
    <w:rsid w:val="00731DE3"/>
    <w:rsid w:val="00732A68"/>
    <w:rsid w:val="00733713"/>
    <w:rsid w:val="00734335"/>
    <w:rsid w:val="00735422"/>
    <w:rsid w:val="007369EC"/>
    <w:rsid w:val="0074184B"/>
    <w:rsid w:val="007465FB"/>
    <w:rsid w:val="00746666"/>
    <w:rsid w:val="00747FCF"/>
    <w:rsid w:val="007507BF"/>
    <w:rsid w:val="0075140A"/>
    <w:rsid w:val="00753125"/>
    <w:rsid w:val="0076030B"/>
    <w:rsid w:val="007604E6"/>
    <w:rsid w:val="00761C74"/>
    <w:rsid w:val="00763F35"/>
    <w:rsid w:val="00766A4A"/>
    <w:rsid w:val="00771C34"/>
    <w:rsid w:val="00772380"/>
    <w:rsid w:val="0077378D"/>
    <w:rsid w:val="0077603F"/>
    <w:rsid w:val="00777A7B"/>
    <w:rsid w:val="00777BDA"/>
    <w:rsid w:val="00782521"/>
    <w:rsid w:val="00782E64"/>
    <w:rsid w:val="00785FEB"/>
    <w:rsid w:val="00792AFE"/>
    <w:rsid w:val="007941C0"/>
    <w:rsid w:val="00795091"/>
    <w:rsid w:val="0079711F"/>
    <w:rsid w:val="007A070B"/>
    <w:rsid w:val="007A0977"/>
    <w:rsid w:val="007A2B07"/>
    <w:rsid w:val="007A2C54"/>
    <w:rsid w:val="007A49D1"/>
    <w:rsid w:val="007B17D0"/>
    <w:rsid w:val="007B2671"/>
    <w:rsid w:val="007B3BDF"/>
    <w:rsid w:val="007B5269"/>
    <w:rsid w:val="007B5B96"/>
    <w:rsid w:val="007B6DD1"/>
    <w:rsid w:val="007C090A"/>
    <w:rsid w:val="007C1431"/>
    <w:rsid w:val="007C1ADC"/>
    <w:rsid w:val="007C27E2"/>
    <w:rsid w:val="007C2989"/>
    <w:rsid w:val="007C6823"/>
    <w:rsid w:val="007C798D"/>
    <w:rsid w:val="007D1FD0"/>
    <w:rsid w:val="007D4E23"/>
    <w:rsid w:val="007D6D62"/>
    <w:rsid w:val="007D6E66"/>
    <w:rsid w:val="007E2748"/>
    <w:rsid w:val="007E4757"/>
    <w:rsid w:val="007E55B3"/>
    <w:rsid w:val="007F29C9"/>
    <w:rsid w:val="007F2A29"/>
    <w:rsid w:val="007F511C"/>
    <w:rsid w:val="007F74CD"/>
    <w:rsid w:val="007F7A8A"/>
    <w:rsid w:val="00802F57"/>
    <w:rsid w:val="008033E3"/>
    <w:rsid w:val="00805C16"/>
    <w:rsid w:val="00805D66"/>
    <w:rsid w:val="00806518"/>
    <w:rsid w:val="00807DA7"/>
    <w:rsid w:val="00816F1B"/>
    <w:rsid w:val="00817160"/>
    <w:rsid w:val="00820200"/>
    <w:rsid w:val="00821ED9"/>
    <w:rsid w:val="00823F24"/>
    <w:rsid w:val="00827E8B"/>
    <w:rsid w:val="00830B92"/>
    <w:rsid w:val="00837C30"/>
    <w:rsid w:val="00841272"/>
    <w:rsid w:val="00841F73"/>
    <w:rsid w:val="00844EB2"/>
    <w:rsid w:val="00850E1B"/>
    <w:rsid w:val="00852EAC"/>
    <w:rsid w:val="00854DD8"/>
    <w:rsid w:val="008560E0"/>
    <w:rsid w:val="00856378"/>
    <w:rsid w:val="00857BDD"/>
    <w:rsid w:val="008725BE"/>
    <w:rsid w:val="0087321C"/>
    <w:rsid w:val="008803C2"/>
    <w:rsid w:val="00882998"/>
    <w:rsid w:val="008842EA"/>
    <w:rsid w:val="00885F1A"/>
    <w:rsid w:val="0089135B"/>
    <w:rsid w:val="00891766"/>
    <w:rsid w:val="00892055"/>
    <w:rsid w:val="008928B1"/>
    <w:rsid w:val="008A1443"/>
    <w:rsid w:val="008A33DB"/>
    <w:rsid w:val="008A4D46"/>
    <w:rsid w:val="008A5781"/>
    <w:rsid w:val="008A581D"/>
    <w:rsid w:val="008A63F6"/>
    <w:rsid w:val="008A74EC"/>
    <w:rsid w:val="008B0040"/>
    <w:rsid w:val="008B0562"/>
    <w:rsid w:val="008B66AD"/>
    <w:rsid w:val="008B7C2F"/>
    <w:rsid w:val="008C0F3F"/>
    <w:rsid w:val="008C15F1"/>
    <w:rsid w:val="008C1D7C"/>
    <w:rsid w:val="008C4CD4"/>
    <w:rsid w:val="008C5098"/>
    <w:rsid w:val="008D2D70"/>
    <w:rsid w:val="008D6482"/>
    <w:rsid w:val="008D73B2"/>
    <w:rsid w:val="008E63F6"/>
    <w:rsid w:val="008E7307"/>
    <w:rsid w:val="008E7C05"/>
    <w:rsid w:val="008F0B1D"/>
    <w:rsid w:val="008F0DB2"/>
    <w:rsid w:val="008F1E81"/>
    <w:rsid w:val="009003D9"/>
    <w:rsid w:val="00900DD3"/>
    <w:rsid w:val="009015BF"/>
    <w:rsid w:val="00903531"/>
    <w:rsid w:val="00904050"/>
    <w:rsid w:val="00906787"/>
    <w:rsid w:val="00910EEB"/>
    <w:rsid w:val="009117D6"/>
    <w:rsid w:val="00911E65"/>
    <w:rsid w:val="009136DC"/>
    <w:rsid w:val="0091395D"/>
    <w:rsid w:val="0091429B"/>
    <w:rsid w:val="009162AE"/>
    <w:rsid w:val="009166A3"/>
    <w:rsid w:val="009206FA"/>
    <w:rsid w:val="0092271D"/>
    <w:rsid w:val="00922E65"/>
    <w:rsid w:val="00925BDB"/>
    <w:rsid w:val="009329A0"/>
    <w:rsid w:val="0093625D"/>
    <w:rsid w:val="009375B1"/>
    <w:rsid w:val="00944B82"/>
    <w:rsid w:val="00944BF4"/>
    <w:rsid w:val="009469BD"/>
    <w:rsid w:val="0095117A"/>
    <w:rsid w:val="00954CC4"/>
    <w:rsid w:val="00957595"/>
    <w:rsid w:val="00960583"/>
    <w:rsid w:val="00962BC2"/>
    <w:rsid w:val="00964D50"/>
    <w:rsid w:val="009730D7"/>
    <w:rsid w:val="00975C56"/>
    <w:rsid w:val="00976528"/>
    <w:rsid w:val="009839B2"/>
    <w:rsid w:val="00983E8F"/>
    <w:rsid w:val="0098431A"/>
    <w:rsid w:val="009845E6"/>
    <w:rsid w:val="00984B04"/>
    <w:rsid w:val="00987520"/>
    <w:rsid w:val="009934D5"/>
    <w:rsid w:val="009940EF"/>
    <w:rsid w:val="009A05AB"/>
    <w:rsid w:val="009B2C2A"/>
    <w:rsid w:val="009B3C48"/>
    <w:rsid w:val="009B3C99"/>
    <w:rsid w:val="009B5A7A"/>
    <w:rsid w:val="009B71CF"/>
    <w:rsid w:val="009B79AE"/>
    <w:rsid w:val="009C168B"/>
    <w:rsid w:val="009C1AE6"/>
    <w:rsid w:val="009C443C"/>
    <w:rsid w:val="009D02A5"/>
    <w:rsid w:val="009D1928"/>
    <w:rsid w:val="009D4D4B"/>
    <w:rsid w:val="009E03F9"/>
    <w:rsid w:val="009E5AF7"/>
    <w:rsid w:val="009F0512"/>
    <w:rsid w:val="009F17B0"/>
    <w:rsid w:val="009F539E"/>
    <w:rsid w:val="009F6DD3"/>
    <w:rsid w:val="00A020F4"/>
    <w:rsid w:val="00A0386A"/>
    <w:rsid w:val="00A05E9A"/>
    <w:rsid w:val="00A06063"/>
    <w:rsid w:val="00A146A7"/>
    <w:rsid w:val="00A14DE4"/>
    <w:rsid w:val="00A17747"/>
    <w:rsid w:val="00A25CD4"/>
    <w:rsid w:val="00A25F34"/>
    <w:rsid w:val="00A26E36"/>
    <w:rsid w:val="00A309B8"/>
    <w:rsid w:val="00A31CD7"/>
    <w:rsid w:val="00A3261B"/>
    <w:rsid w:val="00A329A0"/>
    <w:rsid w:val="00A3339E"/>
    <w:rsid w:val="00A344C3"/>
    <w:rsid w:val="00A34FB8"/>
    <w:rsid w:val="00A35291"/>
    <w:rsid w:val="00A361D3"/>
    <w:rsid w:val="00A407C6"/>
    <w:rsid w:val="00A412CC"/>
    <w:rsid w:val="00A4178B"/>
    <w:rsid w:val="00A41CE0"/>
    <w:rsid w:val="00A44400"/>
    <w:rsid w:val="00A451FF"/>
    <w:rsid w:val="00A45E3E"/>
    <w:rsid w:val="00A46885"/>
    <w:rsid w:val="00A46A21"/>
    <w:rsid w:val="00A50E76"/>
    <w:rsid w:val="00A54400"/>
    <w:rsid w:val="00A54864"/>
    <w:rsid w:val="00A555D8"/>
    <w:rsid w:val="00A56597"/>
    <w:rsid w:val="00A60730"/>
    <w:rsid w:val="00A61595"/>
    <w:rsid w:val="00A61ED4"/>
    <w:rsid w:val="00A65413"/>
    <w:rsid w:val="00A661AA"/>
    <w:rsid w:val="00A6641E"/>
    <w:rsid w:val="00A70431"/>
    <w:rsid w:val="00A72B88"/>
    <w:rsid w:val="00A80797"/>
    <w:rsid w:val="00A812AB"/>
    <w:rsid w:val="00A816B4"/>
    <w:rsid w:val="00A81C55"/>
    <w:rsid w:val="00A90CA2"/>
    <w:rsid w:val="00A91147"/>
    <w:rsid w:val="00A926CF"/>
    <w:rsid w:val="00A92AE7"/>
    <w:rsid w:val="00A92C3A"/>
    <w:rsid w:val="00A966CE"/>
    <w:rsid w:val="00A978D1"/>
    <w:rsid w:val="00AA093E"/>
    <w:rsid w:val="00AA45FB"/>
    <w:rsid w:val="00AA5C70"/>
    <w:rsid w:val="00AA6D29"/>
    <w:rsid w:val="00AC176F"/>
    <w:rsid w:val="00AC19B0"/>
    <w:rsid w:val="00AC238A"/>
    <w:rsid w:val="00AC26F7"/>
    <w:rsid w:val="00AC6714"/>
    <w:rsid w:val="00AC67E2"/>
    <w:rsid w:val="00AC67F5"/>
    <w:rsid w:val="00AC6ABE"/>
    <w:rsid w:val="00AC6C30"/>
    <w:rsid w:val="00AD7B92"/>
    <w:rsid w:val="00AE0BD0"/>
    <w:rsid w:val="00AF0132"/>
    <w:rsid w:val="00B01C7D"/>
    <w:rsid w:val="00B02096"/>
    <w:rsid w:val="00B0334B"/>
    <w:rsid w:val="00B10CBF"/>
    <w:rsid w:val="00B10E43"/>
    <w:rsid w:val="00B11C55"/>
    <w:rsid w:val="00B13745"/>
    <w:rsid w:val="00B14B0E"/>
    <w:rsid w:val="00B16311"/>
    <w:rsid w:val="00B17FF7"/>
    <w:rsid w:val="00B21801"/>
    <w:rsid w:val="00B27D7C"/>
    <w:rsid w:val="00B333E4"/>
    <w:rsid w:val="00B339EC"/>
    <w:rsid w:val="00B3542E"/>
    <w:rsid w:val="00B37329"/>
    <w:rsid w:val="00B37D20"/>
    <w:rsid w:val="00B45EF0"/>
    <w:rsid w:val="00B56892"/>
    <w:rsid w:val="00B60D56"/>
    <w:rsid w:val="00B62676"/>
    <w:rsid w:val="00B66007"/>
    <w:rsid w:val="00B6636B"/>
    <w:rsid w:val="00B6702D"/>
    <w:rsid w:val="00B729F2"/>
    <w:rsid w:val="00B72CE7"/>
    <w:rsid w:val="00B734F9"/>
    <w:rsid w:val="00B74561"/>
    <w:rsid w:val="00B761E5"/>
    <w:rsid w:val="00B80259"/>
    <w:rsid w:val="00B8613C"/>
    <w:rsid w:val="00B90ABA"/>
    <w:rsid w:val="00B944AE"/>
    <w:rsid w:val="00BA11AF"/>
    <w:rsid w:val="00BA546E"/>
    <w:rsid w:val="00BA7D56"/>
    <w:rsid w:val="00BB0541"/>
    <w:rsid w:val="00BB0709"/>
    <w:rsid w:val="00BB142C"/>
    <w:rsid w:val="00BB1441"/>
    <w:rsid w:val="00BB2C82"/>
    <w:rsid w:val="00BC080A"/>
    <w:rsid w:val="00BC1DB9"/>
    <w:rsid w:val="00BC2061"/>
    <w:rsid w:val="00BC4BA4"/>
    <w:rsid w:val="00BC5BB2"/>
    <w:rsid w:val="00BC70DB"/>
    <w:rsid w:val="00BD1A84"/>
    <w:rsid w:val="00BD2E7B"/>
    <w:rsid w:val="00BD7FB3"/>
    <w:rsid w:val="00BE1620"/>
    <w:rsid w:val="00BE463E"/>
    <w:rsid w:val="00BE66CA"/>
    <w:rsid w:val="00BE6F7A"/>
    <w:rsid w:val="00BF287E"/>
    <w:rsid w:val="00BF5718"/>
    <w:rsid w:val="00BF5907"/>
    <w:rsid w:val="00C00A72"/>
    <w:rsid w:val="00C00BDA"/>
    <w:rsid w:val="00C01ADF"/>
    <w:rsid w:val="00C03CEA"/>
    <w:rsid w:val="00C04846"/>
    <w:rsid w:val="00C0498A"/>
    <w:rsid w:val="00C06623"/>
    <w:rsid w:val="00C06D58"/>
    <w:rsid w:val="00C13F0A"/>
    <w:rsid w:val="00C15DA8"/>
    <w:rsid w:val="00C2696B"/>
    <w:rsid w:val="00C32521"/>
    <w:rsid w:val="00C3400D"/>
    <w:rsid w:val="00C36909"/>
    <w:rsid w:val="00C408F9"/>
    <w:rsid w:val="00C41FBD"/>
    <w:rsid w:val="00C41FE0"/>
    <w:rsid w:val="00C448A0"/>
    <w:rsid w:val="00C4612D"/>
    <w:rsid w:val="00C479E7"/>
    <w:rsid w:val="00C508E2"/>
    <w:rsid w:val="00C56681"/>
    <w:rsid w:val="00C579D8"/>
    <w:rsid w:val="00C611C2"/>
    <w:rsid w:val="00C6163D"/>
    <w:rsid w:val="00C62016"/>
    <w:rsid w:val="00C635E0"/>
    <w:rsid w:val="00C63718"/>
    <w:rsid w:val="00C664A1"/>
    <w:rsid w:val="00C6671B"/>
    <w:rsid w:val="00C6707E"/>
    <w:rsid w:val="00C74846"/>
    <w:rsid w:val="00C74D7F"/>
    <w:rsid w:val="00C759FE"/>
    <w:rsid w:val="00C7771F"/>
    <w:rsid w:val="00C80694"/>
    <w:rsid w:val="00C83DC2"/>
    <w:rsid w:val="00C84BB2"/>
    <w:rsid w:val="00C84E4D"/>
    <w:rsid w:val="00C868C9"/>
    <w:rsid w:val="00C87568"/>
    <w:rsid w:val="00C90D54"/>
    <w:rsid w:val="00C90E2D"/>
    <w:rsid w:val="00C95364"/>
    <w:rsid w:val="00CA1F4B"/>
    <w:rsid w:val="00CA6E06"/>
    <w:rsid w:val="00CA715F"/>
    <w:rsid w:val="00CA7405"/>
    <w:rsid w:val="00CA74F7"/>
    <w:rsid w:val="00CB7B9B"/>
    <w:rsid w:val="00CB7E9C"/>
    <w:rsid w:val="00CC0B8F"/>
    <w:rsid w:val="00CC2B2A"/>
    <w:rsid w:val="00CC333F"/>
    <w:rsid w:val="00CD06B0"/>
    <w:rsid w:val="00CD149D"/>
    <w:rsid w:val="00CD15B4"/>
    <w:rsid w:val="00CD4B89"/>
    <w:rsid w:val="00CD572D"/>
    <w:rsid w:val="00CD73AD"/>
    <w:rsid w:val="00CE27F1"/>
    <w:rsid w:val="00CE4A02"/>
    <w:rsid w:val="00CE5845"/>
    <w:rsid w:val="00CE5DAD"/>
    <w:rsid w:val="00CF29D7"/>
    <w:rsid w:val="00CF29FC"/>
    <w:rsid w:val="00CF340A"/>
    <w:rsid w:val="00CF5F5F"/>
    <w:rsid w:val="00CF67D4"/>
    <w:rsid w:val="00D01782"/>
    <w:rsid w:val="00D021A0"/>
    <w:rsid w:val="00D0324C"/>
    <w:rsid w:val="00D038B3"/>
    <w:rsid w:val="00D03BB2"/>
    <w:rsid w:val="00D041FA"/>
    <w:rsid w:val="00D0482F"/>
    <w:rsid w:val="00D06894"/>
    <w:rsid w:val="00D12F59"/>
    <w:rsid w:val="00D13636"/>
    <w:rsid w:val="00D14FFB"/>
    <w:rsid w:val="00D159E3"/>
    <w:rsid w:val="00D15F9C"/>
    <w:rsid w:val="00D20522"/>
    <w:rsid w:val="00D209A3"/>
    <w:rsid w:val="00D233DA"/>
    <w:rsid w:val="00D27E69"/>
    <w:rsid w:val="00D42110"/>
    <w:rsid w:val="00D44338"/>
    <w:rsid w:val="00D4790F"/>
    <w:rsid w:val="00D51322"/>
    <w:rsid w:val="00D520D1"/>
    <w:rsid w:val="00D53190"/>
    <w:rsid w:val="00D53600"/>
    <w:rsid w:val="00D6062A"/>
    <w:rsid w:val="00D62B0F"/>
    <w:rsid w:val="00D6306D"/>
    <w:rsid w:val="00D644D2"/>
    <w:rsid w:val="00D647E6"/>
    <w:rsid w:val="00D73D48"/>
    <w:rsid w:val="00D82299"/>
    <w:rsid w:val="00D860CF"/>
    <w:rsid w:val="00D8754D"/>
    <w:rsid w:val="00D930CB"/>
    <w:rsid w:val="00D93B4A"/>
    <w:rsid w:val="00D97C2F"/>
    <w:rsid w:val="00DA17F7"/>
    <w:rsid w:val="00DA1E13"/>
    <w:rsid w:val="00DA3DD4"/>
    <w:rsid w:val="00DA703D"/>
    <w:rsid w:val="00DB0388"/>
    <w:rsid w:val="00DB038F"/>
    <w:rsid w:val="00DB1ABC"/>
    <w:rsid w:val="00DB6A4E"/>
    <w:rsid w:val="00DB7784"/>
    <w:rsid w:val="00DC2E02"/>
    <w:rsid w:val="00DC6B7C"/>
    <w:rsid w:val="00DD4308"/>
    <w:rsid w:val="00DD65B0"/>
    <w:rsid w:val="00DE0060"/>
    <w:rsid w:val="00DE0ECC"/>
    <w:rsid w:val="00DE1775"/>
    <w:rsid w:val="00DF1857"/>
    <w:rsid w:val="00DF5686"/>
    <w:rsid w:val="00DF5C1F"/>
    <w:rsid w:val="00DF6D0E"/>
    <w:rsid w:val="00E0021C"/>
    <w:rsid w:val="00E11B60"/>
    <w:rsid w:val="00E14443"/>
    <w:rsid w:val="00E16A2C"/>
    <w:rsid w:val="00E24BCC"/>
    <w:rsid w:val="00E26B0F"/>
    <w:rsid w:val="00E315C3"/>
    <w:rsid w:val="00E3160E"/>
    <w:rsid w:val="00E3346F"/>
    <w:rsid w:val="00E33ACC"/>
    <w:rsid w:val="00E3412D"/>
    <w:rsid w:val="00E43850"/>
    <w:rsid w:val="00E459CC"/>
    <w:rsid w:val="00E46938"/>
    <w:rsid w:val="00E46F5A"/>
    <w:rsid w:val="00E52E0D"/>
    <w:rsid w:val="00E53AC4"/>
    <w:rsid w:val="00E57B32"/>
    <w:rsid w:val="00E61008"/>
    <w:rsid w:val="00E667AE"/>
    <w:rsid w:val="00E71BAA"/>
    <w:rsid w:val="00E731C4"/>
    <w:rsid w:val="00E77B82"/>
    <w:rsid w:val="00E80E99"/>
    <w:rsid w:val="00E82728"/>
    <w:rsid w:val="00E833F9"/>
    <w:rsid w:val="00E8348B"/>
    <w:rsid w:val="00E851E9"/>
    <w:rsid w:val="00E93399"/>
    <w:rsid w:val="00E958B3"/>
    <w:rsid w:val="00E959E3"/>
    <w:rsid w:val="00EA17CC"/>
    <w:rsid w:val="00EA28FA"/>
    <w:rsid w:val="00EA41E9"/>
    <w:rsid w:val="00EA50E5"/>
    <w:rsid w:val="00EB14AD"/>
    <w:rsid w:val="00EB22E0"/>
    <w:rsid w:val="00EB26C6"/>
    <w:rsid w:val="00EB5866"/>
    <w:rsid w:val="00EB5C30"/>
    <w:rsid w:val="00EB5C71"/>
    <w:rsid w:val="00EC0216"/>
    <w:rsid w:val="00EC0B45"/>
    <w:rsid w:val="00EC61D2"/>
    <w:rsid w:val="00ED4591"/>
    <w:rsid w:val="00ED72E8"/>
    <w:rsid w:val="00ED7520"/>
    <w:rsid w:val="00EE223A"/>
    <w:rsid w:val="00EE2352"/>
    <w:rsid w:val="00EE50B5"/>
    <w:rsid w:val="00EE5B47"/>
    <w:rsid w:val="00EE610B"/>
    <w:rsid w:val="00EF1D10"/>
    <w:rsid w:val="00EF2EB9"/>
    <w:rsid w:val="00EF3196"/>
    <w:rsid w:val="00EF6EF7"/>
    <w:rsid w:val="00EF7C01"/>
    <w:rsid w:val="00F031E8"/>
    <w:rsid w:val="00F03D9E"/>
    <w:rsid w:val="00F05F0D"/>
    <w:rsid w:val="00F07CA1"/>
    <w:rsid w:val="00F07E73"/>
    <w:rsid w:val="00F101AD"/>
    <w:rsid w:val="00F12F1C"/>
    <w:rsid w:val="00F1455B"/>
    <w:rsid w:val="00F14A38"/>
    <w:rsid w:val="00F1691A"/>
    <w:rsid w:val="00F17734"/>
    <w:rsid w:val="00F23568"/>
    <w:rsid w:val="00F24E9B"/>
    <w:rsid w:val="00F25010"/>
    <w:rsid w:val="00F272B4"/>
    <w:rsid w:val="00F276EF"/>
    <w:rsid w:val="00F3421E"/>
    <w:rsid w:val="00F36E76"/>
    <w:rsid w:val="00F3784D"/>
    <w:rsid w:val="00F37D60"/>
    <w:rsid w:val="00F40F2A"/>
    <w:rsid w:val="00F42518"/>
    <w:rsid w:val="00F4355B"/>
    <w:rsid w:val="00F51778"/>
    <w:rsid w:val="00F52B7C"/>
    <w:rsid w:val="00F5339B"/>
    <w:rsid w:val="00F537E8"/>
    <w:rsid w:val="00F56E26"/>
    <w:rsid w:val="00F600CC"/>
    <w:rsid w:val="00F6054F"/>
    <w:rsid w:val="00F62458"/>
    <w:rsid w:val="00F66A1A"/>
    <w:rsid w:val="00F679D7"/>
    <w:rsid w:val="00F7089E"/>
    <w:rsid w:val="00F72CD5"/>
    <w:rsid w:val="00F744EF"/>
    <w:rsid w:val="00F74629"/>
    <w:rsid w:val="00F7705B"/>
    <w:rsid w:val="00F77FD0"/>
    <w:rsid w:val="00F8013D"/>
    <w:rsid w:val="00F80B1D"/>
    <w:rsid w:val="00F84AB6"/>
    <w:rsid w:val="00F87D0D"/>
    <w:rsid w:val="00F914DD"/>
    <w:rsid w:val="00F94CD7"/>
    <w:rsid w:val="00F97BA5"/>
    <w:rsid w:val="00FA4DAE"/>
    <w:rsid w:val="00FA5892"/>
    <w:rsid w:val="00FB293A"/>
    <w:rsid w:val="00FB2D1A"/>
    <w:rsid w:val="00FC1BF4"/>
    <w:rsid w:val="00FC5323"/>
    <w:rsid w:val="00FD453E"/>
    <w:rsid w:val="00FD5B1F"/>
    <w:rsid w:val="00FE0A25"/>
    <w:rsid w:val="00FE61BA"/>
    <w:rsid w:val="00FF50E0"/>
    <w:rsid w:val="00FF597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14AE3"/>
  <w15:docId w15:val="{FD1F6947-5E17-4FF4-BC3A-1A92188D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BB2"/>
    <w:pPr>
      <w:spacing w:after="0" w:line="480" w:lineRule="auto"/>
      <w:ind w:firstLine="709"/>
    </w:pPr>
    <w:rPr>
      <w:rFonts w:ascii="Times New Roman" w:hAnsi="Times New Roman" w:cs="Times New Roman"/>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C56"/>
    <w:pPr>
      <w:ind w:left="720"/>
      <w:contextualSpacing/>
    </w:pPr>
  </w:style>
  <w:style w:type="paragraph" w:customStyle="1" w:styleId="Default">
    <w:name w:val="Default"/>
    <w:rsid w:val="00702FF4"/>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69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941D3"/>
    <w:rPr>
      <w:rFonts w:ascii="Courier New" w:eastAsia="Times New Roman" w:hAnsi="Courier New" w:cs="Courier New"/>
      <w:sz w:val="20"/>
      <w:szCs w:val="20"/>
      <w:lang w:eastAsia="es-MX"/>
    </w:rPr>
  </w:style>
  <w:style w:type="table" w:styleId="Tablaconcuadrcula">
    <w:name w:val="Table Grid"/>
    <w:basedOn w:val="Tablanormal"/>
    <w:uiPriority w:val="39"/>
    <w:rsid w:val="00C06623"/>
    <w:pPr>
      <w:spacing w:after="0" w:line="240" w:lineRule="auto"/>
    </w:pPr>
    <w:rPr>
      <w:rFonts w:eastAsiaTheme="minorEastAsia"/>
      <w:lang w:val="es-UY" w:eastAsia="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qFormat/>
    <w:rsid w:val="00C06623"/>
    <w:pPr>
      <w:keepNext/>
      <w:spacing w:before="240" w:after="60" w:line="240" w:lineRule="auto"/>
      <w:jc w:val="center"/>
    </w:pPr>
    <w:rPr>
      <w:rFonts w:ascii="Comic Sans MS" w:eastAsia="Times New Roman" w:hAnsi="Comic Sans MS"/>
      <w:b/>
      <w:i/>
      <w:sz w:val="20"/>
      <w:szCs w:val="20"/>
      <w:lang w:val="en-GB"/>
    </w:rPr>
  </w:style>
  <w:style w:type="character" w:customStyle="1" w:styleId="DescripcinCar">
    <w:name w:val="Descripción Car"/>
    <w:link w:val="Descripcin"/>
    <w:uiPriority w:val="35"/>
    <w:locked/>
    <w:rsid w:val="00C06623"/>
    <w:rPr>
      <w:rFonts w:ascii="Comic Sans MS" w:eastAsia="Times New Roman" w:hAnsi="Comic Sans MS" w:cs="Times New Roman"/>
      <w:b/>
      <w:i/>
      <w:sz w:val="20"/>
      <w:szCs w:val="20"/>
      <w:lang w:val="en-GB"/>
    </w:rPr>
  </w:style>
  <w:style w:type="paragraph" w:styleId="Textodeglobo">
    <w:name w:val="Balloon Text"/>
    <w:basedOn w:val="Normal"/>
    <w:link w:val="TextodegloboCar"/>
    <w:uiPriority w:val="99"/>
    <w:semiHidden/>
    <w:unhideWhenUsed/>
    <w:rsid w:val="00C0662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623"/>
    <w:rPr>
      <w:rFonts w:ascii="Tahoma" w:hAnsi="Tahoma" w:cs="Tahoma"/>
      <w:sz w:val="16"/>
      <w:szCs w:val="16"/>
      <w:lang w:val="en-US"/>
    </w:rPr>
  </w:style>
  <w:style w:type="paragraph" w:styleId="Textonotapie">
    <w:name w:val="footnote text"/>
    <w:basedOn w:val="Normal"/>
    <w:link w:val="TextonotapieCar"/>
    <w:uiPriority w:val="99"/>
    <w:unhideWhenUsed/>
    <w:rsid w:val="00B944AE"/>
    <w:pPr>
      <w:spacing w:line="240" w:lineRule="auto"/>
    </w:pPr>
    <w:rPr>
      <w:sz w:val="20"/>
      <w:szCs w:val="20"/>
      <w:lang w:val="es-MX"/>
    </w:rPr>
  </w:style>
  <w:style w:type="character" w:customStyle="1" w:styleId="TextonotapieCar">
    <w:name w:val="Texto nota pie Car"/>
    <w:basedOn w:val="Fuentedeprrafopredeter"/>
    <w:link w:val="Textonotapie"/>
    <w:uiPriority w:val="99"/>
    <w:rsid w:val="00B944AE"/>
    <w:rPr>
      <w:sz w:val="20"/>
      <w:szCs w:val="20"/>
    </w:rPr>
  </w:style>
  <w:style w:type="character" w:styleId="Refdenotaalpie">
    <w:name w:val="footnote reference"/>
    <w:basedOn w:val="Fuentedeprrafopredeter"/>
    <w:uiPriority w:val="99"/>
    <w:semiHidden/>
    <w:unhideWhenUsed/>
    <w:rsid w:val="00B944AE"/>
    <w:rPr>
      <w:vertAlign w:val="superscript"/>
    </w:rPr>
  </w:style>
  <w:style w:type="character" w:styleId="Refdecomentario">
    <w:name w:val="annotation reference"/>
    <w:basedOn w:val="Fuentedeprrafopredeter"/>
    <w:uiPriority w:val="99"/>
    <w:semiHidden/>
    <w:unhideWhenUsed/>
    <w:rsid w:val="00A34FB8"/>
    <w:rPr>
      <w:sz w:val="16"/>
      <w:szCs w:val="16"/>
    </w:rPr>
  </w:style>
  <w:style w:type="paragraph" w:styleId="Textocomentario">
    <w:name w:val="annotation text"/>
    <w:basedOn w:val="Normal"/>
    <w:link w:val="TextocomentarioCar"/>
    <w:uiPriority w:val="99"/>
    <w:unhideWhenUsed/>
    <w:rsid w:val="00A34FB8"/>
    <w:pPr>
      <w:spacing w:line="240" w:lineRule="auto"/>
    </w:pPr>
    <w:rPr>
      <w:sz w:val="20"/>
      <w:szCs w:val="20"/>
    </w:rPr>
  </w:style>
  <w:style w:type="character" w:customStyle="1" w:styleId="TextocomentarioCar">
    <w:name w:val="Texto comentario Car"/>
    <w:basedOn w:val="Fuentedeprrafopredeter"/>
    <w:link w:val="Textocomentario"/>
    <w:uiPriority w:val="99"/>
    <w:rsid w:val="00A34FB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A34FB8"/>
    <w:rPr>
      <w:b/>
      <w:bCs/>
    </w:rPr>
  </w:style>
  <w:style w:type="character" w:customStyle="1" w:styleId="AsuntodelcomentarioCar">
    <w:name w:val="Asunto del comentario Car"/>
    <w:basedOn w:val="TextocomentarioCar"/>
    <w:link w:val="Asuntodelcomentario"/>
    <w:uiPriority w:val="99"/>
    <w:semiHidden/>
    <w:rsid w:val="00A34FB8"/>
    <w:rPr>
      <w:b/>
      <w:bCs/>
      <w:sz w:val="20"/>
      <w:szCs w:val="20"/>
      <w:lang w:val="en-US"/>
    </w:rPr>
  </w:style>
  <w:style w:type="paragraph" w:styleId="NormalWeb">
    <w:name w:val="Normal (Web)"/>
    <w:basedOn w:val="Normal"/>
    <w:uiPriority w:val="99"/>
    <w:semiHidden/>
    <w:unhideWhenUsed/>
    <w:rsid w:val="00B56892"/>
    <w:pPr>
      <w:spacing w:before="100" w:beforeAutospacing="1" w:after="100" w:afterAutospacing="1" w:line="240" w:lineRule="auto"/>
    </w:pPr>
    <w:rPr>
      <w:rFonts w:eastAsia="Times New Roman"/>
      <w:szCs w:val="24"/>
      <w:lang w:val="es-MX" w:eastAsia="es-MX"/>
    </w:rPr>
  </w:style>
  <w:style w:type="character" w:styleId="Hipervnculo">
    <w:name w:val="Hyperlink"/>
    <w:basedOn w:val="Fuentedeprrafopredeter"/>
    <w:uiPriority w:val="99"/>
    <w:unhideWhenUsed/>
    <w:rsid w:val="00B56892"/>
    <w:rPr>
      <w:color w:val="0000FF"/>
      <w:u w:val="single"/>
    </w:rPr>
  </w:style>
  <w:style w:type="character" w:customStyle="1" w:styleId="mwe-math-mathml-inline">
    <w:name w:val="mwe-math-mathml-inline"/>
    <w:basedOn w:val="Fuentedeprrafopredeter"/>
    <w:rsid w:val="00B56892"/>
  </w:style>
  <w:style w:type="character" w:styleId="Textodelmarcadordeposicin">
    <w:name w:val="Placeholder Text"/>
    <w:basedOn w:val="Fuentedeprrafopredeter"/>
    <w:uiPriority w:val="99"/>
    <w:semiHidden/>
    <w:rsid w:val="00B56892"/>
    <w:rPr>
      <w:color w:val="808080"/>
    </w:rPr>
  </w:style>
  <w:style w:type="character" w:customStyle="1" w:styleId="style3">
    <w:name w:val="style3"/>
    <w:basedOn w:val="Fuentedeprrafopredeter"/>
    <w:rsid w:val="009117D6"/>
  </w:style>
  <w:style w:type="character" w:styleId="Textoennegrita">
    <w:name w:val="Strong"/>
    <w:basedOn w:val="Fuentedeprrafopredeter"/>
    <w:uiPriority w:val="22"/>
    <w:qFormat/>
    <w:rsid w:val="009117D6"/>
    <w:rPr>
      <w:b/>
      <w:bCs/>
    </w:rPr>
  </w:style>
  <w:style w:type="paragraph" w:styleId="Encabezado">
    <w:name w:val="header"/>
    <w:basedOn w:val="Normal"/>
    <w:link w:val="EncabezadoCar"/>
    <w:uiPriority w:val="99"/>
    <w:unhideWhenUsed/>
    <w:rsid w:val="00F36E7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36E76"/>
    <w:rPr>
      <w:lang w:val="en-US"/>
    </w:rPr>
  </w:style>
  <w:style w:type="paragraph" w:styleId="Piedepgina">
    <w:name w:val="footer"/>
    <w:basedOn w:val="Normal"/>
    <w:link w:val="PiedepginaCar"/>
    <w:uiPriority w:val="99"/>
    <w:unhideWhenUsed/>
    <w:rsid w:val="00F36E7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36E76"/>
    <w:rPr>
      <w:lang w:val="en-US"/>
    </w:rPr>
  </w:style>
  <w:style w:type="paragraph" w:customStyle="1" w:styleId="Abstract">
    <w:name w:val="Abstract"/>
    <w:link w:val="AbstractChar"/>
    <w:rsid w:val="008842EA"/>
    <w:pPr>
      <w:spacing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8842EA"/>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8842EA"/>
    <w:pPr>
      <w:spacing w:before="360" w:after="40" w:line="240" w:lineRule="auto"/>
      <w:jc w:val="center"/>
    </w:pPr>
    <w:rPr>
      <w:rFonts w:ascii="Times New Roman" w:eastAsia="SimSun" w:hAnsi="Times New Roman" w:cs="Times New Roman"/>
      <w:noProof/>
      <w:lang w:val="en-US"/>
    </w:rPr>
  </w:style>
  <w:style w:type="paragraph" w:customStyle="1" w:styleId="StyleAbstractItalic">
    <w:name w:val="Style Abstract + Italic"/>
    <w:basedOn w:val="Abstract"/>
    <w:link w:val="StyleAbstractItalicChar"/>
    <w:rsid w:val="008842EA"/>
    <w:rPr>
      <w:rFonts w:eastAsia="MS Mincho"/>
      <w:i/>
      <w:iCs/>
    </w:rPr>
  </w:style>
  <w:style w:type="character" w:customStyle="1" w:styleId="AbstractChar">
    <w:name w:val="Abstract Char"/>
    <w:link w:val="Abstract"/>
    <w:locked/>
    <w:rsid w:val="008842EA"/>
    <w:rPr>
      <w:rFonts w:ascii="Times New Roman" w:eastAsia="SimSun" w:hAnsi="Times New Roman" w:cs="Times New Roman"/>
      <w:b/>
      <w:bCs/>
      <w:sz w:val="18"/>
      <w:szCs w:val="18"/>
      <w:lang w:val="en-US"/>
    </w:rPr>
  </w:style>
  <w:style w:type="character" w:customStyle="1" w:styleId="StyleAbstractItalicChar">
    <w:name w:val="Style Abstract + Italic Char"/>
    <w:link w:val="StyleAbstractItalic"/>
    <w:locked/>
    <w:rsid w:val="008842EA"/>
    <w:rPr>
      <w:rFonts w:ascii="Times New Roman" w:eastAsia="MS Mincho" w:hAnsi="Times New Roman" w:cs="Times New Roman"/>
      <w:b/>
      <w:bCs/>
      <w:i/>
      <w:iCs/>
      <w:sz w:val="18"/>
      <w:szCs w:val="18"/>
      <w:lang w:val="en-US"/>
    </w:rPr>
  </w:style>
  <w:style w:type="paragraph" w:customStyle="1" w:styleId="MTDisplayEquation">
    <w:name w:val="MTDisplayEquation"/>
    <w:basedOn w:val="Normal"/>
    <w:next w:val="Normal"/>
    <w:link w:val="MTDisplayEquationCar"/>
    <w:rsid w:val="004874F1"/>
    <w:pPr>
      <w:tabs>
        <w:tab w:val="center" w:pos="4420"/>
        <w:tab w:val="right" w:pos="8840"/>
      </w:tabs>
      <w:spacing w:line="600" w:lineRule="exact"/>
      <w:jc w:val="both"/>
    </w:pPr>
    <w:rPr>
      <w:szCs w:val="24"/>
      <w:lang w:val="en-GB"/>
    </w:rPr>
  </w:style>
  <w:style w:type="character" w:customStyle="1" w:styleId="MTDisplayEquationCar">
    <w:name w:val="MTDisplayEquation Car"/>
    <w:basedOn w:val="Fuentedeprrafopredeter"/>
    <w:link w:val="MTDisplayEquation"/>
    <w:rsid w:val="004874F1"/>
    <w:rPr>
      <w:rFonts w:ascii="Times New Roman" w:hAnsi="Times New Roman" w:cs="Times New Roman"/>
      <w:sz w:val="24"/>
      <w:szCs w:val="24"/>
      <w:lang w:val="en-GB"/>
    </w:rPr>
  </w:style>
  <w:style w:type="character" w:customStyle="1" w:styleId="MTEquationSection">
    <w:name w:val="MTEquationSection"/>
    <w:basedOn w:val="Fuentedeprrafopredeter"/>
    <w:rsid w:val="00B8613C"/>
    <w:rPr>
      <w:rFonts w:ascii="Times New Roman" w:hAnsi="Times New Roman" w:cs="Times New Roman"/>
      <w:b/>
      <w:vanish/>
      <w:color w:val="FF0000"/>
      <w:sz w:val="28"/>
      <w:szCs w:val="23"/>
    </w:rPr>
  </w:style>
  <w:style w:type="character" w:customStyle="1" w:styleId="Mencinsinresolver1">
    <w:name w:val="Mención sin resolver1"/>
    <w:basedOn w:val="Fuentedeprrafopredeter"/>
    <w:uiPriority w:val="99"/>
    <w:semiHidden/>
    <w:unhideWhenUsed/>
    <w:rsid w:val="006D43E0"/>
    <w:rPr>
      <w:color w:val="808080"/>
      <w:shd w:val="clear" w:color="auto" w:fill="E6E6E6"/>
    </w:rPr>
  </w:style>
  <w:style w:type="character" w:styleId="Hipervnculovisitado">
    <w:name w:val="FollowedHyperlink"/>
    <w:basedOn w:val="Fuentedeprrafopredeter"/>
    <w:uiPriority w:val="99"/>
    <w:semiHidden/>
    <w:unhideWhenUsed/>
    <w:rsid w:val="006D43E0"/>
    <w:rPr>
      <w:color w:val="800080" w:themeColor="followedHyperlink"/>
      <w:u w:val="single"/>
    </w:rPr>
  </w:style>
  <w:style w:type="character" w:customStyle="1" w:styleId="Mencinsinresolver2">
    <w:name w:val="Mención sin resolver2"/>
    <w:basedOn w:val="Fuentedeprrafopredeter"/>
    <w:uiPriority w:val="99"/>
    <w:semiHidden/>
    <w:unhideWhenUsed/>
    <w:rsid w:val="00F801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6403">
      <w:bodyDiv w:val="1"/>
      <w:marLeft w:val="0"/>
      <w:marRight w:val="0"/>
      <w:marTop w:val="0"/>
      <w:marBottom w:val="0"/>
      <w:divBdr>
        <w:top w:val="none" w:sz="0" w:space="0" w:color="auto"/>
        <w:left w:val="none" w:sz="0" w:space="0" w:color="auto"/>
        <w:bottom w:val="none" w:sz="0" w:space="0" w:color="auto"/>
        <w:right w:val="none" w:sz="0" w:space="0" w:color="auto"/>
      </w:divBdr>
    </w:div>
    <w:div w:id="385028487">
      <w:bodyDiv w:val="1"/>
      <w:marLeft w:val="0"/>
      <w:marRight w:val="0"/>
      <w:marTop w:val="0"/>
      <w:marBottom w:val="0"/>
      <w:divBdr>
        <w:top w:val="none" w:sz="0" w:space="0" w:color="auto"/>
        <w:left w:val="none" w:sz="0" w:space="0" w:color="auto"/>
        <w:bottom w:val="none" w:sz="0" w:space="0" w:color="auto"/>
        <w:right w:val="none" w:sz="0" w:space="0" w:color="auto"/>
      </w:divBdr>
      <w:divsChild>
        <w:div w:id="689182769">
          <w:marLeft w:val="0"/>
          <w:marRight w:val="0"/>
          <w:marTop w:val="0"/>
          <w:marBottom w:val="0"/>
          <w:divBdr>
            <w:top w:val="none" w:sz="0" w:space="0" w:color="auto"/>
            <w:left w:val="none" w:sz="0" w:space="0" w:color="auto"/>
            <w:bottom w:val="none" w:sz="0" w:space="0" w:color="auto"/>
            <w:right w:val="none" w:sz="0" w:space="0" w:color="auto"/>
          </w:divBdr>
        </w:div>
      </w:divsChild>
    </w:div>
    <w:div w:id="525562130">
      <w:bodyDiv w:val="1"/>
      <w:marLeft w:val="0"/>
      <w:marRight w:val="0"/>
      <w:marTop w:val="0"/>
      <w:marBottom w:val="0"/>
      <w:divBdr>
        <w:top w:val="none" w:sz="0" w:space="0" w:color="auto"/>
        <w:left w:val="none" w:sz="0" w:space="0" w:color="auto"/>
        <w:bottom w:val="none" w:sz="0" w:space="0" w:color="auto"/>
        <w:right w:val="none" w:sz="0" w:space="0" w:color="auto"/>
      </w:divBdr>
      <w:divsChild>
        <w:div w:id="1103648812">
          <w:marLeft w:val="0"/>
          <w:marRight w:val="0"/>
          <w:marTop w:val="0"/>
          <w:marBottom w:val="0"/>
          <w:divBdr>
            <w:top w:val="none" w:sz="0" w:space="0" w:color="auto"/>
            <w:left w:val="none" w:sz="0" w:space="0" w:color="auto"/>
            <w:bottom w:val="none" w:sz="0" w:space="0" w:color="auto"/>
            <w:right w:val="none" w:sz="0" w:space="0" w:color="auto"/>
          </w:divBdr>
        </w:div>
      </w:divsChild>
    </w:div>
    <w:div w:id="866452665">
      <w:bodyDiv w:val="1"/>
      <w:marLeft w:val="0"/>
      <w:marRight w:val="0"/>
      <w:marTop w:val="0"/>
      <w:marBottom w:val="0"/>
      <w:divBdr>
        <w:top w:val="none" w:sz="0" w:space="0" w:color="auto"/>
        <w:left w:val="none" w:sz="0" w:space="0" w:color="auto"/>
        <w:bottom w:val="none" w:sz="0" w:space="0" w:color="auto"/>
        <w:right w:val="none" w:sz="0" w:space="0" w:color="auto"/>
      </w:divBdr>
    </w:div>
    <w:div w:id="866865928">
      <w:bodyDiv w:val="1"/>
      <w:marLeft w:val="0"/>
      <w:marRight w:val="0"/>
      <w:marTop w:val="0"/>
      <w:marBottom w:val="0"/>
      <w:divBdr>
        <w:top w:val="none" w:sz="0" w:space="0" w:color="auto"/>
        <w:left w:val="none" w:sz="0" w:space="0" w:color="auto"/>
        <w:bottom w:val="none" w:sz="0" w:space="0" w:color="auto"/>
        <w:right w:val="none" w:sz="0" w:space="0" w:color="auto"/>
      </w:divBdr>
      <w:divsChild>
        <w:div w:id="585040517">
          <w:marLeft w:val="0"/>
          <w:marRight w:val="0"/>
          <w:marTop w:val="0"/>
          <w:marBottom w:val="0"/>
          <w:divBdr>
            <w:top w:val="none" w:sz="0" w:space="0" w:color="auto"/>
            <w:left w:val="none" w:sz="0" w:space="0" w:color="auto"/>
            <w:bottom w:val="none" w:sz="0" w:space="0" w:color="auto"/>
            <w:right w:val="none" w:sz="0" w:space="0" w:color="auto"/>
          </w:divBdr>
        </w:div>
      </w:divsChild>
    </w:div>
    <w:div w:id="1200819954">
      <w:bodyDiv w:val="1"/>
      <w:marLeft w:val="0"/>
      <w:marRight w:val="0"/>
      <w:marTop w:val="0"/>
      <w:marBottom w:val="0"/>
      <w:divBdr>
        <w:top w:val="none" w:sz="0" w:space="0" w:color="auto"/>
        <w:left w:val="none" w:sz="0" w:space="0" w:color="auto"/>
        <w:bottom w:val="none" w:sz="0" w:space="0" w:color="auto"/>
        <w:right w:val="none" w:sz="0" w:space="0" w:color="auto"/>
      </w:divBdr>
      <w:divsChild>
        <w:div w:id="224995993">
          <w:marLeft w:val="0"/>
          <w:marRight w:val="0"/>
          <w:marTop w:val="0"/>
          <w:marBottom w:val="0"/>
          <w:divBdr>
            <w:top w:val="none" w:sz="0" w:space="0" w:color="auto"/>
            <w:left w:val="none" w:sz="0" w:space="0" w:color="auto"/>
            <w:bottom w:val="none" w:sz="0" w:space="0" w:color="auto"/>
            <w:right w:val="none" w:sz="0" w:space="0" w:color="auto"/>
          </w:divBdr>
        </w:div>
      </w:divsChild>
    </w:div>
    <w:div w:id="1227490494">
      <w:bodyDiv w:val="1"/>
      <w:marLeft w:val="0"/>
      <w:marRight w:val="0"/>
      <w:marTop w:val="0"/>
      <w:marBottom w:val="0"/>
      <w:divBdr>
        <w:top w:val="none" w:sz="0" w:space="0" w:color="auto"/>
        <w:left w:val="none" w:sz="0" w:space="0" w:color="auto"/>
        <w:bottom w:val="none" w:sz="0" w:space="0" w:color="auto"/>
        <w:right w:val="none" w:sz="0" w:space="0" w:color="auto"/>
      </w:divBdr>
    </w:div>
    <w:div w:id="1300067838">
      <w:bodyDiv w:val="1"/>
      <w:marLeft w:val="0"/>
      <w:marRight w:val="0"/>
      <w:marTop w:val="0"/>
      <w:marBottom w:val="0"/>
      <w:divBdr>
        <w:top w:val="none" w:sz="0" w:space="0" w:color="auto"/>
        <w:left w:val="none" w:sz="0" w:space="0" w:color="auto"/>
        <w:bottom w:val="none" w:sz="0" w:space="0" w:color="auto"/>
        <w:right w:val="none" w:sz="0" w:space="0" w:color="auto"/>
      </w:divBdr>
      <w:divsChild>
        <w:div w:id="1356662112">
          <w:marLeft w:val="0"/>
          <w:marRight w:val="0"/>
          <w:marTop w:val="0"/>
          <w:marBottom w:val="0"/>
          <w:divBdr>
            <w:top w:val="none" w:sz="0" w:space="0" w:color="auto"/>
            <w:left w:val="none" w:sz="0" w:space="0" w:color="auto"/>
            <w:bottom w:val="none" w:sz="0" w:space="0" w:color="auto"/>
            <w:right w:val="none" w:sz="0" w:space="0" w:color="auto"/>
          </w:divBdr>
        </w:div>
      </w:divsChild>
    </w:div>
    <w:div w:id="1486123648">
      <w:bodyDiv w:val="1"/>
      <w:marLeft w:val="0"/>
      <w:marRight w:val="0"/>
      <w:marTop w:val="0"/>
      <w:marBottom w:val="0"/>
      <w:divBdr>
        <w:top w:val="none" w:sz="0" w:space="0" w:color="auto"/>
        <w:left w:val="none" w:sz="0" w:space="0" w:color="auto"/>
        <w:bottom w:val="none" w:sz="0" w:space="0" w:color="auto"/>
        <w:right w:val="none" w:sz="0" w:space="0" w:color="auto"/>
      </w:divBdr>
    </w:div>
    <w:div w:id="1751006498">
      <w:bodyDiv w:val="1"/>
      <w:marLeft w:val="0"/>
      <w:marRight w:val="0"/>
      <w:marTop w:val="0"/>
      <w:marBottom w:val="0"/>
      <w:divBdr>
        <w:top w:val="none" w:sz="0" w:space="0" w:color="auto"/>
        <w:left w:val="none" w:sz="0" w:space="0" w:color="auto"/>
        <w:bottom w:val="none" w:sz="0" w:space="0" w:color="auto"/>
        <w:right w:val="none" w:sz="0" w:space="0" w:color="auto"/>
      </w:divBdr>
    </w:div>
    <w:div w:id="1826316629">
      <w:bodyDiv w:val="1"/>
      <w:marLeft w:val="0"/>
      <w:marRight w:val="0"/>
      <w:marTop w:val="0"/>
      <w:marBottom w:val="0"/>
      <w:divBdr>
        <w:top w:val="none" w:sz="0" w:space="0" w:color="auto"/>
        <w:left w:val="none" w:sz="0" w:space="0" w:color="auto"/>
        <w:bottom w:val="none" w:sz="0" w:space="0" w:color="auto"/>
        <w:right w:val="none" w:sz="0" w:space="0" w:color="auto"/>
      </w:divBdr>
      <w:divsChild>
        <w:div w:id="1645500371">
          <w:marLeft w:val="0"/>
          <w:marRight w:val="0"/>
          <w:marTop w:val="0"/>
          <w:marBottom w:val="0"/>
          <w:divBdr>
            <w:top w:val="none" w:sz="0" w:space="0" w:color="auto"/>
            <w:left w:val="none" w:sz="0" w:space="0" w:color="auto"/>
            <w:bottom w:val="none" w:sz="0" w:space="0" w:color="auto"/>
            <w:right w:val="none" w:sz="0" w:space="0" w:color="auto"/>
          </w:divBdr>
        </w:div>
      </w:divsChild>
    </w:div>
    <w:div w:id="21261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1.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8.bin"/><Relationship Id="rId79"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oleObject" Target="embeddings/oleObject40.bin"/><Relationship Id="rId8" Type="http://schemas.openxmlformats.org/officeDocument/2006/relationships/hyperlink" Target="mailto:frosas@ort.edu.uy" TargetMode="External"/><Relationship Id="rId51" Type="http://schemas.openxmlformats.org/officeDocument/2006/relationships/oleObject" Target="embeddings/oleObject23.bin"/><Relationship Id="rId72" Type="http://schemas.openxmlformats.org/officeDocument/2006/relationships/oleObject" Target="embeddings/oleObject36.bin"/><Relationship Id="rId80" Type="http://schemas.openxmlformats.org/officeDocument/2006/relationships/image" Target="media/image32.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7.wmf"/><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1.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image" Target="media/image31.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sans@worldbank.org" TargetMode="Externa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3.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1F152-901D-4B8A-9239-9C9FC421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7231</Words>
  <Characters>41223</Characters>
  <Application>Microsoft Office Word</Application>
  <DocSecurity>0</DocSecurity>
  <Lines>343</Lines>
  <Paragraphs>96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rosas</cp:lastModifiedBy>
  <cp:revision>2</cp:revision>
  <cp:lastPrinted>2018-12-26T17:24:00Z</cp:lastPrinted>
  <dcterms:created xsi:type="dcterms:W3CDTF">2020-07-27T21:16:00Z</dcterms:created>
  <dcterms:modified xsi:type="dcterms:W3CDTF">2020-07-27T21:16:00Z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