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6F57"/>
          <w:sz w:val="18"/>
        </w:rPr>
        <w:t>BORRADOR DE RESPUESTAS · USO INTERNO</w:t>
      </w:r>
    </w:p>
    <w:p>
      <w:r>
        <w:rPr>
          <w:b/>
          <w:sz w:val="36"/>
        </w:rPr>
        <w:t>Revisión de riesgos de caso de uso de IA – Agente de Clasificación Fiscal de Productos (PEYA)</w:t>
      </w:r>
    </w:p>
    <w:p>
      <w:r>
        <w:rPr>
          <w:color w:val="56676A"/>
        </w:rPr>
        <w:t>Respuestas propuestas para cada campo del formulario. El texto de la columna derecha se puede copiar tal cual. Lo marcado como «A CONFIRMAR» depende de datos o decisiones que no figuran en el proyecto y hay que completarlo antes de enviar.</w:t>
      </w:r>
    </w:p>
    <w:p>
      <w:pPr>
        <w:pStyle w:val="Heading1"/>
      </w:pPr>
      <w:r>
        <w:t>Antes de enviar: puntos a confirmar</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Tema</w:t>
            </w:r>
          </w:p>
        </w:tc>
        <w:tc>
          <w:tcPr>
            <w:tcW w:type="dxa" w:w="10148"/>
            <w:shd w:val="clear" w:color="auto" w:fill="1F6F57"/>
          </w:tcPr>
          <w:p>
            <w:r/>
            <w:r>
              <w:rPr>
                <w:b/>
                <w:color w:val="FFFFFF"/>
                <w:sz w:val="19"/>
              </w:rPr>
              <w:t>Qué hay que confirmar</w:t>
            </w:r>
          </w:p>
        </w:tc>
      </w:tr>
      <w:tr>
        <w:tc>
          <w:tcPr>
            <w:tcW w:type="dxa" w:w="4649"/>
            <w:shd w:val="clear" w:color="auto" w:fill="F2F5F4"/>
          </w:tcPr>
          <w:p>
            <w:pPr>
              <w:spacing w:after="60"/>
            </w:pPr>
            <w:r>
              <w:rPr>
                <w:b/>
                <w:color w:val="56676A"/>
              </w:rPr>
            </w:r>
            <w:r>
              <w:rPr>
                <w:b/>
                <w:color w:val="56676A"/>
                <w:sz w:val="20"/>
              </w:rPr>
              <w:t>Datos del equipo</w:t>
            </w:r>
          </w:p>
        </w:tc>
        <w:tc>
          <w:tcPr>
            <w:tcW w:type="dxa" w:w="10148"/>
          </w:tcPr>
          <w:p>
            <w:pPr>
              <w:spacing w:after="60"/>
            </w:pPr>
            <w:r/>
            <w:r>
              <w:rPr>
                <w:b w:val="0"/>
                <w:sz w:val="20"/>
              </w:rPr>
              <w:t>Nombre del solicitante, socio responsable, gerente, experto en IA consultado, nivel de riesgo del triaje y número de referencia del proceso de aceptación del cliente.</w:t>
            </w:r>
          </w:p>
        </w:tc>
      </w:tr>
      <w:tr>
        <w:tc>
          <w:tcPr>
            <w:tcW w:type="dxa" w:w="4649"/>
            <w:shd w:val="clear" w:color="auto" w:fill="F2F5F4"/>
          </w:tcPr>
          <w:p>
            <w:pPr>
              <w:spacing w:after="60"/>
            </w:pPr>
            <w:r>
              <w:rPr>
                <w:b/>
                <w:color w:val="56676A"/>
              </w:rPr>
            </w:r>
            <w:r>
              <w:rPr>
                <w:b/>
                <w:color w:val="56676A"/>
                <w:sz w:val="20"/>
              </w:rPr>
              <w:t>Proveedor de IA</w:t>
            </w:r>
          </w:p>
        </w:tc>
        <w:tc>
          <w:tcPr>
            <w:tcW w:type="dxa" w:w="10148"/>
          </w:tcPr>
          <w:p>
            <w:pPr>
              <w:spacing w:after="60"/>
            </w:pPr>
            <w:r/>
            <w:r>
              <w:rPr>
                <w:b w:val="0"/>
                <w:sz w:val="20"/>
              </w:rPr>
              <w:t>Definir si se pide Anthropic, OpenAI o ambos. La herramienta funciona con cualquiera de los dos, pero el formulario pide nombrar la tecnología.</w:t>
            </w:r>
          </w:p>
        </w:tc>
      </w:tr>
      <w:tr>
        <w:tc>
          <w:tcPr>
            <w:tcW w:type="dxa" w:w="4649"/>
            <w:shd w:val="clear" w:color="auto" w:fill="F2F5F4"/>
          </w:tcPr>
          <w:p>
            <w:pPr>
              <w:spacing w:after="60"/>
            </w:pPr>
            <w:r>
              <w:rPr>
                <w:b/>
                <w:color w:val="56676A"/>
              </w:rPr>
            </w:r>
            <w:r>
              <w:rPr>
                <w:b/>
                <w:color w:val="56676A"/>
                <w:sz w:val="20"/>
              </w:rPr>
              <w:t>Permiso del cliente</w:t>
            </w:r>
          </w:p>
        </w:tc>
        <w:tc>
          <w:tcPr>
            <w:tcW w:type="dxa" w:w="10148"/>
          </w:tcPr>
          <w:p>
            <w:pPr>
              <w:spacing w:after="60"/>
            </w:pPr>
            <w:r/>
            <w:r>
              <w:rPr>
                <w:b w:val="0"/>
                <w:sz w:val="20"/>
              </w:rPr>
              <w:t>Confirmar con QRM que la carta contrato con PedidosYa permite procesar su catálogo con un proveedor de IA externo. Es la pregunta que más pesa en la revisión.</w:t>
            </w:r>
          </w:p>
        </w:tc>
      </w:tr>
      <w:tr>
        <w:tc>
          <w:tcPr>
            <w:tcW w:type="dxa" w:w="4649"/>
            <w:shd w:val="clear" w:color="auto" w:fill="F2F5F4"/>
          </w:tcPr>
          <w:p>
            <w:pPr>
              <w:spacing w:after="60"/>
            </w:pPr>
            <w:r>
              <w:rPr>
                <w:b/>
                <w:color w:val="56676A"/>
              </w:rPr>
            </w:r>
            <w:r>
              <w:rPr>
                <w:b/>
                <w:color w:val="56676A"/>
                <w:sz w:val="20"/>
              </w:rPr>
              <w:t>Repositorio de código</w:t>
            </w:r>
          </w:p>
        </w:tc>
        <w:tc>
          <w:tcPr>
            <w:tcW w:type="dxa" w:w="10148"/>
          </w:tcPr>
          <w:p>
            <w:pPr>
              <w:spacing w:after="60"/>
            </w:pPr>
            <w:r/>
            <w:r>
              <w:rPr>
                <w:b w:val="0"/>
                <w:sz w:val="20"/>
              </w:rPr>
              <w:t>Los Excel del catálogo del cliente están subidos a github.com/Augustorombola/PEYA, una cuenta personal. Conviene mover el código a un repositorio de Deloitte y sacar los datos del cliente de GitHub antes de la revisión.</w:t>
            </w:r>
          </w:p>
        </w:tc>
      </w:tr>
      <w:tr>
        <w:tc>
          <w:tcPr>
            <w:tcW w:type="dxa" w:w="4649"/>
            <w:shd w:val="clear" w:color="auto" w:fill="F2F5F4"/>
          </w:tcPr>
          <w:p>
            <w:pPr>
              <w:spacing w:after="60"/>
            </w:pPr>
            <w:r>
              <w:rPr>
                <w:b/>
                <w:color w:val="56676A"/>
              </w:rPr>
            </w:r>
            <w:r>
              <w:rPr>
                <w:b/>
                <w:color w:val="56676A"/>
                <w:sz w:val="20"/>
              </w:rPr>
              <w:t>Aprobación automática</w:t>
            </w:r>
          </w:p>
        </w:tc>
        <w:tc>
          <w:tcPr>
            <w:tcW w:type="dxa" w:w="10148"/>
          </w:tcPr>
          <w:p>
            <w:pPr>
              <w:spacing w:after="60"/>
            </w:pPr>
            <w:r/>
            <w:r>
              <w:rPr>
                <w:b w:val="0"/>
                <w:sz w:val="20"/>
              </w:rPr>
              <w:t>Hoy la herramienta aprueba sola un cambio de clasificación cuando dos modelos distintos coinciden, y manda a revisión humana el resto. El formulario pone mucho peso en la supervisión humana. Las respuestas de abajo agregan que el equipo revisa el reporte antes de aplicar cambios y antes de entregarlo al cliente; confirmar que el proceso va a ser así.</w:t>
            </w:r>
          </w:p>
        </w:tc>
      </w:tr>
      <w:tr>
        <w:tc>
          <w:tcPr>
            <w:tcW w:type="dxa" w:w="4649"/>
            <w:shd w:val="clear" w:color="auto" w:fill="F2F5F4"/>
          </w:tcPr>
          <w:p>
            <w:pPr>
              <w:spacing w:after="60"/>
            </w:pPr>
            <w:r>
              <w:rPr>
                <w:b/>
                <w:color w:val="56676A"/>
              </w:rPr>
            </w:r>
            <w:r>
              <w:rPr>
                <w:b/>
                <w:color w:val="56676A"/>
                <w:sz w:val="20"/>
              </w:rPr>
              <w:t>Búsqueda web</w:t>
            </w:r>
          </w:p>
        </w:tc>
        <w:tc>
          <w:tcPr>
            <w:tcW w:type="dxa" w:w="10148"/>
          </w:tcPr>
          <w:p>
            <w:pPr>
              <w:spacing w:after="60"/>
            </w:pPr>
            <w:r/>
            <w:r>
              <w:rPr>
                <w:b w:val="0"/>
                <w:sz w:val="20"/>
              </w:rPr>
              <w:t>Para los productos que la IA no reconoce, la herramienta usa la búsqueda web del proveedor con el nombre del producto. Confirmar si está permitido; si no, se desactiva y esos productos van directo a revisión humana.</w:t>
            </w:r>
          </w:p>
        </w:tc>
      </w:tr>
      <w:tr>
        <w:tc>
          <w:tcPr>
            <w:tcW w:type="dxa" w:w="4649"/>
            <w:shd w:val="clear" w:color="auto" w:fill="F2F5F4"/>
          </w:tcPr>
          <w:p>
            <w:pPr>
              <w:spacing w:after="60"/>
            </w:pPr>
            <w:r>
              <w:rPr>
                <w:b/>
                <w:color w:val="56676A"/>
              </w:rPr>
            </w:r>
            <w:r>
              <w:rPr>
                <w:b/>
                <w:color w:val="56676A"/>
                <w:sz w:val="20"/>
              </w:rPr>
              <w:t>Ubicación y retención</w:t>
            </w:r>
          </w:p>
        </w:tc>
        <w:tc>
          <w:tcPr>
            <w:tcW w:type="dxa" w:w="10148"/>
          </w:tcPr>
          <w:p>
            <w:pPr>
              <w:spacing w:after="60"/>
            </w:pPr>
            <w:r/>
            <w:r>
              <w:rPr>
                <w:b w:val="0"/>
                <w:sz w:val="20"/>
              </w:rPr>
              <w:t>País de la oficina donde se procesa, región de procesamiento del proveedor y plazo de retención de archivos. Confirmar con IT si el contrato de la API incluye retención cero de datos.</w:t>
            </w:r>
          </w:p>
        </w:tc>
      </w:tr>
      <w:tr>
        <w:tc>
          <w:tcPr>
            <w:tcW w:type="dxa" w:w="4649"/>
            <w:shd w:val="clear" w:color="auto" w:fill="F2F5F4"/>
          </w:tcPr>
          <w:p>
            <w:pPr>
              <w:spacing w:after="60"/>
            </w:pPr>
            <w:r>
              <w:rPr>
                <w:b/>
                <w:color w:val="56676A"/>
              </w:rPr>
            </w:r>
            <w:r>
              <w:rPr>
                <w:b/>
                <w:color w:val="56676A"/>
                <w:sz w:val="20"/>
              </w:rPr>
              <w:t>Tabla de alícuotas</w:t>
            </w:r>
          </w:p>
        </w:tc>
        <w:tc>
          <w:tcPr>
            <w:tcW w:type="dxa" w:w="10148"/>
          </w:tcPr>
          <w:p>
            <w:pPr>
              <w:spacing w:after="60"/>
            </w:pPr>
            <w:r/>
            <w:r>
              <w:rPr>
                <w:b w:val="0"/>
                <w:sz w:val="20"/>
              </w:rPr>
              <w:t>Confirmar quién arma y mantiene la tabla de alícuotas por país (especialistas de Deloitte o del cliente). Las respuestas dicen «especialistas tributarios» sin especificar.</w:t>
            </w:r>
          </w:p>
        </w:tc>
      </w:tr>
      <w:tr>
        <w:tc>
          <w:tcPr>
            <w:tcW w:type="dxa" w:w="4649"/>
            <w:shd w:val="clear" w:color="auto" w:fill="F2F5F4"/>
          </w:tcPr>
          <w:p>
            <w:pPr>
              <w:spacing w:after="60"/>
            </w:pPr>
            <w:r>
              <w:rPr>
                <w:b/>
                <w:color w:val="56676A"/>
              </w:rPr>
            </w:r>
            <w:r>
              <w:rPr>
                <w:b/>
                <w:color w:val="56676A"/>
                <w:sz w:val="20"/>
              </w:rPr>
              <w:t>Entrega al cliente</w:t>
            </w:r>
          </w:p>
        </w:tc>
        <w:tc>
          <w:tcPr>
            <w:tcW w:type="dxa" w:w="10148"/>
          </w:tcPr>
          <w:p>
            <w:pPr>
              <w:spacing w:after="60"/>
            </w:pPr>
            <w:r/>
            <w:r>
              <w:rPr>
                <w:b w:val="0"/>
                <w:sz w:val="20"/>
              </w:rPr>
              <w:t>Confirmar si el reporte de diferencias de alícuota se entrega a PedidosYa. Las respuestas asumen que sí, después de la revisión del equipo.</w:t>
            </w:r>
          </w:p>
        </w:tc>
      </w:tr>
    </w:tbl>
    <w:p/>
    <w:p>
      <w:pPr>
        <w:pStyle w:val="Heading1"/>
      </w:pPr>
      <w:r>
        <w:t>Parte 1: Contexto del caso de uso</w:t>
      </w:r>
    </w:p>
    <w:p>
      <w:pPr>
        <w:pStyle w:val="Heading2"/>
      </w:pPr>
      <w:r>
        <w:t>Servicios propuestos</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Describa el alcance general, los objetivos del proyecto y los servicios que se brindarán al tiempo que subraya los beneficios de usar IA.</w:t>
            </w:r>
          </w:p>
        </w:tc>
        <w:tc>
          <w:tcPr>
            <w:tcW w:type="dxa" w:w="10148"/>
          </w:tcPr>
          <w:p>
            <w:pPr>
              <w:spacing w:after="60"/>
            </w:pPr>
            <w:r/>
            <w:r>
              <w:rPr>
                <w:b w:val="0"/>
                <w:sz w:val="20"/>
              </w:rPr>
              <w:t>El proyecto consiste en una herramienta interna desarrollada en Python que utiliza modelos de IA generativa, a través de la API de Anthropic (Claude) u OpenAI (GPT), para clasificar los productos del catálogo de PedidosYa Market en su categoría fiscal y comparar la alícuota que corresponde con la alícuota declarada por el cliente. El catálogo tiene aproximadamente 128.000 productos únicos en 13 países de LATAM, y la taxonomía fiscal tiene 22 grupos con cuatro niveles (Grupo, Familia, Subfamilia y Subgrupo).</w:t>
            </w:r>
          </w:p>
          <w:p>
            <w:pPr>
              <w:spacing w:after="60"/>
            </w:pPr>
            <w:r>
              <w:rPr>
                <w:b w:val="0"/>
                <w:sz w:val="20"/>
              </w:rPr>
              <w:t>La herramienta realiza una clasificación inicial de todo el catálogo y luego procesa cada 15 días la entrega del cliente, con un volumen estimado de 1.200 productos nuevos (a confirmar con la primera entrega real). Como resultado genera un reporte en Excel con las diferencias de alícuota para la revisión del equipo de Deloitte.</w:t>
            </w:r>
          </w:p>
          <w:p>
            <w:pPr>
              <w:spacing w:after="60"/>
            </w:pPr>
            <w:r>
              <w:rPr>
                <w:b w:val="0"/>
                <w:sz w:val="20"/>
              </w:rPr>
              <w:t>El alcance se limita a clasificar productos a partir de su nombre, país y proveedor, y a identificar diferencias de alícuota. La herramienta no determina la posición tributaria del cliente ni reemplaza el juicio profesional: los resultados son revisados por el equipo de Deloitte antes de su utilización.</w:t>
            </w:r>
          </w:p>
          <w:p>
            <w:pPr>
              <w:spacing w:after="60"/>
            </w:pPr>
            <w:r>
              <w:rPr>
                <w:b w:val="0"/>
                <w:sz w:val="20"/>
              </w:rPr>
              <w:t>Beneficios: hoy la clasificación se hace con un motor de reglas por palabras clave que acierta el 94,4% en productos sin ambigüedad y se equivoca con nombres engañosos (por ejemplo, «papas sabor queso» clasificadas como lácteo). Sobre 128.000 productos, ese margen representa miles de clasificaciones incorrectas con posible impacto fiscal. El uso de IA busca superar ese nivel de precisión, que se medirá en una prueba piloto contra un conjunto de productos con respuesta conocida; reducir el tiempo de revisión manual; concentrar la revisión humana en los casos dudosos y en los que cambian la alícuota; y detectar diferencias de alícuota de forma sistemática en cada entrega.</w:t>
            </w:r>
          </w:p>
        </w:tc>
      </w:tr>
      <w:tr>
        <w:tc>
          <w:tcPr>
            <w:tcW w:type="dxa" w:w="4649"/>
            <w:shd w:val="clear" w:color="auto" w:fill="F2F5F4"/>
          </w:tcPr>
          <w:p>
            <w:pPr>
              <w:spacing w:after="60"/>
            </w:pPr>
            <w:r>
              <w:rPr>
                <w:b/>
                <w:color w:val="56676A"/>
              </w:rPr>
            </w:r>
            <w:r>
              <w:rPr>
                <w:b/>
                <w:color w:val="56676A"/>
                <w:sz w:val="20"/>
              </w:rPr>
              <w:t>Plazo</w:t>
            </w:r>
          </w:p>
        </w:tc>
        <w:tc>
          <w:tcPr>
            <w:tcW w:type="dxa" w:w="10148"/>
          </w:tcPr>
          <w:p>
            <w:pPr>
              <w:spacing w:after="60"/>
            </w:pPr>
            <w:r/>
            <w:r>
              <w:rPr>
                <w:b w:val="0"/>
                <w:sz w:val="20"/>
              </w:rPr>
              <w:t>Prueba piloto con 200 productos inmediatamente después de la aprobación; clasificación completa del catálogo a continuación; y luego el ciclo quincenal recurrente.</w:t>
            </w:r>
          </w:p>
          <w:p>
            <w:pPr>
              <w:spacing w:after="60"/>
            </w:pPr>
            <w:r>
              <w:rPr>
                <w:b/>
                <w:color w:val="9A6212"/>
                <w:sz w:val="19"/>
              </w:rPr>
              <w:t xml:space="preserve">A CONFIRMAR: </w:t>
            </w:r>
            <w:r>
              <w:rPr>
                <w:i/>
                <w:color w:val="9A6212"/>
                <w:sz w:val="19"/>
              </w:rPr>
              <w:t>fechas comprometidas con el cliente.</w:t>
            </w:r>
          </w:p>
        </w:tc>
      </w:tr>
      <w:tr>
        <w:tc>
          <w:tcPr>
            <w:tcW w:type="dxa" w:w="4649"/>
            <w:shd w:val="clear" w:color="auto" w:fill="F2F5F4"/>
          </w:tcPr>
          <w:p>
            <w:pPr>
              <w:spacing w:after="60"/>
            </w:pPr>
            <w:r>
              <w:rPr>
                <w:b/>
                <w:color w:val="56676A"/>
              </w:rPr>
            </w:r>
            <w:r>
              <w:rPr>
                <w:b/>
                <w:color w:val="56676A"/>
                <w:sz w:val="20"/>
              </w:rPr>
              <w:t>¿En qué etapa del ciclo de vida del proyecto se encuentra actualmente?</w:t>
            </w:r>
          </w:p>
        </w:tc>
        <w:tc>
          <w:tcPr>
            <w:tcW w:type="dxa" w:w="10148"/>
          </w:tcPr>
          <w:p>
            <w:pPr>
              <w:spacing w:after="60"/>
            </w:pPr>
            <w:r/>
            <w:r>
              <w:rPr>
                <w:b w:val="0"/>
                <w:sz w:val="20"/>
              </w:rPr>
              <w:t>Desarrollo de la solución. El código está construido y probado con un proveedor de IA simulado, sin datos enviados a terceros (64 pruebas automáticas). Falta la prueba con la API real, que depende de esta aprobación.</w:t>
            </w:r>
          </w:p>
        </w:tc>
      </w:tr>
    </w:tbl>
    <w:p/>
    <w:p>
      <w:pPr>
        <w:pStyle w:val="Heading2"/>
      </w:pPr>
      <w:r>
        <w:t>Triaje: antecedentes del proyecto</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Nombre del solicitante</w:t>
            </w:r>
          </w:p>
        </w:tc>
        <w:tc>
          <w:tcPr>
            <w:tcW w:type="dxa" w:w="10148"/>
          </w:tcPr>
          <w:p>
            <w:pPr>
              <w:spacing w:after="60"/>
            </w:pPr>
            <w:r/>
            <w:r>
              <w:rPr>
                <w:b/>
                <w:color w:val="9A6212"/>
                <w:sz w:val="19"/>
              </w:rPr>
              <w:t xml:space="preserve">A CONFIRMAR: </w:t>
            </w:r>
            <w:r>
              <w:rPr>
                <w:i/>
                <w:color w:val="9A6212"/>
                <w:sz w:val="19"/>
              </w:rPr>
              <w:t>nombre completo del solicitante.</w:t>
            </w:r>
          </w:p>
        </w:tc>
      </w:tr>
      <w:tr>
        <w:tc>
          <w:tcPr>
            <w:tcW w:type="dxa" w:w="4649"/>
            <w:shd w:val="clear" w:color="auto" w:fill="F2F5F4"/>
          </w:tcPr>
          <w:p>
            <w:pPr>
              <w:spacing w:after="60"/>
            </w:pPr>
            <w:r>
              <w:rPr>
                <w:b/>
                <w:color w:val="56676A"/>
              </w:rPr>
            </w:r>
            <w:r>
              <w:rPr>
                <w:b/>
                <w:color w:val="56676A"/>
                <w:sz w:val="20"/>
              </w:rPr>
              <w:t>Nombre del Socio responsable o patrocinador</w:t>
            </w:r>
          </w:p>
        </w:tc>
        <w:tc>
          <w:tcPr>
            <w:tcW w:type="dxa" w:w="10148"/>
          </w:tcPr>
          <w:p>
            <w:pPr>
              <w:spacing w:after="60"/>
            </w:pPr>
            <w:r/>
            <w:r>
              <w:rPr>
                <w:b/>
                <w:color w:val="9A6212"/>
                <w:sz w:val="19"/>
              </w:rPr>
              <w:t xml:space="preserve">A CONFIRMAR: </w:t>
            </w:r>
            <w:r>
              <w:rPr>
                <w:i/>
                <w:color w:val="9A6212"/>
                <w:sz w:val="19"/>
              </w:rPr>
              <w:t>socio responsable.</w:t>
            </w:r>
          </w:p>
        </w:tc>
      </w:tr>
      <w:tr>
        <w:tc>
          <w:tcPr>
            <w:tcW w:type="dxa" w:w="4649"/>
            <w:shd w:val="clear" w:color="auto" w:fill="F2F5F4"/>
          </w:tcPr>
          <w:p>
            <w:pPr>
              <w:spacing w:after="60"/>
            </w:pPr>
            <w:r>
              <w:rPr>
                <w:b/>
                <w:color w:val="56676A"/>
              </w:rPr>
            </w:r>
            <w:r>
              <w:rPr>
                <w:b/>
                <w:color w:val="56676A"/>
                <w:sz w:val="20"/>
              </w:rPr>
              <w:t>Nombre de la persona experta en IA consultada (si aplica)</w:t>
            </w:r>
          </w:p>
        </w:tc>
        <w:tc>
          <w:tcPr>
            <w:tcW w:type="dxa" w:w="10148"/>
          </w:tcPr>
          <w:p>
            <w:pPr>
              <w:spacing w:after="60"/>
            </w:pPr>
            <w:r/>
            <w:r>
              <w:rPr>
                <w:b/>
                <w:color w:val="9A6212"/>
                <w:sz w:val="19"/>
              </w:rPr>
              <w:t xml:space="preserve">A CONFIRMAR: </w:t>
            </w:r>
            <w:r>
              <w:rPr>
                <w:i/>
                <w:color w:val="9A6212"/>
                <w:sz w:val="19"/>
              </w:rPr>
              <w:t>nombre, o «No aplica».</w:t>
            </w:r>
          </w:p>
        </w:tc>
      </w:tr>
      <w:tr>
        <w:tc>
          <w:tcPr>
            <w:tcW w:type="dxa" w:w="4649"/>
            <w:shd w:val="clear" w:color="auto" w:fill="F2F5F4"/>
          </w:tcPr>
          <w:p>
            <w:pPr>
              <w:spacing w:after="60"/>
            </w:pPr>
            <w:r>
              <w:rPr>
                <w:b/>
                <w:color w:val="56676A"/>
              </w:rPr>
            </w:r>
            <w:r>
              <w:rPr>
                <w:b/>
                <w:color w:val="56676A"/>
                <w:sz w:val="20"/>
              </w:rPr>
              <w:t>Nivel de Riesgo asignado en Evaluación de umbral de riesgo IA (Triaje)</w:t>
            </w:r>
          </w:p>
        </w:tc>
        <w:tc>
          <w:tcPr>
            <w:tcW w:type="dxa" w:w="10148"/>
          </w:tcPr>
          <w:p>
            <w:pPr>
              <w:spacing w:after="60"/>
            </w:pPr>
            <w:r/>
            <w:r>
              <w:rPr>
                <w:b/>
                <w:color w:val="9A6212"/>
                <w:sz w:val="19"/>
              </w:rPr>
              <w:t xml:space="preserve">A CONFIRMAR: </w:t>
            </w:r>
            <w:r>
              <w:rPr>
                <w:i/>
                <w:color w:val="9A6212"/>
                <w:sz w:val="19"/>
              </w:rPr>
              <w:t>resultado del triaje. Por el tipo de datos (confidenciales del cliente, sin datos personales) es esperable un nivel medio.</w:t>
            </w:r>
          </w:p>
        </w:tc>
      </w:tr>
      <w:tr>
        <w:tc>
          <w:tcPr>
            <w:tcW w:type="dxa" w:w="4649"/>
            <w:shd w:val="clear" w:color="auto" w:fill="F2F5F4"/>
          </w:tcPr>
          <w:p>
            <w:pPr>
              <w:spacing w:after="60"/>
            </w:pPr>
            <w:r>
              <w:rPr>
                <w:b/>
                <w:color w:val="56676A"/>
              </w:rPr>
            </w:r>
            <w:r>
              <w:rPr>
                <w:b/>
                <w:color w:val="56676A"/>
                <w:sz w:val="20"/>
              </w:rPr>
              <w:t>¿Qué escenario de caso de uso se adapta mejor a su objetivo?</w:t>
            </w:r>
          </w:p>
        </w:tc>
        <w:tc>
          <w:tcPr>
            <w:tcW w:type="dxa" w:w="10148"/>
          </w:tcPr>
          <w:p>
            <w:pPr>
              <w:spacing w:after="60"/>
            </w:pPr>
            <w:r/>
            <w:r>
              <w:rPr>
                <w:b w:val="0"/>
                <w:sz w:val="20"/>
              </w:rPr>
              <w:t>Marcar con X: «Quiero usar IA para mejorar la entrega de un compromiso existente en un cliente».</w:t>
            </w:r>
          </w:p>
          <w:p>
            <w:pPr>
              <w:spacing w:after="60"/>
            </w:pPr>
            <w:r>
              <w:rPr>
                <w:b/>
                <w:color w:val="9A6212"/>
                <w:sz w:val="19"/>
              </w:rPr>
              <w:t xml:space="preserve">A CONFIRMAR: </w:t>
            </w:r>
            <w:r>
              <w:rPr>
                <w:i/>
                <w:color w:val="9A6212"/>
                <w:sz w:val="19"/>
              </w:rPr>
              <w:t>si el servicio se piensa ofrecer a otros clientes, marcar también «Quiero usar IA para desarrollar una oferta/servicio de Deloitte».</w:t>
            </w:r>
          </w:p>
        </w:tc>
      </w:tr>
    </w:tbl>
    <w:p/>
    <w:p>
      <w:pPr>
        <w:pStyle w:val="Heading2"/>
      </w:pPr>
      <w:r>
        <w:t>Acerca de la tecnología y la solución</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¿Qué tecnología de IA se utilizará?</w:t>
            </w:r>
          </w:p>
        </w:tc>
        <w:tc>
          <w:tcPr>
            <w:tcW w:type="dxa" w:w="10148"/>
          </w:tcPr>
          <w:p>
            <w:pPr>
              <w:spacing w:after="60"/>
            </w:pPr>
            <w:r/>
            <w:r>
              <w:rPr>
                <w:b w:val="0"/>
                <w:sz w:val="20"/>
              </w:rPr>
              <w:t>Modelos de lenguaje de Anthropic (Claude Haiku 4.5, Claude Sonnet 5 y Claude Opus 5) y/o de OpenAI (GPT-5), accedidos por API. La herramienta puede trabajar con cualquiera de los dos proveedores; el proveedor y los modelos se definen por configuración, sin cambiar el código. Para productos que no se pueden identificar por el nombre, se usa la herramienta de búsqueda web del proveedor.</w:t>
            </w:r>
          </w:p>
          <w:p>
            <w:pPr>
              <w:spacing w:after="60"/>
            </w:pPr>
            <w:r>
              <w:rPr>
                <w:b/>
                <w:color w:val="9A6212"/>
                <w:sz w:val="19"/>
              </w:rPr>
              <w:t xml:space="preserve">A CONFIRMAR: </w:t>
            </w:r>
            <w:r>
              <w:rPr>
                <w:i/>
                <w:color w:val="9A6212"/>
                <w:sz w:val="19"/>
              </w:rPr>
              <w:t>proveedor que se solicita.</w:t>
            </w:r>
          </w:p>
        </w:tc>
      </w:tr>
      <w:tr>
        <w:tc>
          <w:tcPr>
            <w:tcW w:type="dxa" w:w="4649"/>
            <w:shd w:val="clear" w:color="auto" w:fill="F2F5F4"/>
          </w:tcPr>
          <w:p>
            <w:pPr>
              <w:spacing w:after="60"/>
            </w:pPr>
            <w:r>
              <w:rPr>
                <w:b/>
                <w:color w:val="56676A"/>
              </w:rPr>
            </w:r>
            <w:r>
              <w:rPr>
                <w:b/>
                <w:color w:val="56676A"/>
                <w:sz w:val="20"/>
              </w:rPr>
              <w:t>¿En qué acuerdo se proporciona la tecnología de IA y los datos asociados?</w:t>
            </w:r>
          </w:p>
        </w:tc>
        <w:tc>
          <w:tcPr>
            <w:tcW w:type="dxa" w:w="10148"/>
          </w:tcPr>
          <w:p>
            <w:pPr>
              <w:spacing w:after="60"/>
            </w:pPr>
            <w:r/>
            <w:r>
              <w:rPr>
                <w:b w:val="0"/>
                <w:sz w:val="20"/>
              </w:rPr>
              <w:t>Contrato comercial de uso de la API entre Deloitte y el proveedor (Anthropic u OpenAI), bajo los términos comerciales de la API.</w:t>
            </w:r>
          </w:p>
          <w:p>
            <w:pPr>
              <w:spacing w:after="60"/>
            </w:pPr>
            <w:r>
              <w:rPr>
                <w:b/>
                <w:color w:val="9A6212"/>
                <w:sz w:val="19"/>
              </w:rPr>
              <w:t xml:space="preserve">A CONFIRMAR: </w:t>
            </w:r>
            <w:r>
              <w:rPr>
                <w:i/>
                <w:color w:val="9A6212"/>
                <w:sz w:val="19"/>
              </w:rPr>
              <w:t>acuerdo vigente con IT/Compras.</w:t>
            </w:r>
          </w:p>
        </w:tc>
      </w:tr>
      <w:tr>
        <w:tc>
          <w:tcPr>
            <w:tcW w:type="dxa" w:w="4649"/>
            <w:shd w:val="clear" w:color="auto" w:fill="F2F5F4"/>
          </w:tcPr>
          <w:p>
            <w:pPr>
              <w:spacing w:after="60"/>
            </w:pPr>
            <w:r>
              <w:rPr>
                <w:b/>
                <w:color w:val="56676A"/>
              </w:rPr>
            </w:r>
            <w:r>
              <w:rPr>
                <w:b/>
                <w:color w:val="56676A"/>
                <w:sz w:val="20"/>
              </w:rPr>
              <w:t>¿Cuáles son los inputs para la solución de IA? (datos de entrenamiento, fine-tuning, prompts; modalidad)</w:t>
            </w:r>
          </w:p>
        </w:tc>
        <w:tc>
          <w:tcPr>
            <w:tcW w:type="dxa" w:w="10148"/>
          </w:tcPr>
          <w:p>
            <w:pPr>
              <w:spacing w:after="60"/>
            </w:pPr>
            <w:r/>
            <w:r>
              <w:rPr>
                <w:b w:val="0"/>
                <w:sz w:val="20"/>
              </w:rPr>
              <w:t>Prompts de texto. No hay entrenamiento ni fine-tuning de modelos.</w:t>
            </w:r>
          </w:p>
          <w:p>
            <w:pPr>
              <w:spacing w:after="60"/>
            </w:pPr>
            <w:r>
              <w:rPr>
                <w:b w:val="0"/>
                <w:sz w:val="20"/>
              </w:rPr>
              <w:t>Cada consulta incluye las instrucciones de clasificación, la lista cerrada de categorías fiscales válidas y, por cada producto, su nombre y país. En el ciclo quincenal se agrega el nombre de la empresa proveedora del producto. Los productos se envían en lotes de hasta 75.</w:t>
            </w:r>
          </w:p>
          <w:p>
            <w:pPr>
              <w:spacing w:after="60"/>
            </w:pPr>
            <w:r>
              <w:rPr>
                <w:b w:val="0"/>
                <w:sz w:val="20"/>
              </w:rPr>
              <w:t>No se envían precios, códigos internos, datos de personas ni otros campos del catálogo.</w:t>
            </w:r>
          </w:p>
        </w:tc>
      </w:tr>
      <w:tr>
        <w:tc>
          <w:tcPr>
            <w:tcW w:type="dxa" w:w="4649"/>
            <w:shd w:val="clear" w:color="auto" w:fill="F2F5F4"/>
          </w:tcPr>
          <w:p>
            <w:pPr>
              <w:spacing w:after="60"/>
            </w:pPr>
            <w:r>
              <w:rPr>
                <w:b/>
                <w:color w:val="56676A"/>
              </w:rPr>
            </w:r>
            <w:r>
              <w:rPr>
                <w:b/>
                <w:color w:val="56676A"/>
                <w:sz w:val="20"/>
              </w:rPr>
              <w:t>¿Cuál es el resultado producido y cómo se utilizará?</w:t>
            </w:r>
          </w:p>
        </w:tc>
        <w:tc>
          <w:tcPr>
            <w:tcW w:type="dxa" w:w="10148"/>
          </w:tcPr>
          <w:p>
            <w:pPr>
              <w:spacing w:after="60"/>
            </w:pPr>
            <w:r/>
            <w:r>
              <w:rPr>
                <w:b w:val="0"/>
                <w:sz w:val="20"/>
              </w:rPr>
              <w:t>Para cada producto, una clasificación fiscal elegida de la lista cerrada de categorías, o la indicación de que no se pudo determinar y el motivo.</w:t>
            </w:r>
          </w:p>
          <w:p>
            <w:pPr>
              <w:spacing w:after="60"/>
            </w:pPr>
            <w:r>
              <w:rPr>
                <w:b w:val="0"/>
                <w:sz w:val="20"/>
              </w:rPr>
              <w:t>Con esa clasificación y la tabla de alícuotas por país definida por especialistas tributarios, la herramienta genera un reporte en Excel con las diferencias entre la alícuota que corresponde y la declarada por el cliente. El equipo de Deloitte revisa el reporte y lo usa para el servicio de revisión de cumplimiento del cliente.</w:t>
            </w:r>
          </w:p>
        </w:tc>
      </w:tr>
      <w:tr>
        <w:tc>
          <w:tcPr>
            <w:tcW w:type="dxa" w:w="4649"/>
            <w:shd w:val="clear" w:color="auto" w:fill="F2F5F4"/>
          </w:tcPr>
          <w:p>
            <w:pPr>
              <w:spacing w:after="60"/>
            </w:pPr>
            <w:r>
              <w:rPr>
                <w:b/>
                <w:color w:val="56676A"/>
              </w:rPr>
            </w:r>
            <w:r>
              <w:rPr>
                <w:b/>
                <w:color w:val="56676A"/>
                <w:sz w:val="20"/>
              </w:rPr>
              <w:t>¿Utilizará una API o prompts para interactuar con la solución de IA?</w:t>
            </w:r>
          </w:p>
        </w:tc>
        <w:tc>
          <w:tcPr>
            <w:tcW w:type="dxa" w:w="10148"/>
          </w:tcPr>
          <w:p>
            <w:pPr>
              <w:spacing w:after="60"/>
            </w:pPr>
            <w:r/>
            <w:r>
              <w:rPr>
                <w:b w:val="0"/>
                <w:sz w:val="20"/>
              </w:rPr>
              <w:t>API: llamadas programáticas desde scripts en Python, incluida la Batch API para procesar lotes grandes de forma asincrónica.</w:t>
            </w:r>
          </w:p>
        </w:tc>
      </w:tr>
      <w:tr>
        <w:tc>
          <w:tcPr>
            <w:tcW w:type="dxa" w:w="4649"/>
            <w:shd w:val="clear" w:color="auto" w:fill="F2F5F4"/>
          </w:tcPr>
          <w:p>
            <w:pPr>
              <w:spacing w:after="60"/>
            </w:pPr>
            <w:r>
              <w:rPr>
                <w:b/>
                <w:color w:val="56676A"/>
              </w:rPr>
            </w:r>
            <w:r>
              <w:rPr>
                <w:b/>
                <w:color w:val="56676A"/>
                <w:sz w:val="20"/>
              </w:rPr>
              <w:t>¿Dónde se alojará la tecnología y la solución de IA?</w:t>
            </w:r>
          </w:p>
        </w:tc>
        <w:tc>
          <w:tcPr>
            <w:tcW w:type="dxa" w:w="10148"/>
          </w:tcPr>
          <w:p>
            <w:pPr>
              <w:spacing w:after="60"/>
            </w:pPr>
            <w:r/>
            <w:r>
              <w:rPr>
                <w:b w:val="0"/>
                <w:sz w:val="20"/>
              </w:rPr>
              <w:t>Marcar: Entorno de Deloitte y Entorno de un Tercero.</w:t>
            </w:r>
          </w:p>
          <w:p>
            <w:pPr>
              <w:spacing w:after="60"/>
            </w:pPr>
            <w:r>
              <w:rPr>
                <w:b w:val="0"/>
                <w:sz w:val="20"/>
              </w:rPr>
              <w:t>Los scripts y los archivos de datos se ejecutan y guardan en equipos de Deloitte. Los modelos de IA se ejecutan en la infraestructura del proveedor (Anthropic u OpenAI), que procesa las consultas.</w:t>
            </w:r>
          </w:p>
        </w:tc>
      </w:tr>
      <w:tr>
        <w:tc>
          <w:tcPr>
            <w:tcW w:type="dxa" w:w="4649"/>
            <w:shd w:val="clear" w:color="auto" w:fill="F2F5F4"/>
          </w:tcPr>
          <w:p>
            <w:pPr>
              <w:spacing w:after="60"/>
            </w:pPr>
            <w:r>
              <w:rPr>
                <w:b/>
                <w:color w:val="56676A"/>
              </w:rPr>
            </w:r>
            <w:r>
              <w:rPr>
                <w:b/>
                <w:color w:val="56676A"/>
                <w:sz w:val="20"/>
              </w:rPr>
              <w:t>¿Cómo se accederá a la tecnología y solución de IA?</w:t>
            </w:r>
          </w:p>
        </w:tc>
        <w:tc>
          <w:tcPr>
            <w:tcW w:type="dxa" w:w="10148"/>
          </w:tcPr>
          <w:p>
            <w:pPr>
              <w:spacing w:after="60"/>
            </w:pPr>
            <w:r/>
            <w:r>
              <w:rPr>
                <w:b w:val="0"/>
                <w:sz w:val="20"/>
              </w:rPr>
              <w:t>Marcar: Laptop estándar de Deloitte.</w:t>
            </w:r>
          </w:p>
        </w:tc>
      </w:tr>
    </w:tbl>
    <w:p/>
    <w:p>
      <w:pPr>
        <w:pStyle w:val="Heading2"/>
      </w:pPr>
      <w:r>
        <w:t>Sobre los datos</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¿Qué tipos de datos se utilizan de entrada?</w:t>
            </w:r>
          </w:p>
        </w:tc>
        <w:tc>
          <w:tcPr>
            <w:tcW w:type="dxa" w:w="10148"/>
          </w:tcPr>
          <w:p>
            <w:pPr>
              <w:spacing w:after="60"/>
            </w:pPr>
            <w:r/>
            <w:r>
              <w:rPr>
                <w:b w:val="0"/>
                <w:sz w:val="20"/>
              </w:rPr>
              <w:t>Marcar: Datos confidenciales del Cliente.</w:t>
            </w:r>
          </w:p>
          <w:p>
            <w:pPr>
              <w:spacing w:after="60"/>
            </w:pPr>
            <w:r>
              <w:rPr>
                <w:b w:val="0"/>
                <w:sz w:val="20"/>
              </w:rPr>
              <w:t>Son datos del catálogo comercial del cliente: nombre del producto, país y nombre de la empresa proveedora. No incluyen datos personales.</w:t>
            </w:r>
          </w:p>
          <w:p>
            <w:pPr>
              <w:spacing w:after="60"/>
            </w:pPr>
            <w:r>
              <w:rPr>
                <w:b w:val="0"/>
                <w:sz w:val="20"/>
              </w:rPr>
              <w:t>CONFIRMAR con QRM si los nombres de las empresas proveedoras del cliente deben marcarse además como «Datos de terceros / Proveedor».</w:t>
            </w:r>
          </w:p>
        </w:tc>
      </w:tr>
      <w:tr>
        <w:tc>
          <w:tcPr>
            <w:tcW w:type="dxa" w:w="4649"/>
            <w:shd w:val="clear" w:color="auto" w:fill="F2F5F4"/>
          </w:tcPr>
          <w:p>
            <w:pPr>
              <w:spacing w:after="60"/>
            </w:pPr>
            <w:r>
              <w:rPr>
                <w:b/>
                <w:color w:val="56676A"/>
              </w:rPr>
            </w:r>
            <w:r>
              <w:rPr>
                <w:b/>
                <w:color w:val="56676A"/>
                <w:sz w:val="20"/>
              </w:rPr>
              <w:t>¿Los permisos o restricciones sobre los datos están alineados con los términos contractuales? ¿Tienen los permisos pertinentes?</w:t>
            </w:r>
          </w:p>
        </w:tc>
        <w:tc>
          <w:tcPr>
            <w:tcW w:type="dxa" w:w="10148"/>
          </w:tcPr>
          <w:p>
            <w:pPr>
              <w:spacing w:after="60"/>
            </w:pPr>
            <w:r/>
            <w:r>
              <w:rPr>
                <w:b w:val="0"/>
                <w:sz w:val="20"/>
              </w:rPr>
              <w:t>Los datos son el catálogo de productos que el cliente entrega a Deloitte en el marco del compromiso. Solo se envían al proveedor de IA los campos mínimos necesarios para clasificar.</w:t>
            </w:r>
          </w:p>
          <w:p>
            <w:pPr>
              <w:spacing w:after="60"/>
            </w:pPr>
            <w:r>
              <w:rPr>
                <w:b w:val="0"/>
                <w:sz w:val="20"/>
              </w:rPr>
              <w:t>CONFIRMAR con QRM: que la carta contrato con el cliente permite procesar estos datos con un proveedor de IA externo. No responder «Sí» sin esa confirmación.</w:t>
            </w:r>
          </w:p>
        </w:tc>
      </w:tr>
      <w:tr>
        <w:tc>
          <w:tcPr>
            <w:tcW w:type="dxa" w:w="4649"/>
            <w:shd w:val="clear" w:color="auto" w:fill="F2F5F4"/>
          </w:tcPr>
          <w:p>
            <w:pPr>
              <w:spacing w:after="60"/>
            </w:pPr>
            <w:r>
              <w:rPr>
                <w:b/>
                <w:color w:val="56676A"/>
              </w:rPr>
            </w:r>
            <w:r>
              <w:rPr>
                <w:b/>
                <w:color w:val="56676A"/>
                <w:sz w:val="20"/>
              </w:rPr>
              <w:t>¿Quién es el propietario de los datos de entrada?</w:t>
            </w:r>
          </w:p>
        </w:tc>
        <w:tc>
          <w:tcPr>
            <w:tcW w:type="dxa" w:w="10148"/>
          </w:tcPr>
          <w:p>
            <w:pPr>
              <w:spacing w:after="60"/>
            </w:pPr>
            <w:r/>
            <w:r>
              <w:rPr>
                <w:b w:val="0"/>
                <w:sz w:val="20"/>
              </w:rPr>
              <w:t>El cliente (PedidosYa) es propietario del catálogo de productos. La taxonomía fiscal es de Deloitte.</w:t>
            </w:r>
          </w:p>
          <w:p>
            <w:pPr>
              <w:spacing w:after="60"/>
            </w:pPr>
            <w:r>
              <w:rPr>
                <w:b/>
                <w:color w:val="9A6212"/>
                <w:sz w:val="19"/>
              </w:rPr>
              <w:t xml:space="preserve">A CONFIRMAR: </w:t>
            </w:r>
            <w:r>
              <w:rPr>
                <w:i/>
                <w:color w:val="9A6212"/>
                <w:sz w:val="19"/>
              </w:rPr>
              <w:t>propietario de la tabla de alícuotas (Deloitte o cliente).</w:t>
            </w:r>
          </w:p>
        </w:tc>
      </w:tr>
      <w:tr>
        <w:tc>
          <w:tcPr>
            <w:tcW w:type="dxa" w:w="4649"/>
            <w:shd w:val="clear" w:color="auto" w:fill="F2F5F4"/>
          </w:tcPr>
          <w:p>
            <w:pPr>
              <w:spacing w:after="60"/>
            </w:pPr>
            <w:r>
              <w:rPr>
                <w:b/>
                <w:color w:val="56676A"/>
              </w:rPr>
            </w:r>
            <w:r>
              <w:rPr>
                <w:b/>
                <w:color w:val="56676A"/>
                <w:sz w:val="20"/>
              </w:rPr>
              <w:t>¿En qué ubicación geográfica se procesarán, almacenarán o desde dónde se accederá a los datos?</w:t>
            </w:r>
          </w:p>
        </w:tc>
        <w:tc>
          <w:tcPr>
            <w:tcW w:type="dxa" w:w="10148"/>
          </w:tcPr>
          <w:p>
            <w:pPr>
              <w:spacing w:after="60"/>
            </w:pPr>
            <w:r/>
            <w:r>
              <w:rPr>
                <w:b w:val="0"/>
                <w:sz w:val="20"/>
              </w:rPr>
              <w:t>Los archivos se procesan y almacenan en equipos de Deloitte en &lt;país de la oficina&gt;. Las consultas al modelo se procesan en la infraestructura del proveedor de IA.</w:t>
            </w:r>
          </w:p>
          <w:p>
            <w:pPr>
              <w:spacing w:after="60"/>
            </w:pPr>
            <w:r>
              <w:rPr>
                <w:b/>
                <w:color w:val="9A6212"/>
                <w:sz w:val="19"/>
              </w:rPr>
              <w:t xml:space="preserve">A CONFIRMAR: </w:t>
            </w:r>
            <w:r>
              <w:rPr>
                <w:i/>
                <w:color w:val="9A6212"/>
                <w:sz w:val="19"/>
              </w:rPr>
              <w:t>país de la oficina y región de procesamiento del proveedor según el contrato.</w:t>
            </w:r>
          </w:p>
        </w:tc>
      </w:tr>
      <w:tr>
        <w:tc>
          <w:tcPr>
            <w:tcW w:type="dxa" w:w="4649"/>
            <w:shd w:val="clear" w:color="auto" w:fill="F2F5F4"/>
          </w:tcPr>
          <w:p>
            <w:pPr>
              <w:spacing w:after="60"/>
            </w:pPr>
            <w:r>
              <w:rPr>
                <w:b/>
                <w:color w:val="56676A"/>
              </w:rPr>
            </w:r>
            <w:r>
              <w:rPr>
                <w:b/>
                <w:color w:val="56676A"/>
                <w:sz w:val="20"/>
              </w:rPr>
              <w:t>¿Durante cuánto tiempo se conservarán los datos de entrada y salida y por quién?</w:t>
            </w:r>
          </w:p>
        </w:tc>
        <w:tc>
          <w:tcPr>
            <w:tcW w:type="dxa" w:w="10148"/>
          </w:tcPr>
          <w:p>
            <w:pPr>
              <w:spacing w:after="60"/>
            </w:pPr>
            <w:r/>
            <w:r>
              <w:rPr>
                <w:b w:val="0"/>
                <w:sz w:val="20"/>
              </w:rPr>
              <w:t>Los archivos de entrada y los reportes los conserva el equipo de Business Tax IT según la política de retención del compromiso. En el proveedor de IA, los datos se retienen según los términos comerciales de la API.</w:t>
            </w:r>
          </w:p>
          <w:p>
            <w:pPr>
              <w:spacing w:after="60"/>
            </w:pPr>
            <w:r>
              <w:rPr>
                <w:b/>
                <w:color w:val="9A6212"/>
                <w:sz w:val="19"/>
              </w:rPr>
              <w:t xml:space="preserve">A CONFIRMAR: </w:t>
            </w:r>
            <w:r>
              <w:rPr>
                <w:i/>
                <w:color w:val="9A6212"/>
                <w:sz w:val="19"/>
              </w:rPr>
              <w:t>plazo de retención del compromiso, y con IT si el contrato con el proveedor incluye retención cero.</w:t>
            </w:r>
          </w:p>
        </w:tc>
      </w:tr>
      <w:tr>
        <w:tc>
          <w:tcPr>
            <w:tcW w:type="dxa" w:w="4649"/>
            <w:shd w:val="clear" w:color="auto" w:fill="F2F5F4"/>
          </w:tcPr>
          <w:p>
            <w:pPr>
              <w:spacing w:after="60"/>
            </w:pPr>
            <w:r>
              <w:rPr>
                <w:b/>
                <w:color w:val="56676A"/>
              </w:rPr>
            </w:r>
            <w:r>
              <w:rPr>
                <w:b/>
                <w:color w:val="56676A"/>
                <w:sz w:val="20"/>
              </w:rPr>
              <w:t>¿Qué mitigaciones existen para evitar infringir los derechos de propiedad intelectual?</w:t>
            </w:r>
          </w:p>
        </w:tc>
        <w:tc>
          <w:tcPr>
            <w:tcW w:type="dxa" w:w="10148"/>
          </w:tcPr>
          <w:p>
            <w:pPr>
              <w:spacing w:after="60"/>
            </w:pPr>
            <w:r/>
            <w:r>
              <w:rPr>
                <w:b w:val="0"/>
                <w:sz w:val="20"/>
              </w:rPr>
              <w:t>Solo se usan los datos que el cliente entrega para el compromiso y la taxonomía fiscal propia de Deloitte. El modelo no genera contenido creativo ni reproduce material de terceros: solo elige categorías de una lista cerrada, y cualquier respuesta fuera de esa lista se descarta automáticamente. El acceso a los datos y a la herramienta está restringido al equipo del proyecto, y los resultados son revisados por el equipo antes de su uso.</w:t>
            </w:r>
          </w:p>
        </w:tc>
      </w:tr>
      <w:tr>
        <w:tc>
          <w:tcPr>
            <w:tcW w:type="dxa" w:w="4649"/>
            <w:shd w:val="clear" w:color="auto" w:fill="F2F5F4"/>
          </w:tcPr>
          <w:p>
            <w:pPr>
              <w:spacing w:after="60"/>
            </w:pPr>
            <w:r>
              <w:rPr>
                <w:b/>
                <w:color w:val="56676A"/>
              </w:rPr>
            </w:r>
            <w:r>
              <w:rPr>
                <w:b/>
                <w:color w:val="56676A"/>
                <w:sz w:val="20"/>
              </w:rPr>
              <w:t>¿Quién se supone que será el propietario de la salida producida por la solución?</w:t>
            </w:r>
          </w:p>
        </w:tc>
        <w:tc>
          <w:tcPr>
            <w:tcW w:type="dxa" w:w="10148"/>
          </w:tcPr>
          <w:p>
            <w:pPr>
              <w:spacing w:after="60"/>
            </w:pPr>
            <w:r/>
            <w:r>
              <w:rPr>
                <w:b w:val="0"/>
                <w:sz w:val="20"/>
              </w:rPr>
              <w:t>Deloitte. El reporte se entrega al cliente como parte del servicio, según los términos del compromiso.</w:t>
            </w:r>
          </w:p>
        </w:tc>
      </w:tr>
    </w:tbl>
    <w:p/>
    <w:p>
      <w:pPr>
        <w:pStyle w:val="Heading2"/>
      </w:pPr>
      <w:r>
        <w:t>Sobre el vendedor / proveedor de IA</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¿Quién es el propietario de la relación con el vendedor / proveedor de IA?</w:t>
            </w:r>
          </w:p>
        </w:tc>
        <w:tc>
          <w:tcPr>
            <w:tcW w:type="dxa" w:w="10148"/>
          </w:tcPr>
          <w:p>
            <w:pPr>
              <w:spacing w:after="60"/>
            </w:pPr>
            <w:r/>
            <w:r>
              <w:rPr>
                <w:b w:val="0"/>
                <w:sz w:val="20"/>
              </w:rPr>
              <w:t>Marcar: Deloitte.</w:t>
            </w:r>
          </w:p>
        </w:tc>
      </w:tr>
      <w:tr>
        <w:tc>
          <w:tcPr>
            <w:tcW w:type="dxa" w:w="4649"/>
            <w:shd w:val="clear" w:color="auto" w:fill="F2F5F4"/>
          </w:tcPr>
          <w:p>
            <w:pPr>
              <w:spacing w:after="60"/>
            </w:pPr>
            <w:r>
              <w:rPr>
                <w:b/>
                <w:color w:val="56676A"/>
              </w:rPr>
            </w:r>
            <w:r>
              <w:rPr>
                <w:b/>
                <w:color w:val="56676A"/>
                <w:sz w:val="20"/>
              </w:rPr>
              <w:t>¿Hay terceros involucrados en el trabajo o la solución?</w:t>
            </w:r>
          </w:p>
        </w:tc>
        <w:tc>
          <w:tcPr>
            <w:tcW w:type="dxa" w:w="10148"/>
          </w:tcPr>
          <w:p>
            <w:pPr>
              <w:spacing w:after="60"/>
            </w:pPr>
            <w:r/>
            <w:r>
              <w:rPr>
                <w:b w:val="0"/>
                <w:sz w:val="20"/>
              </w:rPr>
              <w:t>Sí: el proveedor del modelo de IA (Anthropic u OpenAI), que procesa las consultas. Cuando se usa la búsqueda web, el proveedor busca en internet el nombre del producto para identificarlo.</w:t>
            </w:r>
          </w:p>
        </w:tc>
      </w:tr>
      <w:tr>
        <w:tc>
          <w:tcPr>
            <w:tcW w:type="dxa" w:w="4649"/>
            <w:shd w:val="clear" w:color="auto" w:fill="F2F5F4"/>
          </w:tcPr>
          <w:p>
            <w:pPr>
              <w:spacing w:after="60"/>
            </w:pPr>
            <w:r>
              <w:rPr>
                <w:b/>
                <w:color w:val="56676A"/>
              </w:rPr>
            </w:r>
            <w:r>
              <w:rPr>
                <w:b/>
                <w:color w:val="56676A"/>
                <w:sz w:val="20"/>
              </w:rPr>
              <w:t>¿Habrá terceros que confiarán en, o recibirán, los servicios o resultados producidos por la IA? ¿Cómo los utilizarán?</w:t>
            </w:r>
          </w:p>
        </w:tc>
        <w:tc>
          <w:tcPr>
            <w:tcW w:type="dxa" w:w="10148"/>
          </w:tcPr>
          <w:p>
            <w:pPr>
              <w:spacing w:after="60"/>
            </w:pPr>
            <w:r/>
            <w:r>
              <w:rPr>
                <w:b w:val="0"/>
                <w:sz w:val="20"/>
              </w:rPr>
              <w:t>Sí: el cliente (PedidosYa) recibe el reporte de diferencias de alícuota, después de la revisión del equipo de Deloitte, para revisar o corregir la alícuota que declara.</w:t>
            </w:r>
          </w:p>
          <w:p>
            <w:pPr>
              <w:spacing w:after="60"/>
            </w:pPr>
            <w:r>
              <w:rPr>
                <w:b/>
                <w:color w:val="9A6212"/>
                <w:sz w:val="19"/>
              </w:rPr>
              <w:t xml:space="preserve">A CONFIRMAR: </w:t>
            </w:r>
            <w:r>
              <w:rPr>
                <w:i/>
                <w:color w:val="9A6212"/>
                <w:sz w:val="19"/>
              </w:rPr>
              <w:t>que el reporte se entrega al cliente.</w:t>
            </w:r>
          </w:p>
        </w:tc>
      </w:tr>
      <w:tr>
        <w:tc>
          <w:tcPr>
            <w:tcW w:type="dxa" w:w="4649"/>
            <w:shd w:val="clear" w:color="auto" w:fill="F2F5F4"/>
          </w:tcPr>
          <w:p>
            <w:pPr>
              <w:spacing w:after="60"/>
            </w:pPr>
            <w:r>
              <w:rPr>
                <w:b/>
                <w:color w:val="56676A"/>
              </w:rPr>
            </w:r>
            <w:r>
              <w:rPr>
                <w:b/>
                <w:color w:val="56676A"/>
                <w:sz w:val="20"/>
              </w:rPr>
              <w:t>¿Existen «Guardrails» para el uso de la IA / plataforma y el caso de uso es coherente con estos requisitos?</w:t>
            </w:r>
          </w:p>
        </w:tc>
        <w:tc>
          <w:tcPr>
            <w:tcW w:type="dxa" w:w="10148"/>
          </w:tcPr>
          <w:p>
            <w:pPr>
              <w:spacing w:after="60"/>
            </w:pPr>
            <w:r/>
            <w:r>
              <w:rPr>
                <w:b w:val="0"/>
                <w:sz w:val="20"/>
              </w:rPr>
              <w:t>Sí. La herramienta incluye los siguientes controles:</w:t>
            </w:r>
          </w:p>
          <w:p>
            <w:pPr>
              <w:spacing w:after="60"/>
            </w:pPr>
            <w:r>
              <w:rPr>
                <w:b w:val="0"/>
                <w:sz w:val="20"/>
              </w:rPr>
              <w:t>– El modelo solo puede elegir categorías de una lista cerrada; cualquier respuesta fuera de la lista se rechaza automáticamente.</w:t>
            </w:r>
          </w:p>
          <w:p>
            <w:pPr>
              <w:spacing w:after="60"/>
            </w:pPr>
            <w:r>
              <w:rPr>
                <w:b w:val="0"/>
                <w:sz w:val="20"/>
              </w:rPr>
              <w:t>– El modelo tiene la instrucción de no adivinar: si no puede determinar la categoría, debe indicarlo y explicar el motivo, y el producto pasa a revisión humana.</w:t>
            </w:r>
          </w:p>
          <w:p>
            <w:pPr>
              <w:spacing w:after="60"/>
            </w:pPr>
            <w:r>
              <w:rPr>
                <w:b w:val="0"/>
                <w:sz w:val="20"/>
              </w:rPr>
              <w:t>– Un segundo modelo, distinto del primero, vuelve a clasificar los productos para verificar al primero; si no coinciden, decide una persona.</w:t>
            </w:r>
          </w:p>
          <w:p>
            <w:pPr>
              <w:spacing w:after="60"/>
            </w:pPr>
            <w:r>
              <w:rPr>
                <w:b w:val="0"/>
                <w:sz w:val="20"/>
              </w:rPr>
              <w:t>– Si la respuesta del modelo no corresponde exactamente a los productos enviados, se descarta el lote completo.</w:t>
            </w:r>
          </w:p>
          <w:p>
            <w:pPr>
              <w:spacing w:after="60"/>
            </w:pPr>
            <w:r>
              <w:rPr>
                <w:b w:val="0"/>
                <w:sz w:val="20"/>
              </w:rPr>
              <w:t>– Ningún cambio se escribe en los datos sin una confirmación explícita del usuario.</w:t>
            </w:r>
          </w:p>
          <w:p>
            <w:pPr>
              <w:spacing w:after="60"/>
            </w:pPr>
            <w:r>
              <w:rPr>
                <w:b w:val="0"/>
                <w:sz w:val="20"/>
              </w:rPr>
              <w:t>– Solo se envían al proveedor los datos mínimos necesarios.</w:t>
            </w:r>
          </w:p>
          <w:p>
            <w:pPr>
              <w:spacing w:after="60"/>
            </w:pPr>
            <w:r>
              <w:rPr>
                <w:b/>
                <w:color w:val="9A6212"/>
                <w:sz w:val="19"/>
              </w:rPr>
              <w:t xml:space="preserve">A CONFIRMAR: </w:t>
            </w:r>
            <w:r>
              <w:rPr>
                <w:i/>
                <w:color w:val="9A6212"/>
                <w:sz w:val="19"/>
              </w:rPr>
              <w:t>si existen guardrails corporativos de Deloitte para este tipo de proveedor, mencionarlos también.</w:t>
            </w:r>
          </w:p>
        </w:tc>
      </w:tr>
    </w:tbl>
    <w:p/>
    <w:p>
      <w:pPr>
        <w:pStyle w:val="Heading2"/>
      </w:pPr>
      <w:r>
        <w:t>Sobre el contrato del cliente</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¿Cuáles son los contratos y términos de Deloitte/cliente aplicables a los servicios y/o al caso de uso?</w:t>
            </w:r>
          </w:p>
        </w:tc>
        <w:tc>
          <w:tcPr>
            <w:tcW w:type="dxa" w:w="10148"/>
          </w:tcPr>
          <w:p>
            <w:pPr>
              <w:spacing w:after="60"/>
            </w:pPr>
            <w:r/>
            <w:r>
              <w:rPr>
                <w:b/>
                <w:color w:val="9A6212"/>
                <w:sz w:val="19"/>
              </w:rPr>
              <w:t xml:space="preserve">A CONFIRMAR: </w:t>
            </w:r>
            <w:r>
              <w:rPr>
                <w:i/>
                <w:color w:val="9A6212"/>
                <w:sz w:val="19"/>
              </w:rPr>
              <w:t>carta contrato o propuesta de servicios con PedidosYa que cubre la revisión de clasificación fiscal y alícuotas.</w:t>
            </w:r>
          </w:p>
        </w:tc>
      </w:tr>
    </w:tbl>
    <w:p/>
    <w:p>
      <w:pPr>
        <w:pStyle w:val="Heading2"/>
      </w:pPr>
      <w:r>
        <w:t>Detalles del cliente</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Nombre del cliente / Detalles de uso interno</w:t>
            </w:r>
          </w:p>
        </w:tc>
        <w:tc>
          <w:tcPr>
            <w:tcW w:type="dxa" w:w="10148"/>
          </w:tcPr>
          <w:p>
            <w:pPr>
              <w:spacing w:after="60"/>
            </w:pPr>
            <w:r/>
            <w:r>
              <w:rPr>
                <w:b w:val="0"/>
                <w:sz w:val="20"/>
              </w:rPr>
              <w:t>PedidosYa (PedidosYa Market).</w:t>
            </w:r>
          </w:p>
        </w:tc>
      </w:tr>
      <w:tr>
        <w:tc>
          <w:tcPr>
            <w:tcW w:type="dxa" w:w="4649"/>
            <w:shd w:val="clear" w:color="auto" w:fill="F2F5F4"/>
          </w:tcPr>
          <w:p>
            <w:pPr>
              <w:spacing w:after="60"/>
            </w:pPr>
            <w:r>
              <w:rPr>
                <w:b/>
                <w:color w:val="56676A"/>
              </w:rPr>
            </w:r>
            <w:r>
              <w:rPr>
                <w:b/>
                <w:color w:val="56676A"/>
                <w:sz w:val="20"/>
              </w:rPr>
              <w:t>Negocios e Industria</w:t>
            </w:r>
          </w:p>
        </w:tc>
        <w:tc>
          <w:tcPr>
            <w:tcW w:type="dxa" w:w="10148"/>
          </w:tcPr>
          <w:p>
            <w:pPr>
              <w:spacing w:after="60"/>
            </w:pPr>
            <w:r/>
            <w:r>
              <w:rPr>
                <w:b w:val="0"/>
                <w:sz w:val="20"/>
              </w:rPr>
              <w:t>Comercio electrónico y delivery; venta minorista de productos de supermercado.</w:t>
            </w:r>
          </w:p>
        </w:tc>
      </w:tr>
      <w:tr>
        <w:tc>
          <w:tcPr>
            <w:tcW w:type="dxa" w:w="4649"/>
            <w:shd w:val="clear" w:color="auto" w:fill="F2F5F4"/>
          </w:tcPr>
          <w:p>
            <w:pPr>
              <w:spacing w:after="60"/>
            </w:pPr>
            <w:r>
              <w:rPr>
                <w:b/>
                <w:color w:val="56676A"/>
              </w:rPr>
            </w:r>
            <w:r>
              <w:rPr>
                <w:b/>
                <w:color w:val="56676A"/>
                <w:sz w:val="20"/>
              </w:rPr>
              <w:t>Número de referencia para el Proceso de Aceptación del cliente y compromiso</w:t>
            </w:r>
          </w:p>
        </w:tc>
        <w:tc>
          <w:tcPr>
            <w:tcW w:type="dxa" w:w="10148"/>
          </w:tcPr>
          <w:p>
            <w:pPr>
              <w:spacing w:after="60"/>
            </w:pPr>
            <w:r/>
            <w:r>
              <w:rPr>
                <w:b/>
                <w:color w:val="9A6212"/>
                <w:sz w:val="19"/>
              </w:rPr>
              <w:t xml:space="preserve">A CONFIRMAR: </w:t>
            </w:r>
            <w:r>
              <w:rPr>
                <w:i/>
                <w:color w:val="9A6212"/>
                <w:sz w:val="19"/>
              </w:rPr>
              <w:t>número de referencia.</w:t>
            </w:r>
          </w:p>
        </w:tc>
      </w:tr>
      <w:tr>
        <w:tc>
          <w:tcPr>
            <w:tcW w:type="dxa" w:w="4649"/>
            <w:shd w:val="clear" w:color="auto" w:fill="F2F5F4"/>
          </w:tcPr>
          <w:p>
            <w:pPr>
              <w:spacing w:after="60"/>
            </w:pPr>
            <w:r>
              <w:rPr>
                <w:b/>
                <w:color w:val="56676A"/>
              </w:rPr>
            </w:r>
            <w:r>
              <w:rPr>
                <w:b/>
                <w:color w:val="56676A"/>
                <w:sz w:val="20"/>
              </w:rPr>
              <w:t>Socio(s) del compromiso</w:t>
            </w:r>
          </w:p>
        </w:tc>
        <w:tc>
          <w:tcPr>
            <w:tcW w:type="dxa" w:w="10148"/>
          </w:tcPr>
          <w:p>
            <w:pPr>
              <w:spacing w:after="60"/>
            </w:pPr>
            <w:r/>
            <w:r>
              <w:rPr>
                <w:b/>
                <w:color w:val="9A6212"/>
                <w:sz w:val="19"/>
              </w:rPr>
              <w:t xml:space="preserve">A CONFIRMAR: </w:t>
            </w:r>
            <w:r>
              <w:rPr>
                <w:i/>
                <w:color w:val="9A6212"/>
                <w:sz w:val="19"/>
              </w:rPr>
              <w:t>nombre del socio del compromiso.</w:t>
            </w:r>
          </w:p>
        </w:tc>
      </w:tr>
      <w:tr>
        <w:tc>
          <w:tcPr>
            <w:tcW w:type="dxa" w:w="4649"/>
            <w:shd w:val="clear" w:color="auto" w:fill="F2F5F4"/>
          </w:tcPr>
          <w:p>
            <w:pPr>
              <w:spacing w:after="60"/>
            </w:pPr>
            <w:r>
              <w:rPr>
                <w:b/>
                <w:color w:val="56676A"/>
              </w:rPr>
            </w:r>
            <w:r>
              <w:rPr>
                <w:b/>
                <w:color w:val="56676A"/>
                <w:sz w:val="20"/>
              </w:rPr>
              <w:t>Gerente</w:t>
            </w:r>
          </w:p>
        </w:tc>
        <w:tc>
          <w:tcPr>
            <w:tcW w:type="dxa" w:w="10148"/>
          </w:tcPr>
          <w:p>
            <w:pPr>
              <w:spacing w:after="60"/>
            </w:pPr>
            <w:r/>
            <w:r>
              <w:rPr>
                <w:b/>
                <w:color w:val="9A6212"/>
                <w:sz w:val="19"/>
              </w:rPr>
              <w:t xml:space="preserve">A CONFIRMAR: </w:t>
            </w:r>
            <w:r>
              <w:rPr>
                <w:i/>
                <w:color w:val="9A6212"/>
                <w:sz w:val="19"/>
              </w:rPr>
              <w:t>nombre del gerente.</w:t>
            </w:r>
          </w:p>
        </w:tc>
      </w:tr>
      <w:tr>
        <w:tc>
          <w:tcPr>
            <w:tcW w:type="dxa" w:w="4649"/>
            <w:shd w:val="clear" w:color="auto" w:fill="F2F5F4"/>
          </w:tcPr>
          <w:p>
            <w:pPr>
              <w:spacing w:after="60"/>
            </w:pPr>
            <w:r>
              <w:rPr>
                <w:b/>
                <w:color w:val="56676A"/>
              </w:rPr>
            </w:r>
            <w:r>
              <w:rPr>
                <w:b/>
                <w:color w:val="56676A"/>
                <w:sz w:val="20"/>
              </w:rPr>
              <w:t>Otros involucrados</w:t>
            </w:r>
          </w:p>
        </w:tc>
        <w:tc>
          <w:tcPr>
            <w:tcW w:type="dxa" w:w="10148"/>
          </w:tcPr>
          <w:p>
            <w:pPr>
              <w:spacing w:after="60"/>
            </w:pPr>
            <w:r/>
            <w:r>
              <w:rPr>
                <w:b w:val="0"/>
                <w:sz w:val="20"/>
              </w:rPr>
              <w:t>Equipo de Business Tax IT y especialistas tributarios que definen la tabla de alícuotas.</w:t>
            </w:r>
          </w:p>
          <w:p>
            <w:pPr>
              <w:spacing w:after="60"/>
            </w:pPr>
            <w:r>
              <w:rPr>
                <w:b/>
                <w:color w:val="9A6212"/>
                <w:sz w:val="19"/>
              </w:rPr>
              <w:t xml:space="preserve">A CONFIRMAR: </w:t>
            </w:r>
            <w:r>
              <w:rPr>
                <w:i/>
                <w:color w:val="9A6212"/>
                <w:sz w:val="19"/>
              </w:rPr>
              <w:t>nombres.</w:t>
            </w:r>
          </w:p>
        </w:tc>
      </w:tr>
    </w:tbl>
    <w:p/>
    <w:p>
      <w:pPr>
        <w:pStyle w:val="Heading1"/>
      </w:pPr>
      <w:r>
        <w:t>Parte 2: Factores de riesgo de IA</w:t>
      </w:r>
    </w:p>
    <w:p>
      <w:pPr>
        <w:pStyle w:val="Heading2"/>
      </w:pPr>
      <w:r>
        <w:t>Riesgos tecnológicos de confianza y ética: partes interesadas</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¿Qué grupos de interés se ven afectados por los resultados de la solución de IA?</w:t>
            </w:r>
          </w:p>
        </w:tc>
        <w:tc>
          <w:tcPr>
            <w:tcW w:type="dxa" w:w="10148"/>
          </w:tcPr>
          <w:p>
            <w:pPr>
              <w:spacing w:after="60"/>
            </w:pPr>
            <w:r/>
            <w:r>
              <w:rPr>
                <w:b w:val="0"/>
                <w:sz w:val="20"/>
              </w:rPr>
              <w:t>Directos: el equipo de Business Tax IT de Deloitte, que opera la herramienta; los especialistas tributarios que definen las alícuotas y revisan los resultados; y el área impositiva del cliente, que recibe el reporte de diferencias.</w:t>
            </w:r>
          </w:p>
          <w:p>
            <w:pPr>
              <w:spacing w:after="60"/>
            </w:pPr>
            <w:r>
              <w:rPr>
                <w:b w:val="0"/>
                <w:sz w:val="20"/>
              </w:rPr>
              <w:t>Indirectos: las autoridades tributarias de los 13 países, en la medida en que el reporte lleve a corregir alícuotas declaradas; los auditores del cliente; y, de forma remota, los consumidores finales, porque la alícuota forma parte del precio.</w:t>
            </w:r>
          </w:p>
          <w:p>
            <w:pPr>
              <w:spacing w:after="60"/>
            </w:pPr>
            <w:r>
              <w:rPr>
                <w:b w:val="0"/>
                <w:sz w:val="20"/>
              </w:rPr>
              <w:t>La herramienta clasifica productos, no personas.</w:t>
            </w:r>
          </w:p>
        </w:tc>
      </w:tr>
    </w:tbl>
    <w:p/>
    <w:p>
      <w:pPr>
        <w:pStyle w:val="Heading2"/>
      </w:pPr>
      <w:r>
        <w:t>Responsabilidad / Rendición de cuentas</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Explique cómo se distribuyen las responsabilidades sobre el sistema, incluido quién es responsable de las decisiones tomadas por el uso del sistema, la producción y la calidad a lo largo del ciclo de vida.</w:t>
            </w:r>
          </w:p>
        </w:tc>
        <w:tc>
          <w:tcPr>
            <w:tcW w:type="dxa" w:w="10148"/>
          </w:tcPr>
          <w:p>
            <w:pPr>
              <w:spacing w:after="60"/>
            </w:pPr>
            <w:r/>
            <w:r>
              <w:rPr>
                <w:b w:val="0"/>
                <w:sz w:val="20"/>
              </w:rPr>
              <w:t>– Business Tax IT: desarrollo y mantenimiento de la herramienta, de la taxonomía fiscal y de las pruebas automáticas; ejecución de las corridas.</w:t>
            </w:r>
          </w:p>
          <w:p>
            <w:pPr>
              <w:spacing w:after="60"/>
            </w:pPr>
            <w:r>
              <w:rPr>
                <w:b w:val="0"/>
                <w:sz w:val="20"/>
              </w:rPr>
              <w:t>– Especialistas tributarios: definición y actualización de la tabla de alícuotas por país.</w:t>
            </w:r>
          </w:p>
          <w:p>
            <w:pPr>
              <w:spacing w:after="60"/>
            </w:pPr>
            <w:r>
              <w:rPr>
                <w:b w:val="0"/>
                <w:sz w:val="20"/>
              </w:rPr>
              <w:t>– Revisores del equipo: revisión de los productos que la herramienta marca para revisión humana y del reporte final.</w:t>
            </w:r>
          </w:p>
          <w:p>
            <w:pPr>
              <w:spacing w:after="60"/>
            </w:pPr>
            <w:r>
              <w:rPr>
                <w:b w:val="0"/>
                <w:sz w:val="20"/>
              </w:rPr>
              <w:t>– Socio y gerente del compromiso: aprobación del entregable antes de enviarlo al cliente.</w:t>
            </w:r>
          </w:p>
          <w:p>
            <w:pPr>
              <w:spacing w:after="60"/>
            </w:pPr>
            <w:r>
              <w:rPr>
                <w:b w:val="0"/>
                <w:sz w:val="20"/>
              </w:rPr>
              <w:t>La IA propone la clasificación de cada producto. Se aprueba automáticamente cuando dos modelos distintos coinciden; los casos dudosos, sin resolver o con desacuerdo entre modelos se marcan para revisión humana. Excepción: en el ciclo quincenal, los productos identificados mediante búsqueda web con confianza alta o media se aprueban sin la segunda verificación; los de confianza baja pasan a revisión humana. Antes de aplicar cambios y antes de entregar resultados al cliente, el equipo revisa el reporte y puede rechazar cualquier cambio aprobado por la IA.</w:t>
            </w:r>
          </w:p>
        </w:tc>
      </w:tr>
      <w:tr>
        <w:tc>
          <w:tcPr>
            <w:tcW w:type="dxa" w:w="4649"/>
            <w:shd w:val="clear" w:color="auto" w:fill="F2F5F4"/>
          </w:tcPr>
          <w:p>
            <w:pPr>
              <w:spacing w:after="60"/>
            </w:pPr>
            <w:r>
              <w:rPr>
                <w:b/>
                <w:color w:val="56676A"/>
              </w:rPr>
            </w:r>
            <w:r>
              <w:rPr>
                <w:b/>
                <w:color w:val="56676A"/>
                <w:sz w:val="20"/>
              </w:rPr>
              <w:t>Teniendo en cuenta los elementos del dominio «Accountable», enumere los riesgos clave identificados y las mitigaciones / controles planificados.</w:t>
            </w:r>
          </w:p>
        </w:tc>
        <w:tc>
          <w:tcPr>
            <w:tcW w:type="dxa" w:w="10148"/>
          </w:tcPr>
          <w:p>
            <w:pPr>
              <w:spacing w:after="60"/>
            </w:pPr>
            <w:r/>
            <w:r>
              <w:rPr>
                <w:b/>
                <w:sz w:val="20"/>
              </w:rPr>
              <w:t>Riesgos clave identificados:</w:t>
            </w:r>
          </w:p>
          <w:p>
            <w:pPr>
              <w:spacing w:after="60"/>
            </w:pPr>
            <w:r>
              <w:rPr>
                <w:b w:val="0"/>
                <w:sz w:val="20"/>
              </w:rPr>
              <w:t>– Clasificaciones incorrectas que lleven a conclusiones erróneas sobre la alícuota.</w:t>
            </w:r>
          </w:p>
          <w:p>
            <w:pPr>
              <w:spacing w:after="60"/>
            </w:pPr>
            <w:r>
              <w:rPr>
                <w:b w:val="0"/>
                <w:sz w:val="20"/>
              </w:rPr>
              <w:t>– Confianza excesiva en los resultados de la IA sin revisión profesional.</w:t>
            </w:r>
          </w:p>
          <w:p>
            <w:pPr>
              <w:spacing w:after="60"/>
            </w:pPr>
            <w:r>
              <w:rPr>
                <w:b w:val="0"/>
                <w:sz w:val="20"/>
              </w:rPr>
              <w:t>– Tabla de alícuotas desactualizada frente a cambios normativos.</w:t>
            </w:r>
          </w:p>
          <w:p>
            <w:pPr>
              <w:spacing w:after="60"/>
            </w:pPr>
            <w:r>
              <w:rPr>
                <w:b w:val="0"/>
                <w:sz w:val="20"/>
              </w:rPr>
              <w:t>– Procesamiento de información confidencial del cliente por un proveedor externo.</w:t>
            </w:r>
          </w:p>
          <w:p>
            <w:pPr>
              <w:spacing w:after="60"/>
            </w:pPr>
            <w:r>
              <w:rPr>
                <w:b/>
                <w:sz w:val="20"/>
              </w:rPr>
              <w:t>Mitigaciones / controles planificados:</w:t>
            </w:r>
          </w:p>
          <w:p>
            <w:pPr>
              <w:spacing w:after="60"/>
            </w:pPr>
            <w:r>
              <w:rPr>
                <w:b w:val="0"/>
                <w:sz w:val="20"/>
              </w:rPr>
              <w:t>– Verificación por un segundo modelo y revisión humana de los casos dudosos.</w:t>
            </w:r>
          </w:p>
          <w:p>
            <w:pPr>
              <w:spacing w:after="60"/>
            </w:pPr>
            <w:r>
              <w:rPr>
                <w:b w:val="0"/>
                <w:sz w:val="20"/>
              </w:rPr>
              <w:t>– Revisión del reporte por el equipo antes de aplicar cambios y antes de entregarlo al cliente.</w:t>
            </w:r>
          </w:p>
          <w:p>
            <w:pPr>
              <w:spacing w:after="60"/>
            </w:pPr>
            <w:r>
              <w:rPr>
                <w:b w:val="0"/>
                <w:sz w:val="20"/>
              </w:rPr>
              <w:t>– Prioridad de revisión para los cambios que modifican la alícuota, una vez cargada la tabla de alícuotas.</w:t>
            </w:r>
          </w:p>
          <w:p>
            <w:pPr>
              <w:spacing w:after="60"/>
            </w:pPr>
            <w:r>
              <w:rPr>
                <w:b w:val="0"/>
                <w:sz w:val="20"/>
              </w:rPr>
              <w:t>– Tabla de alícuotas mantenida por especialistas tributarios, con validación automática de formato y escala.</w:t>
            </w:r>
          </w:p>
          <w:p>
            <w:pPr>
              <w:spacing w:after="60"/>
            </w:pPr>
            <w:r>
              <w:rPr>
                <w:b w:val="0"/>
                <w:sz w:val="20"/>
              </w:rPr>
              <w:t>– Envío al proveedor solo de los datos mínimos necesarios, bajo el contrato corporativo.</w:t>
            </w:r>
          </w:p>
        </w:tc>
      </w:tr>
    </w:tbl>
    <w:p/>
    <w:p>
      <w:pPr>
        <w:pStyle w:val="Heading2"/>
      </w:pPr>
      <w:r>
        <w:t>Privacidad</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Confirmar que se han iniciado / completado los procesos o evaluaciones de privacidad / confidencialidad de Deloitte y se han atendido las orientaciones recibidas.</w:t>
            </w:r>
          </w:p>
        </w:tc>
        <w:tc>
          <w:tcPr>
            <w:tcW w:type="dxa" w:w="10148"/>
          </w:tcPr>
          <w:p>
            <w:pPr>
              <w:spacing w:after="60"/>
            </w:pPr>
            <w:r/>
            <w:r>
              <w:rPr>
                <w:b w:val="0"/>
                <w:sz w:val="20"/>
              </w:rPr>
              <w:t>La solución no procesa datos personales; procesa datos comerciales confidenciales del cliente.</w:t>
            </w:r>
          </w:p>
          <w:p>
            <w:pPr>
              <w:spacing w:after="60"/>
            </w:pPr>
            <w:r>
              <w:rPr>
                <w:b/>
                <w:color w:val="9A6212"/>
                <w:sz w:val="19"/>
              </w:rPr>
              <w:t xml:space="preserve">A CONFIRMAR: </w:t>
            </w:r>
            <w:r>
              <w:rPr>
                <w:i/>
                <w:color w:val="9A6212"/>
                <w:sz w:val="19"/>
              </w:rPr>
              <w:t>iniciar o completar la evaluación de confidencialidad con QRM e indicar su resultado.</w:t>
            </w:r>
          </w:p>
        </w:tc>
      </w:tr>
      <w:tr>
        <w:tc>
          <w:tcPr>
            <w:tcW w:type="dxa" w:w="4649"/>
            <w:shd w:val="clear" w:color="auto" w:fill="F2F5F4"/>
          </w:tcPr>
          <w:p>
            <w:pPr>
              <w:spacing w:after="60"/>
            </w:pPr>
            <w:r>
              <w:rPr>
                <w:b/>
                <w:color w:val="56676A"/>
              </w:rPr>
            </w:r>
            <w:r>
              <w:rPr>
                <w:b/>
                <w:color w:val="56676A"/>
                <w:sz w:val="20"/>
              </w:rPr>
              <w:t>¿El sistema implica la toma de decisiones automatizada con efectos legales o similares en individuos o grupos?</w:t>
            </w:r>
          </w:p>
        </w:tc>
        <w:tc>
          <w:tcPr>
            <w:tcW w:type="dxa" w:w="10148"/>
          </w:tcPr>
          <w:p>
            <w:pPr>
              <w:spacing w:after="60"/>
            </w:pPr>
            <w:r/>
            <w:r>
              <w:rPr>
                <w:b w:val="0"/>
                <w:sz w:val="20"/>
              </w:rPr>
              <w:t>No. La herramienta clasifica productos, no personas, y sus resultados son revisados por profesionales antes de usarse.</w:t>
            </w:r>
          </w:p>
        </w:tc>
      </w:tr>
      <w:tr>
        <w:tc>
          <w:tcPr>
            <w:tcW w:type="dxa" w:w="4649"/>
            <w:shd w:val="clear" w:color="auto" w:fill="F2F5F4"/>
          </w:tcPr>
          <w:p>
            <w:pPr>
              <w:spacing w:after="60"/>
            </w:pPr>
            <w:r>
              <w:rPr>
                <w:b/>
                <w:color w:val="56676A"/>
              </w:rPr>
            </w:r>
            <w:r>
              <w:rPr>
                <w:b/>
                <w:color w:val="56676A"/>
                <w:sz w:val="20"/>
              </w:rPr>
              <w:t>Teniendo en cuenta los elementos del dominio «Privacidad», enumere los riesgos clave identificados y las mitigaciones/controles planificados.</w:t>
            </w:r>
          </w:p>
        </w:tc>
        <w:tc>
          <w:tcPr>
            <w:tcW w:type="dxa" w:w="10148"/>
          </w:tcPr>
          <w:p>
            <w:pPr>
              <w:spacing w:after="60"/>
            </w:pPr>
            <w:r/>
            <w:r>
              <w:rPr>
                <w:b/>
                <w:sz w:val="20"/>
              </w:rPr>
              <w:t>Riesgos clave identificados:</w:t>
            </w:r>
          </w:p>
          <w:p>
            <w:pPr>
              <w:spacing w:after="60"/>
            </w:pPr>
            <w:r>
              <w:rPr>
                <w:b w:val="0"/>
                <w:sz w:val="20"/>
              </w:rPr>
              <w:t>– Envío de información confidencial del cliente a un proveedor externo de IA.</w:t>
            </w:r>
          </w:p>
          <w:p>
            <w:pPr>
              <w:spacing w:after="60"/>
            </w:pPr>
            <w:r>
              <w:rPr>
                <w:b w:val="0"/>
                <w:sz w:val="20"/>
              </w:rPr>
              <w:t>– Retención de datos por parte del proveedor más allá de lo necesario.</w:t>
            </w:r>
          </w:p>
          <w:p>
            <w:pPr>
              <w:spacing w:after="60"/>
            </w:pPr>
            <w:r>
              <w:rPr>
                <w:b w:val="0"/>
                <w:sz w:val="20"/>
              </w:rPr>
              <w:t>– Acceso no autorizado a los archivos de entrada o a los reportes.</w:t>
            </w:r>
          </w:p>
          <w:p>
            <w:pPr>
              <w:spacing w:after="60"/>
            </w:pPr>
            <w:r>
              <w:rPr>
                <w:b/>
                <w:sz w:val="20"/>
              </w:rPr>
              <w:t>Mitigaciones / controles planificados:</w:t>
            </w:r>
          </w:p>
          <w:p>
            <w:pPr>
              <w:spacing w:after="60"/>
            </w:pPr>
            <w:r>
              <w:rPr>
                <w:b w:val="0"/>
                <w:sz w:val="20"/>
              </w:rPr>
              <w:t>– Minimización: solo se envían nombre del producto, país y proveedor; no se envían precios, códigos ni datos de personas.</w:t>
            </w:r>
          </w:p>
          <w:p>
            <w:pPr>
              <w:spacing w:after="60"/>
            </w:pPr>
            <w:r>
              <w:rPr>
                <w:b w:val="0"/>
                <w:sz w:val="20"/>
              </w:rPr>
              <w:t>– Uso de la API bajo términos comerciales que no permiten entrenar modelos con los datos, y evaluación de retención cero con IT.</w:t>
            </w:r>
          </w:p>
          <w:p>
            <w:pPr>
              <w:spacing w:after="60"/>
            </w:pPr>
            <w:r>
              <w:rPr>
                <w:b w:val="0"/>
                <w:sz w:val="20"/>
              </w:rPr>
              <w:t>– Archivos almacenados en equipos de Deloitte, con acceso restringido al equipo del proyecto.</w:t>
            </w:r>
          </w:p>
          <w:p>
            <w:pPr>
              <w:spacing w:after="60"/>
            </w:pPr>
            <w:r>
              <w:rPr>
                <w:b w:val="0"/>
                <w:sz w:val="20"/>
              </w:rPr>
              <w:t>– Datos del cliente fuera de repositorios de código externos.</w:t>
            </w:r>
          </w:p>
          <w:p>
            <w:pPr>
              <w:spacing w:after="60"/>
            </w:pPr>
            <w:r>
              <w:rPr>
                <w:b w:val="0"/>
                <w:sz w:val="20"/>
              </w:rPr>
              <w:t>– Credenciales de la API en variables de entorno, nunca en el código.</w:t>
            </w:r>
          </w:p>
        </w:tc>
      </w:tr>
    </w:tbl>
    <w:p/>
    <w:p>
      <w:pPr>
        <w:pStyle w:val="Heading2"/>
      </w:pPr>
      <w:r>
        <w:t>Transparente y explicable</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Explique las medidas adoptadas para ayudar a garantizar que se logre el nivel aplicable de explicabilidad y transparencia para los diferentes grupos de partes interesadas.</w:t>
            </w:r>
          </w:p>
        </w:tc>
        <w:tc>
          <w:tcPr>
            <w:tcW w:type="dxa" w:w="10148"/>
          </w:tcPr>
          <w:p>
            <w:pPr>
              <w:spacing w:after="60"/>
            </w:pPr>
            <w:r/>
            <w:r>
              <w:rPr>
                <w:b w:val="0"/>
                <w:sz w:val="20"/>
              </w:rPr>
              <w:t>En el procesamiento del catálogo completo, cada clasificación queda registrada con el modelo que la produjo, la etapa del proceso, la fecha y la versión de la taxonomía usada. En el ciclo quincenal se registra el método usado (por nombre o con búsqueda web) y el resultado de la verificación. El reporte muestra, para cada producto, la clasificación anterior y la propuesta, si un segundo modelo la verificó, si la aprobó la IA o quedó para revisión humana, y el motivo. Cuando se usa búsqueda web, se registra qué información encontró el modelo y su nivel de confianza.</w:t>
            </w:r>
          </w:p>
          <w:p>
            <w:pPr>
              <w:spacing w:after="60"/>
            </w:pPr>
            <w:r>
              <w:rPr>
                <w:b w:val="0"/>
                <w:sz w:val="20"/>
              </w:rPr>
              <w:t>El propósito, el funcionamiento y las limitaciones de la herramienta están documentados. Los entregables incluirán una nota que aclara que la clasificación se realizó con apoyo de IA y fue revisada por el equipo, y que no constituye una opinión tributaria.</w:t>
            </w:r>
          </w:p>
        </w:tc>
      </w:tr>
      <w:tr>
        <w:tc>
          <w:tcPr>
            <w:tcW w:type="dxa" w:w="4649"/>
            <w:shd w:val="clear" w:color="auto" w:fill="F2F5F4"/>
          </w:tcPr>
          <w:p>
            <w:pPr>
              <w:spacing w:after="60"/>
            </w:pPr>
            <w:r>
              <w:rPr>
                <w:b/>
                <w:color w:val="56676A"/>
              </w:rPr>
            </w:r>
            <w:r>
              <w:rPr>
                <w:b/>
                <w:color w:val="56676A"/>
                <w:sz w:val="20"/>
              </w:rPr>
              <w:t>Teniendo en cuenta los elementos del dominio «Transparente y explicable», enumere los riesgos clave identificados y las mitigaciones / controles planificados.</w:t>
            </w:r>
          </w:p>
        </w:tc>
        <w:tc>
          <w:tcPr>
            <w:tcW w:type="dxa" w:w="10148"/>
          </w:tcPr>
          <w:p>
            <w:pPr>
              <w:spacing w:after="60"/>
            </w:pPr>
            <w:r/>
            <w:r>
              <w:rPr>
                <w:b/>
                <w:sz w:val="20"/>
              </w:rPr>
              <w:t>Riesgos clave identificados:</w:t>
            </w:r>
          </w:p>
          <w:p>
            <w:pPr>
              <w:spacing w:after="60"/>
            </w:pPr>
            <w:r>
              <w:rPr>
                <w:b w:val="0"/>
                <w:sz w:val="20"/>
              </w:rPr>
              <w:t>– Interpretar la clasificación de la IA como una conclusión definitiva.</w:t>
            </w:r>
          </w:p>
          <w:p>
            <w:pPr>
              <w:spacing w:after="60"/>
            </w:pPr>
            <w:r>
              <w:rPr>
                <w:b w:val="0"/>
                <w:sz w:val="20"/>
              </w:rPr>
              <w:t>– No poder reconstruir por qué un producto quedó en una categoría.</w:t>
            </w:r>
          </w:p>
          <w:p>
            <w:pPr>
              <w:spacing w:after="60"/>
            </w:pPr>
            <w:r>
              <w:rPr>
                <w:b w:val="0"/>
                <w:sz w:val="20"/>
              </w:rPr>
              <w:t>– Desconocer el alcance y las limitaciones de la herramienta.</w:t>
            </w:r>
          </w:p>
          <w:p>
            <w:pPr>
              <w:spacing w:after="60"/>
            </w:pPr>
            <w:r>
              <w:rPr>
                <w:b/>
                <w:sz w:val="20"/>
              </w:rPr>
              <w:t>Mitigaciones / controles planificados:</w:t>
            </w:r>
          </w:p>
          <w:p>
            <w:pPr>
              <w:spacing w:after="60"/>
            </w:pPr>
            <w:r>
              <w:rPr>
                <w:b w:val="0"/>
                <w:sz w:val="20"/>
              </w:rPr>
              <w:t>– Registro del modelo, la etapa, la fecha, la versión de taxonomía y el motivo de las clasificaciones.</w:t>
            </w:r>
          </w:p>
          <w:p>
            <w:pPr>
              <w:spacing w:after="60"/>
            </w:pPr>
            <w:r>
              <w:rPr>
                <w:b w:val="0"/>
                <w:sz w:val="20"/>
              </w:rPr>
              <w:t>– Marca visible en el reporte de qué aprobó la IA y qué revisó una persona.</w:t>
            </w:r>
          </w:p>
          <w:p>
            <w:pPr>
              <w:spacing w:after="60"/>
            </w:pPr>
            <w:r>
              <w:rPr>
                <w:b w:val="0"/>
                <w:sz w:val="20"/>
              </w:rPr>
              <w:t>– Nota aclaratoria sobre el uso de IA en los entregables.</w:t>
            </w:r>
          </w:p>
          <w:p>
            <w:pPr>
              <w:spacing w:after="60"/>
            </w:pPr>
            <w:r>
              <w:rPr>
                <w:b w:val="0"/>
                <w:sz w:val="20"/>
              </w:rPr>
              <w:t>– Documentación del alcance, el funcionamiento y las limitaciones.</w:t>
            </w:r>
          </w:p>
        </w:tc>
      </w:tr>
    </w:tbl>
    <w:p/>
    <w:p>
      <w:pPr>
        <w:pStyle w:val="Heading2"/>
      </w:pPr>
      <w:r>
        <w:t>Justa e imparcial / Neutral y equitativa</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¿Qué herramientas y métodos se emplearán para tratar de garantizar la equidad?</w:t>
            </w:r>
          </w:p>
        </w:tc>
        <w:tc>
          <w:tcPr>
            <w:tcW w:type="dxa" w:w="10148"/>
          </w:tcPr>
          <w:p>
            <w:pPr>
              <w:spacing w:after="60"/>
            </w:pPr>
            <w:r/>
            <w:r>
              <w:rPr>
                <w:b w:val="0"/>
                <w:sz w:val="20"/>
              </w:rPr>
              <w:t>La solución no clasifica, segmenta ni toma decisiones sobre personas, por lo que el riesgo de sesgos sobre grupos de personas es bajo. El sesgo relevante en este caso es el error sistemático en ciertas categorías, países o marcas.</w:t>
            </w:r>
          </w:p>
          <w:p>
            <w:pPr>
              <w:spacing w:after="60"/>
            </w:pPr>
            <w:r>
              <w:rPr>
                <w:b w:val="0"/>
                <w:sz w:val="20"/>
              </w:rPr>
              <w:t>Controles:</w:t>
            </w:r>
          </w:p>
          <w:p>
            <w:pPr>
              <w:spacing w:after="60"/>
            </w:pPr>
            <w:r>
              <w:rPr>
                <w:b w:val="0"/>
                <w:sz w:val="20"/>
              </w:rPr>
              <w:t>– Clasificación a ciegas: el modelo no ve la clasificación previa, para no heredar sus errores.</w:t>
            </w:r>
          </w:p>
          <w:p>
            <w:pPr>
              <w:spacing w:after="60"/>
            </w:pPr>
            <w:r>
              <w:rPr>
                <w:b w:val="0"/>
                <w:sz w:val="20"/>
              </w:rPr>
              <w:t>– Medición de aciertos contra un conjunto de productos con respuesta conocida.</w:t>
            </w:r>
          </w:p>
          <w:p>
            <w:pPr>
              <w:spacing w:after="60"/>
            </w:pPr>
            <w:r>
              <w:rPr>
                <w:b w:val="0"/>
                <w:sz w:val="20"/>
              </w:rPr>
              <w:t>– Verificación por un segundo modelo y revisión humana de los desacuerdos.</w:t>
            </w:r>
          </w:p>
          <w:p>
            <w:pPr>
              <w:spacing w:after="60"/>
            </w:pPr>
            <w:r>
              <w:rPr>
                <w:b w:val="0"/>
                <w:sz w:val="20"/>
              </w:rPr>
              <w:t>– Instrucción explícita de no adivinar cuando la información no alcanza.</w:t>
            </w:r>
          </w:p>
        </w:tc>
      </w:tr>
      <w:tr>
        <w:tc>
          <w:tcPr>
            <w:tcW w:type="dxa" w:w="4649"/>
            <w:shd w:val="clear" w:color="auto" w:fill="F2F5F4"/>
          </w:tcPr>
          <w:p>
            <w:pPr>
              <w:spacing w:after="60"/>
            </w:pPr>
            <w:r>
              <w:rPr>
                <w:b/>
                <w:color w:val="56676A"/>
              </w:rPr>
            </w:r>
            <w:r>
              <w:rPr>
                <w:b/>
                <w:color w:val="56676A"/>
                <w:sz w:val="20"/>
              </w:rPr>
              <w:t>¿Cómo se asegurará de que la tecnología no distribuya de manera desigual los beneficios o daños? ¿Podrían los diferentes grupos demográficos experimentar diferencias en la calidad del servicio?</w:t>
            </w:r>
          </w:p>
        </w:tc>
        <w:tc>
          <w:tcPr>
            <w:tcW w:type="dxa" w:w="10148"/>
          </w:tcPr>
          <w:p>
            <w:pPr>
              <w:spacing w:after="60"/>
            </w:pPr>
            <w:r/>
            <w:r>
              <w:rPr>
                <w:b w:val="0"/>
                <w:sz w:val="20"/>
              </w:rPr>
              <w:t>La herramienta procesa productos y aplica el mismo proceso a los 13 países, por lo que no hay grupos demográficos afectados. La precisión puede variar entre países por marcas locales poco conocidas; para esos casos se usa búsqueda web y, si sigue sin resolverse, revisión humana. En la prueba piloto se analizarán por país los productos sin resolver y los desacuerdos entre modelos, para detectar diferencias.</w:t>
            </w:r>
          </w:p>
        </w:tc>
      </w:tr>
      <w:tr>
        <w:tc>
          <w:tcPr>
            <w:tcW w:type="dxa" w:w="4649"/>
            <w:shd w:val="clear" w:color="auto" w:fill="F2F5F4"/>
          </w:tcPr>
          <w:p>
            <w:pPr>
              <w:spacing w:after="60"/>
            </w:pPr>
            <w:r>
              <w:rPr>
                <w:b/>
                <w:color w:val="56676A"/>
              </w:rPr>
            </w:r>
            <w:r>
              <w:rPr>
                <w:b/>
                <w:color w:val="56676A"/>
                <w:sz w:val="20"/>
              </w:rPr>
              <w:t>Teniendo en cuenta los elementos del dominio «Justa e imparcial», enumere los riesgos clave identificados y las mitigaciones/controles planificados.</w:t>
            </w:r>
          </w:p>
        </w:tc>
        <w:tc>
          <w:tcPr>
            <w:tcW w:type="dxa" w:w="10148"/>
          </w:tcPr>
          <w:p>
            <w:pPr>
              <w:spacing w:after="60"/>
            </w:pPr>
            <w:r/>
            <w:r>
              <w:rPr>
                <w:b/>
                <w:sz w:val="20"/>
              </w:rPr>
              <w:t>Riesgos clave identificados:</w:t>
            </w:r>
            <w:r>
              <w:rPr>
                <w:b w:val="0"/>
                <w:sz w:val="20"/>
              </w:rPr>
              <w:t xml:space="preserve"> errores sistemáticos en ciertas categorías, menor precisión en marcas locales de algunos países e inconsistencias entre productos similares.</w:t>
            </w:r>
          </w:p>
          <w:p>
            <w:pPr>
              <w:spacing w:after="60"/>
            </w:pPr>
            <w:r>
              <w:rPr>
                <w:b/>
                <w:sz w:val="20"/>
              </w:rPr>
              <w:t>Mitigaciones / controles planificados:</w:t>
            </w:r>
            <w:r>
              <w:rPr>
                <w:b w:val="0"/>
                <w:sz w:val="20"/>
              </w:rPr>
              <w:t xml:space="preserve"> clasificación a ciegas, medición de precisión contra el conjunto de referencia, análisis de resultados por país, búsqueda web para marcas desconocidas, verificación con un segundo modelo y revisión humana.</w:t>
            </w:r>
          </w:p>
        </w:tc>
      </w:tr>
    </w:tbl>
    <w:p/>
    <w:p>
      <w:pPr>
        <w:pStyle w:val="Heading2"/>
      </w:pPr>
      <w:r>
        <w:t>Robusto y confiable</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¿Qué herramientas y métodos se emplearán para monitorear la solidez y confiabilidad del sistema?</w:t>
            </w:r>
          </w:p>
        </w:tc>
        <w:tc>
          <w:tcPr>
            <w:tcW w:type="dxa" w:w="10148"/>
          </w:tcPr>
          <w:p>
            <w:pPr>
              <w:spacing w:after="60"/>
            </w:pPr>
            <w:r/>
            <w:r>
              <w:rPr>
                <w:b w:val="0"/>
                <w:sz w:val="20"/>
              </w:rPr>
              <w:t>– Medición del porcentaje de acierto contra un conjunto de productos con respuesta conocida, comparado con la línea de base del motor de reglas actual (94,4%).</w:t>
            </w:r>
          </w:p>
          <w:p>
            <w:pPr>
              <w:spacing w:after="60"/>
            </w:pPr>
            <w:r>
              <w:rPr>
                <w:b w:val="0"/>
                <w:sz w:val="20"/>
              </w:rPr>
              <w:t>– Prueba piloto con 200 productos antes de procesar el catálogo completo.</w:t>
            </w:r>
          </w:p>
          <w:p>
            <w:pPr>
              <w:spacing w:after="60"/>
            </w:pPr>
            <w:r>
              <w:rPr>
                <w:b w:val="0"/>
                <w:sz w:val="20"/>
              </w:rPr>
              <w:t>– Seguimiento, en cada corrida, de cuántos productos quedan sin resolver y cuántos tienen desacuerdo entre modelos.</w:t>
            </w:r>
          </w:p>
          <w:p>
            <w:pPr>
              <w:spacing w:after="60"/>
            </w:pPr>
            <w:r>
              <w:rPr>
                <w:b w:val="0"/>
                <w:sz w:val="20"/>
              </w:rPr>
              <w:t>– 64 pruebas automáticas que se ejecutan después de cada cambio de código.</w:t>
            </w:r>
          </w:p>
        </w:tc>
      </w:tr>
      <w:tr>
        <w:tc>
          <w:tcPr>
            <w:tcW w:type="dxa" w:w="4649"/>
            <w:shd w:val="clear" w:color="auto" w:fill="F2F5F4"/>
          </w:tcPr>
          <w:p>
            <w:pPr>
              <w:spacing w:after="60"/>
            </w:pPr>
            <w:r>
              <w:rPr>
                <w:b/>
                <w:color w:val="56676A"/>
              </w:rPr>
            </w:r>
            <w:r>
              <w:rPr>
                <w:b/>
                <w:color w:val="56676A"/>
                <w:sz w:val="20"/>
              </w:rPr>
              <w:t>Explique las medidas de control de calidad y de control humano para el sistema, incluida la integridad de los datos y fuentes utilizadas.</w:t>
            </w:r>
          </w:p>
        </w:tc>
        <w:tc>
          <w:tcPr>
            <w:tcW w:type="dxa" w:w="10148"/>
          </w:tcPr>
          <w:p>
            <w:pPr>
              <w:spacing w:after="60"/>
            </w:pPr>
            <w:r/>
            <w:r>
              <w:rPr>
                <w:b w:val="0"/>
                <w:sz w:val="20"/>
              </w:rPr>
              <w:t>– Validación automática de cada respuesta contra la lista cerrada de categorías.</w:t>
            </w:r>
          </w:p>
          <w:p>
            <w:pPr>
              <w:spacing w:after="60"/>
            </w:pPr>
            <w:r>
              <w:rPr>
                <w:b w:val="0"/>
                <w:sz w:val="20"/>
              </w:rPr>
              <w:t>– Rechazo del lote completo si la respuesta del modelo no corresponde exactamente a los productos enviados.</w:t>
            </w:r>
          </w:p>
          <w:p>
            <w:pPr>
              <w:spacing w:after="60"/>
            </w:pPr>
            <w:r>
              <w:rPr>
                <w:b w:val="0"/>
                <w:sz w:val="20"/>
              </w:rPr>
              <w:t>– Verificación por un segundo modelo.</w:t>
            </w:r>
          </w:p>
          <w:p>
            <w:pPr>
              <w:spacing w:after="60"/>
            </w:pPr>
            <w:r>
              <w:rPr>
                <w:b w:val="0"/>
                <w:sz w:val="20"/>
              </w:rPr>
              <w:t>– Revisión humana de los casos dudosos y del reporte final.</w:t>
            </w:r>
          </w:p>
          <w:p>
            <w:pPr>
              <w:spacing w:after="60"/>
            </w:pPr>
            <w:r>
              <w:rPr>
                <w:b w:val="0"/>
                <w:sz w:val="20"/>
              </w:rPr>
              <w:t>– Validación de la tabla de alícuotas (categorías inexistentes, valores en escala incorrecta).</w:t>
            </w:r>
          </w:p>
          <w:p>
            <w:pPr>
              <w:spacing w:after="60"/>
            </w:pPr>
            <w:r>
              <w:rPr>
                <w:b w:val="0"/>
                <w:sz w:val="20"/>
              </w:rPr>
              <w:t>– Ninguna modificación de datos sin confirmación explícita.</w:t>
            </w:r>
          </w:p>
          <w:p>
            <w:pPr>
              <w:spacing w:after="60"/>
            </w:pPr>
            <w:r>
              <w:rPr>
                <w:b w:val="0"/>
                <w:sz w:val="20"/>
              </w:rPr>
              <w:t>– En el procesamiento del catálogo completo, retoma de la corrida desde el último punto guardado si se interrumpe, sin duplicar resultados.</w:t>
            </w:r>
          </w:p>
          <w:p>
            <w:pPr>
              <w:spacing w:after="60"/>
            </w:pPr>
            <w:r>
              <w:rPr>
                <w:b w:val="0"/>
                <w:sz w:val="20"/>
              </w:rPr>
              <w:t>Las fuentes son el catálogo entregado por el cliente, la taxonomía fiscal de Deloitte y la tabla de alícuotas definida por los especialistas tributarios.</w:t>
            </w:r>
          </w:p>
        </w:tc>
      </w:tr>
      <w:tr>
        <w:tc>
          <w:tcPr>
            <w:tcW w:type="dxa" w:w="4649"/>
            <w:shd w:val="clear" w:color="auto" w:fill="F2F5F4"/>
          </w:tcPr>
          <w:p>
            <w:pPr>
              <w:spacing w:after="60"/>
            </w:pPr>
            <w:r>
              <w:rPr>
                <w:b/>
                <w:color w:val="56676A"/>
              </w:rPr>
            </w:r>
            <w:r>
              <w:rPr>
                <w:b/>
                <w:color w:val="56676A"/>
                <w:sz w:val="20"/>
              </w:rPr>
              <w:t>Teniendo en cuenta los elementos del dominio «Robusto y confiable», enumere los riesgos clave identificados y las mitigaciones/controles planificados.</w:t>
            </w:r>
          </w:p>
        </w:tc>
        <w:tc>
          <w:tcPr>
            <w:tcW w:type="dxa" w:w="10148"/>
          </w:tcPr>
          <w:p>
            <w:pPr>
              <w:spacing w:after="60"/>
            </w:pPr>
            <w:r/>
            <w:r>
              <w:rPr>
                <w:b/>
                <w:sz w:val="20"/>
              </w:rPr>
              <w:t>Riesgos clave identificados:</w:t>
            </w:r>
            <w:r>
              <w:rPr>
                <w:b w:val="0"/>
                <w:sz w:val="20"/>
              </w:rPr>
              <w:t xml:space="preserve"> respuestas incorrectas o inventadas por el modelo, inconsistencias entre corridas, cambios de versión del modelo, interrupciones del servicio del proveedor y tabla de alícuotas desactualizada.</w:t>
            </w:r>
          </w:p>
          <w:p>
            <w:pPr>
              <w:spacing w:after="60"/>
            </w:pPr>
            <w:r>
              <w:rPr>
                <w:b/>
                <w:sz w:val="20"/>
              </w:rPr>
              <w:t>Mitigaciones / controles planificados:</w:t>
            </w:r>
            <w:r>
              <w:rPr>
                <w:b w:val="0"/>
                <w:sz w:val="20"/>
              </w:rPr>
              <w:t xml:space="preserve"> lista cerrada de categorías con validación automática, segundo modelo verificador, revisión humana, versiones de modelo definidas por configuración y registradas, medición periódica contra el conjunto de referencia, retoma de la corrida ante fallas, y mantenimiento de la tabla por especialistas.</w:t>
            </w:r>
          </w:p>
        </w:tc>
      </w:tr>
    </w:tbl>
    <w:p/>
    <w:p>
      <w:pPr>
        <w:pStyle w:val="Heading2"/>
      </w:pPr>
      <w:r>
        <w:t>Segura y protegida</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Confirme que se hayan iniciado / completado los procesos y evaluaciones de GTOM / seguridad (por ejemplo, SSDLC) y el resultado de cualquier orientación recibida.</w:t>
            </w:r>
          </w:p>
        </w:tc>
        <w:tc>
          <w:tcPr>
            <w:tcW w:type="dxa" w:w="10148"/>
          </w:tcPr>
          <w:p>
            <w:pPr>
              <w:spacing w:after="60"/>
            </w:pPr>
            <w:r/>
            <w:r>
              <w:rPr>
                <w:b w:val="0"/>
                <w:sz w:val="20"/>
              </w:rPr>
              <w:t>La herramienta está en fase de desarrollo. Cuenta con pruebas automáticas y no tiene interfaz web, base de datos ni usuarios propios: se ejecuta localmente en equipos de Deloitte. Los procesos de seguridad aplicables se gestionarán con el equipo de IT según los procedimientos corporativos.</w:t>
            </w:r>
          </w:p>
          <w:p>
            <w:pPr>
              <w:spacing w:after="60"/>
            </w:pPr>
            <w:r>
              <w:rPr>
                <w:b/>
                <w:color w:val="9A6212"/>
                <w:sz w:val="19"/>
              </w:rPr>
              <w:t xml:space="preserve">A CONFIRMAR: </w:t>
            </w:r>
            <w:r>
              <w:rPr>
                <w:i/>
                <w:color w:val="9A6212"/>
                <w:sz w:val="19"/>
              </w:rPr>
              <w:t>estado de la evaluación GTOM / SSDLC.</w:t>
            </w:r>
          </w:p>
        </w:tc>
      </w:tr>
      <w:tr>
        <w:tc>
          <w:tcPr>
            <w:tcW w:type="dxa" w:w="4649"/>
            <w:shd w:val="clear" w:color="auto" w:fill="F2F5F4"/>
          </w:tcPr>
          <w:p>
            <w:pPr>
              <w:spacing w:after="60"/>
            </w:pPr>
            <w:r>
              <w:rPr>
                <w:b/>
                <w:color w:val="56676A"/>
              </w:rPr>
            </w:r>
            <w:r>
              <w:rPr>
                <w:b/>
                <w:color w:val="56676A"/>
                <w:sz w:val="20"/>
              </w:rPr>
              <w:t>¿Se utilizan nuestros datos o se puede acceder a ellos para cualquier propósito del proveedor (entrenamiento del modelo, mejora del servicio, monitoreo de contenido / abuso)?</w:t>
            </w:r>
          </w:p>
        </w:tc>
        <w:tc>
          <w:tcPr>
            <w:tcW w:type="dxa" w:w="10148"/>
          </w:tcPr>
          <w:p>
            <w:pPr>
              <w:spacing w:after="60"/>
            </w:pPr>
            <w:r/>
            <w:r>
              <w:rPr>
                <w:b w:val="0"/>
                <w:sz w:val="20"/>
              </w:rPr>
              <w:t>Según los términos comerciales de la API, el proveedor no utiliza los datos para entrenar sus modelos. Puede retenerlos por un período limitado para monitoreo de abuso.</w:t>
            </w:r>
          </w:p>
          <w:p>
            <w:pPr>
              <w:spacing w:after="60"/>
            </w:pPr>
            <w:r>
              <w:rPr>
                <w:b w:val="0"/>
                <w:sz w:val="20"/>
              </w:rPr>
              <w:t>CONFIRMAR con IT y Legal: términos del contrato vigente y si aplica retención cero.</w:t>
            </w:r>
          </w:p>
        </w:tc>
      </w:tr>
      <w:tr>
        <w:tc>
          <w:tcPr>
            <w:tcW w:type="dxa" w:w="4649"/>
            <w:shd w:val="clear" w:color="auto" w:fill="F2F5F4"/>
          </w:tcPr>
          <w:p>
            <w:pPr>
              <w:spacing w:after="60"/>
            </w:pPr>
            <w:r>
              <w:rPr>
                <w:b/>
                <w:color w:val="56676A"/>
              </w:rPr>
            </w:r>
            <w:r>
              <w:rPr>
                <w:b/>
                <w:color w:val="56676A"/>
                <w:sz w:val="20"/>
              </w:rPr>
              <w:t>Teniendo en cuenta los elementos del dominio «Segura y protegida», enumere los riesgos clave identificados y las mitigaciones/controles planificados.</w:t>
            </w:r>
          </w:p>
        </w:tc>
        <w:tc>
          <w:tcPr>
            <w:tcW w:type="dxa" w:w="10148"/>
          </w:tcPr>
          <w:p>
            <w:pPr>
              <w:spacing w:after="60"/>
            </w:pPr>
            <w:r/>
            <w:r>
              <w:rPr>
                <w:b/>
                <w:sz w:val="20"/>
              </w:rPr>
              <w:t>Riesgos clave identificados:</w:t>
            </w:r>
            <w:r>
              <w:rPr>
                <w:b w:val="0"/>
                <w:sz w:val="20"/>
              </w:rPr>
              <w:t xml:space="preserve"> exposición de la credencial de la API, exposición de datos confidenciales del cliente, acceso no autorizado a los archivos e instrucciones maliciosas escondidas en nombres de productos.</w:t>
            </w:r>
          </w:p>
          <w:p>
            <w:pPr>
              <w:spacing w:after="60"/>
            </w:pPr>
            <w:r>
              <w:rPr>
                <w:b/>
                <w:sz w:val="20"/>
              </w:rPr>
              <w:t>Mitigaciones / controles planificados:</w:t>
            </w:r>
            <w:r>
              <w:rPr>
                <w:b w:val="0"/>
                <w:sz w:val="20"/>
              </w:rPr>
              <w:t xml:space="preserve"> credenciales en variables de entorno y nunca en el código; envío de datos mínimos; archivos solo en equipos de Deloitte con acceso restringido; datos del cliente fuera de repositorios de código externos; respuestas del modelo limitadas a una lista cerrada de categorías y validadas automáticamente, lo que acota el efecto de una instrucción escondida en un nombre a una posible clasificación incorrecta, que cubren la verificación y la revisión humana.</w:t>
            </w:r>
          </w:p>
        </w:tc>
      </w:tr>
    </w:tbl>
    <w:p/>
    <w:p>
      <w:pPr>
        <w:pStyle w:val="Heading2"/>
      </w:pPr>
      <w:r>
        <w:t>Responsable</w:t>
      </w:r>
    </w:p>
    <w:tbl>
      <w:tblPr>
        <w:tblStyle w:val="TableGrid"/>
        <w:tblW w:type="auto" w:w="0"/>
        <w:tblLook w:firstColumn="1" w:firstRow="1" w:lastColumn="0" w:lastRow="0" w:noHBand="0" w:noVBand="1" w:val="04A0"/>
      </w:tblPr>
      <w:tblGrid>
        <w:gridCol w:w="7399"/>
        <w:gridCol w:w="7399"/>
      </w:tblGrid>
      <w:tr>
        <w:tc>
          <w:tcPr>
            <w:tcW w:type="dxa" w:w="4649"/>
            <w:shd w:val="clear" w:color="auto" w:fill="1F6F57"/>
          </w:tcPr>
          <w:p>
            <w:r/>
            <w:r>
              <w:rPr>
                <w:b/>
                <w:color w:val="FFFFFF"/>
                <w:sz w:val="19"/>
              </w:rPr>
              <w:t>Pregunta del formulario</w:t>
            </w:r>
          </w:p>
        </w:tc>
        <w:tc>
          <w:tcPr>
            <w:tcW w:type="dxa" w:w="10148"/>
            <w:shd w:val="clear" w:color="auto" w:fill="1F6F57"/>
          </w:tcPr>
          <w:p>
            <w:r/>
            <w:r>
              <w:rPr>
                <w:b/>
                <w:color w:val="FFFFFF"/>
                <w:sz w:val="19"/>
              </w:rPr>
              <w:t>Respuesta para copiar</w:t>
            </w:r>
          </w:p>
        </w:tc>
      </w:tr>
      <w:tr>
        <w:tc>
          <w:tcPr>
            <w:tcW w:type="dxa" w:w="4649"/>
            <w:shd w:val="clear" w:color="auto" w:fill="F2F5F4"/>
          </w:tcPr>
          <w:p>
            <w:pPr>
              <w:spacing w:after="60"/>
            </w:pPr>
            <w:r>
              <w:rPr>
                <w:b/>
                <w:color w:val="56676A"/>
              </w:rPr>
            </w:r>
            <w:r>
              <w:rPr>
                <w:b/>
                <w:color w:val="56676A"/>
                <w:sz w:val="20"/>
              </w:rPr>
              <w:t>¿El caso de uso implica alguna actividad de alto riesgo tal como se define en la Ley de IA de la UE u otras regulaciones de IA?</w:t>
            </w:r>
          </w:p>
        </w:tc>
        <w:tc>
          <w:tcPr>
            <w:tcW w:type="dxa" w:w="10148"/>
          </w:tcPr>
          <w:p>
            <w:pPr>
              <w:spacing w:after="60"/>
            </w:pPr>
            <w:r/>
            <w:r>
              <w:rPr>
                <w:b w:val="0"/>
                <w:sz w:val="20"/>
              </w:rPr>
              <w:t>No.</w:t>
            </w:r>
          </w:p>
        </w:tc>
      </w:tr>
      <w:tr>
        <w:tc>
          <w:tcPr>
            <w:tcW w:type="dxa" w:w="4649"/>
            <w:shd w:val="clear" w:color="auto" w:fill="F2F5F4"/>
          </w:tcPr>
          <w:p>
            <w:pPr>
              <w:spacing w:after="60"/>
            </w:pPr>
            <w:r>
              <w:rPr>
                <w:b/>
                <w:color w:val="56676A"/>
              </w:rPr>
            </w:r>
            <w:r>
              <w:rPr>
                <w:b/>
                <w:color w:val="56676A"/>
                <w:sz w:val="20"/>
              </w:rPr>
              <w:t>¿El sistema está diseñado, implementado y utilizado de una manera responsable en términos de impacto en el negocio, las partes interesadas, los usuarios finales, la sociedad en general y el medio ambiente?</w:t>
            </w:r>
          </w:p>
        </w:tc>
        <w:tc>
          <w:tcPr>
            <w:tcW w:type="dxa" w:w="10148"/>
          </w:tcPr>
          <w:p>
            <w:pPr>
              <w:spacing w:after="60"/>
            </w:pPr>
            <w:r/>
            <w:r>
              <w:rPr>
                <w:b w:val="0"/>
                <w:sz w:val="20"/>
              </w:rPr>
              <w:t>Sí.</w:t>
            </w:r>
          </w:p>
        </w:tc>
      </w:tr>
      <w:tr>
        <w:tc>
          <w:tcPr>
            <w:tcW w:type="dxa" w:w="4649"/>
            <w:shd w:val="clear" w:color="auto" w:fill="F2F5F4"/>
          </w:tcPr>
          <w:p>
            <w:pPr>
              <w:spacing w:after="60"/>
            </w:pPr>
            <w:r>
              <w:rPr>
                <w:b/>
                <w:color w:val="56676A"/>
              </w:rPr>
            </w:r>
            <w:r>
              <w:rPr>
                <w:b/>
                <w:color w:val="56676A"/>
                <w:sz w:val="20"/>
              </w:rPr>
              <w:t>¿Podría el sistema de IA impactar la posición legal, las oportunidades de vida o los derechos humanos de las personas?</w:t>
            </w:r>
          </w:p>
        </w:tc>
        <w:tc>
          <w:tcPr>
            <w:tcW w:type="dxa" w:w="10148"/>
          </w:tcPr>
          <w:p>
            <w:pPr>
              <w:spacing w:after="60"/>
            </w:pPr>
            <w:r/>
            <w:r>
              <w:rPr>
                <w:b w:val="0"/>
                <w:sz w:val="20"/>
              </w:rPr>
              <w:t>No. La herramienta clasifica productos y no toma decisiones sobre personas.</w:t>
            </w:r>
          </w:p>
        </w:tc>
      </w:tr>
      <w:tr>
        <w:tc>
          <w:tcPr>
            <w:tcW w:type="dxa" w:w="4649"/>
            <w:shd w:val="clear" w:color="auto" w:fill="F2F5F4"/>
          </w:tcPr>
          <w:p>
            <w:pPr>
              <w:spacing w:after="60"/>
            </w:pPr>
            <w:r>
              <w:rPr>
                <w:b/>
                <w:color w:val="56676A"/>
              </w:rPr>
            </w:r>
            <w:r>
              <w:rPr>
                <w:b/>
                <w:color w:val="56676A"/>
                <w:sz w:val="20"/>
              </w:rPr>
              <w:t>Teniendo en cuenta los elementos del dominio «Responsable», enumere los riesgos clave identificados y las mitigaciones/controles planificados.</w:t>
            </w:r>
          </w:p>
        </w:tc>
        <w:tc>
          <w:tcPr>
            <w:tcW w:type="dxa" w:w="10148"/>
          </w:tcPr>
          <w:p>
            <w:pPr>
              <w:spacing w:after="60"/>
            </w:pPr>
            <w:r/>
            <w:r>
              <w:rPr>
                <w:b/>
                <w:sz w:val="20"/>
              </w:rPr>
              <w:t>Riesgos clave identificados:</w:t>
            </w:r>
            <w:r>
              <w:rPr>
                <w:b w:val="0"/>
                <w:sz w:val="20"/>
              </w:rPr>
              <w:t xml:space="preserve"> confianza excesiva en los resultados de la IA, errores con impacto en la alícuota declarada y costos de procesamiento mayores a lo previsto.</w:t>
            </w:r>
          </w:p>
          <w:p>
            <w:pPr>
              <w:spacing w:after="60"/>
            </w:pPr>
            <w:r>
              <w:rPr>
                <w:b/>
                <w:sz w:val="20"/>
              </w:rPr>
              <w:t>Mitigaciones / controles planificados:</w:t>
            </w:r>
            <w:r>
              <w:rPr>
                <w:b w:val="0"/>
                <w:sz w:val="20"/>
              </w:rPr>
              <w:t xml:space="preserve"> uso de la herramienta como apoyo al servicio profesional, revisión humana de los casos dudosos y del reporte final, prioridad de revisión para los cambios que modifican la alícuota (una vez cargada la tabla), y estimación del costo de cada corrida antes de ejecutarla.</w:t>
            </w:r>
          </w:p>
        </w:tc>
      </w:tr>
    </w:tbl>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C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6F57"/>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cs="Calibri"/>
      <w:b/>
      <w:bCs/>
      <w:color w:val="1C24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