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EA38F4" w:rsidRPr="00EA38F4" w14:paraId="557B5734"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EA38F4" w:rsidRPr="00EA38F4" w14:paraId="4D38105B" w14:textId="77777777">
              <w:trPr>
                <w:trHeight w:val="825"/>
                <w:jc w:val="center"/>
              </w:trPr>
              <w:tc>
                <w:tcPr>
                  <w:tcW w:w="3969" w:type="dxa"/>
                  <w:shd w:val="clear" w:color="auto" w:fill="000000"/>
                  <w:tcMar>
                    <w:top w:w="227" w:type="dxa"/>
                    <w:left w:w="0" w:type="dxa"/>
                    <w:bottom w:w="227" w:type="dxa"/>
                    <w:right w:w="0" w:type="dxa"/>
                  </w:tcMar>
                  <w:vAlign w:val="center"/>
                  <w:hideMark/>
                </w:tcPr>
                <w:p w14:paraId="28F56087" w14:textId="77777777" w:rsidR="00EA38F4" w:rsidRPr="00EA38F4" w:rsidRDefault="00EA38F4" w:rsidP="00EA38F4">
                  <w:pPr>
                    <w:spacing w:after="0" w:line="240" w:lineRule="auto"/>
                    <w:rPr>
                      <w:rFonts w:ascii="Verdana" w:eastAsia="Aptos" w:hAnsi="Verdana" w:cs="Aptos"/>
                      <w:color w:val="000000"/>
                      <w:lang w:val="en-GB"/>
                    </w:rPr>
                  </w:pPr>
                  <w:r w:rsidRPr="00EA38F4">
                    <w:rPr>
                      <w:rFonts w:ascii="Verdana" w:eastAsia="Aptos" w:hAnsi="Verdana" w:cs="Aptos"/>
                      <w:noProof/>
                      <w:color w:val="000000"/>
                      <w:lang w:val="es-MX" w:eastAsia="es-MX"/>
                    </w:rPr>
                    <w:drawing>
                      <wp:inline distT="0" distB="0" distL="0" distR="0" wp14:anchorId="553D135F" wp14:editId="231D048C">
                        <wp:extent cx="1435100" cy="279400"/>
                        <wp:effectExtent l="0" t="0" r="12700" b="635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6884E452" w14:textId="77777777" w:rsidR="00EA38F4" w:rsidRPr="00EA38F4" w:rsidRDefault="00EA38F4" w:rsidP="00EA38F4">
                  <w:pPr>
                    <w:spacing w:after="0" w:line="240" w:lineRule="auto"/>
                    <w:jc w:val="right"/>
                    <w:rPr>
                      <w:rFonts w:ascii="Verdana" w:eastAsia="Aptos" w:hAnsi="Verdana" w:cs="Aptos"/>
                      <w:color w:val="000000"/>
                      <w:lang w:val="en-GB"/>
                    </w:rPr>
                  </w:pPr>
                </w:p>
              </w:tc>
            </w:tr>
          </w:tbl>
          <w:p w14:paraId="7AD8427B" w14:textId="77777777" w:rsidR="00EA38F4" w:rsidRPr="00EA38F4" w:rsidRDefault="00EA38F4" w:rsidP="00EA38F4">
            <w:pPr>
              <w:spacing w:after="0" w:line="240" w:lineRule="auto"/>
              <w:jc w:val="center"/>
              <w:rPr>
                <w:rFonts w:ascii="Times New Roman" w:eastAsia="Times New Roman" w:hAnsi="Times New Roman" w:cs="Times New Roman"/>
                <w:sz w:val="20"/>
                <w:szCs w:val="20"/>
              </w:rPr>
            </w:pPr>
          </w:p>
        </w:tc>
      </w:tr>
    </w:tbl>
    <w:p w14:paraId="77CD3CBB" w14:textId="77777777" w:rsidR="00EA38F4" w:rsidRPr="00EA38F4" w:rsidRDefault="00EA38F4" w:rsidP="00EA38F4">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EA38F4" w:rsidRPr="00EA38F4" w14:paraId="33D4C06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EA38F4" w:rsidRPr="00EA38F4" w14:paraId="668D1A38" w14:textId="77777777">
              <w:trPr>
                <w:jc w:val="center"/>
              </w:trPr>
              <w:tc>
                <w:tcPr>
                  <w:tcW w:w="7938" w:type="dxa"/>
                  <w:shd w:val="clear" w:color="auto" w:fill="F2F2F2"/>
                  <w:hideMark/>
                </w:tcPr>
                <w:p w14:paraId="179FBFC8" w14:textId="77777777" w:rsidR="00EA38F4" w:rsidRPr="00EA38F4" w:rsidRDefault="00EA38F4" w:rsidP="00EA38F4">
                  <w:pPr>
                    <w:spacing w:before="240" w:after="240" w:line="240" w:lineRule="auto"/>
                    <w:rPr>
                      <w:rFonts w:ascii="Calibri Light" w:eastAsia="Aptos" w:hAnsi="Calibri Light" w:cs="Calibri Light"/>
                      <w:color w:val="7F7F7F"/>
                      <w:sz w:val="16"/>
                      <w:szCs w:val="16"/>
                      <w:lang w:val="es-AR"/>
                    </w:rPr>
                  </w:pPr>
                  <w:r w:rsidRPr="00EA38F4">
                    <w:rPr>
                      <w:rFonts w:ascii="Calibri Light" w:eastAsia="Aptos" w:hAnsi="Calibri Light" w:cs="Calibri Light"/>
                      <w:color w:val="7F7F7F"/>
                      <w:sz w:val="18"/>
                      <w:szCs w:val="18"/>
                      <w:lang w:val="es-MX"/>
                    </w:rPr>
                    <w:t xml:space="preserve">Deloitte Argentina | </w:t>
                  </w:r>
                  <w:proofErr w:type="spellStart"/>
                  <w:r w:rsidRPr="00EA38F4">
                    <w:rPr>
                      <w:rFonts w:ascii="Calibri Light" w:eastAsia="Aptos" w:hAnsi="Calibri Light" w:cs="Calibri Light"/>
                      <w:color w:val="7F7F7F"/>
                      <w:sz w:val="18"/>
                      <w:szCs w:val="18"/>
                      <w:lang w:val="es-MX"/>
                    </w:rPr>
                    <w:t>Clients</w:t>
                  </w:r>
                  <w:proofErr w:type="spellEnd"/>
                  <w:r w:rsidRPr="00EA38F4">
                    <w:rPr>
                      <w:rFonts w:ascii="Calibri Light" w:eastAsia="Aptos" w:hAnsi="Calibri Light" w:cs="Calibri Light"/>
                      <w:color w:val="7F7F7F"/>
                      <w:sz w:val="18"/>
                      <w:szCs w:val="18"/>
                      <w:lang w:val="es-MX"/>
                    </w:rPr>
                    <w:t xml:space="preserve"> &amp; Industries Tax &amp; Legal | 01 de </w:t>
                  </w:r>
                  <w:proofErr w:type="gramStart"/>
                  <w:r w:rsidRPr="00EA38F4">
                    <w:rPr>
                      <w:rFonts w:ascii="Calibri Light" w:eastAsia="Aptos" w:hAnsi="Calibri Light" w:cs="Calibri Light"/>
                      <w:color w:val="7F7F7F"/>
                      <w:sz w:val="18"/>
                      <w:szCs w:val="18"/>
                      <w:lang w:val="es-MX"/>
                    </w:rPr>
                    <w:t>Junio</w:t>
                  </w:r>
                  <w:proofErr w:type="gramEnd"/>
                  <w:r w:rsidRPr="00EA38F4">
                    <w:rPr>
                      <w:rFonts w:ascii="Calibri Light" w:eastAsia="Aptos" w:hAnsi="Calibri Light" w:cs="Calibri Light"/>
                      <w:color w:val="7F7F7F"/>
                      <w:sz w:val="18"/>
                      <w:szCs w:val="18"/>
                      <w:lang w:val="es-MX"/>
                    </w:rPr>
                    <w:t xml:space="preserve"> 2026</w:t>
                  </w:r>
                </w:p>
              </w:tc>
            </w:tr>
          </w:tbl>
          <w:p w14:paraId="4E33C9E2" w14:textId="77777777" w:rsidR="00EA38F4" w:rsidRPr="00EA38F4" w:rsidRDefault="00EA38F4" w:rsidP="00EA38F4">
            <w:pPr>
              <w:spacing w:after="0" w:line="240" w:lineRule="auto"/>
              <w:jc w:val="center"/>
              <w:rPr>
                <w:rFonts w:ascii="Times New Roman" w:eastAsia="Times New Roman" w:hAnsi="Times New Roman" w:cs="Times New Roman"/>
                <w:sz w:val="20"/>
                <w:szCs w:val="20"/>
                <w:lang w:val="es-MX"/>
              </w:rPr>
            </w:pPr>
          </w:p>
        </w:tc>
      </w:tr>
      <w:tr w:rsidR="00EA38F4" w:rsidRPr="00EA38F4" w14:paraId="4F031EA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14D0DA12" w14:textId="77777777">
              <w:trPr>
                <w:jc w:val="center"/>
              </w:trPr>
              <w:tc>
                <w:tcPr>
                  <w:tcW w:w="7938" w:type="dxa"/>
                  <w:tcBorders>
                    <w:top w:val="nil"/>
                    <w:left w:val="nil"/>
                    <w:bottom w:val="single" w:sz="12" w:space="0" w:color="F2F2F2"/>
                    <w:right w:val="nil"/>
                  </w:tcBorders>
                  <w:shd w:val="clear" w:color="auto" w:fill="000000"/>
                  <w:vAlign w:val="center"/>
                  <w:hideMark/>
                </w:tcPr>
                <w:p w14:paraId="03E57547" w14:textId="77777777" w:rsidR="00EA38F4" w:rsidRPr="00EA38F4" w:rsidRDefault="00EA38F4" w:rsidP="00EA38F4">
                  <w:pPr>
                    <w:spacing w:before="240" w:after="240" w:line="240" w:lineRule="auto"/>
                    <w:jc w:val="center"/>
                    <w:rPr>
                      <w:rFonts w:ascii="Verdana" w:eastAsia="Aptos" w:hAnsi="Verdana" w:cs="Aptos"/>
                      <w:color w:val="000000"/>
                      <w:lang w:val="es-AR"/>
                    </w:rPr>
                  </w:pPr>
                  <w:r w:rsidRPr="00EA38F4">
                    <w:rPr>
                      <w:rFonts w:ascii="Verdana" w:eastAsia="Aptos" w:hAnsi="Verdana" w:cs="Aptos"/>
                      <w:noProof/>
                      <w:color w:val="000000"/>
                      <w:lang w:val="es-AR"/>
                    </w:rPr>
                    <w:drawing>
                      <wp:inline distT="0" distB="0" distL="0" distR="0" wp14:anchorId="2B442AF4" wp14:editId="7130A00A">
                        <wp:extent cx="1797050" cy="1797050"/>
                        <wp:effectExtent l="0" t="0" r="12700" b="12700"/>
                        <wp:docPr id="26"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EA38F4" w:rsidRPr="00EA38F4" w14:paraId="333DE1D1"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2B4A9DA3" w14:textId="77777777" w:rsidR="00EA38F4" w:rsidRPr="00EA38F4" w:rsidRDefault="00EA38F4" w:rsidP="00EA38F4">
                  <w:pPr>
                    <w:keepNext/>
                    <w:spacing w:after="0" w:line="240" w:lineRule="auto"/>
                    <w:outlineLvl w:val="0"/>
                    <w:rPr>
                      <w:rFonts w:ascii="Calibri Light" w:eastAsia="Times New Roman" w:hAnsi="Calibri Light" w:cs="Calibri Light"/>
                      <w:color w:val="86BC25"/>
                      <w:kern w:val="36"/>
                      <w:sz w:val="42"/>
                      <w:szCs w:val="42"/>
                      <w:lang w:val="en-GB"/>
                    </w:rPr>
                  </w:pPr>
                  <w:r w:rsidRPr="00EA38F4">
                    <w:rPr>
                      <w:rFonts w:ascii="Calibri Light" w:eastAsia="Times New Roman" w:hAnsi="Calibri Light" w:cs="Calibri Light"/>
                      <w:color w:val="86BC25"/>
                      <w:kern w:val="36"/>
                      <w:sz w:val="42"/>
                      <w:szCs w:val="42"/>
                      <w:lang w:val="en-GB"/>
                    </w:rPr>
                    <w:t>Tax News</w:t>
                  </w:r>
                </w:p>
                <w:p w14:paraId="688E396C" w14:textId="77777777" w:rsidR="00EA38F4" w:rsidRPr="00EA38F4" w:rsidRDefault="00EA38F4" w:rsidP="00EA38F4">
                  <w:pPr>
                    <w:keepNext/>
                    <w:spacing w:after="0" w:line="240" w:lineRule="auto"/>
                    <w:outlineLvl w:val="2"/>
                    <w:rPr>
                      <w:rFonts w:ascii="Verdana" w:eastAsia="Times New Roman" w:hAnsi="Verdana" w:cs="Aptos"/>
                      <w:color w:val="000000"/>
                      <w:sz w:val="34"/>
                      <w:szCs w:val="34"/>
                      <w:lang w:val="en-GB"/>
                    </w:rPr>
                  </w:pPr>
                  <w:proofErr w:type="spellStart"/>
                  <w:r w:rsidRPr="00EA38F4">
                    <w:rPr>
                      <w:rFonts w:ascii="Calibri Light" w:eastAsia="Times New Roman" w:hAnsi="Calibri Light" w:cs="Calibri Light"/>
                      <w:color w:val="FFFFFF"/>
                      <w:sz w:val="42"/>
                      <w:szCs w:val="42"/>
                      <w:lang w:val="en-GB"/>
                    </w:rPr>
                    <w:t>Novedades</w:t>
                  </w:r>
                  <w:proofErr w:type="spellEnd"/>
                  <w:r w:rsidRPr="00EA38F4">
                    <w:rPr>
                      <w:rFonts w:ascii="Calibri Light" w:eastAsia="Times New Roman" w:hAnsi="Calibri Light" w:cs="Calibri Light"/>
                      <w:color w:val="FFFFFF"/>
                      <w:sz w:val="42"/>
                      <w:szCs w:val="42"/>
                      <w:lang w:val="en-GB"/>
                    </w:rPr>
                    <w:t xml:space="preserve"> Nacionales</w:t>
                  </w:r>
                </w:p>
              </w:tc>
            </w:tr>
          </w:tbl>
          <w:p w14:paraId="680CD2E2" w14:textId="77777777" w:rsidR="00EA38F4" w:rsidRPr="00EA38F4" w:rsidRDefault="00EA38F4" w:rsidP="00EA38F4">
            <w:pPr>
              <w:spacing w:after="0" w:line="240" w:lineRule="auto"/>
              <w:jc w:val="center"/>
              <w:rPr>
                <w:rFonts w:ascii="Times New Roman" w:eastAsia="Times New Roman" w:hAnsi="Times New Roman" w:cs="Times New Roman"/>
                <w:sz w:val="20"/>
                <w:szCs w:val="20"/>
              </w:rPr>
            </w:pPr>
          </w:p>
        </w:tc>
      </w:tr>
      <w:tr w:rsidR="00EA38F4" w:rsidRPr="00EA38F4" w14:paraId="649936B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EA38F4" w:rsidRPr="00EA38F4" w14:paraId="3AC76C39"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45BB3AB1" w14:textId="77777777" w:rsidR="00EA38F4" w:rsidRPr="00EA38F4" w:rsidRDefault="00EA38F4" w:rsidP="00EA38F4">
                  <w:pPr>
                    <w:spacing w:after="0" w:line="240" w:lineRule="auto"/>
                    <w:rPr>
                      <w:rFonts w:ascii="Verdana" w:eastAsia="Aptos" w:hAnsi="Verdana" w:cs="Aptos"/>
                      <w:color w:val="FFFFFF"/>
                      <w:lang w:val="es-AR"/>
                    </w:rPr>
                  </w:pPr>
                </w:p>
              </w:tc>
            </w:tr>
            <w:tr w:rsidR="00EA38F4" w:rsidRPr="00EA38F4" w14:paraId="64AF496F" w14:textId="77777777">
              <w:trPr>
                <w:trHeight w:val="1134"/>
                <w:jc w:val="center"/>
              </w:trPr>
              <w:tc>
                <w:tcPr>
                  <w:tcW w:w="7938" w:type="dxa"/>
                  <w:shd w:val="clear" w:color="auto" w:fill="000000"/>
                  <w:tcMar>
                    <w:top w:w="0" w:type="dxa"/>
                    <w:left w:w="454" w:type="dxa"/>
                    <w:bottom w:w="0" w:type="dxa"/>
                    <w:right w:w="454" w:type="dxa"/>
                  </w:tcMar>
                  <w:vAlign w:val="center"/>
                </w:tcPr>
                <w:p w14:paraId="0F8F8AF8" w14:textId="77777777" w:rsidR="00EA38F4" w:rsidRPr="00EA38F4" w:rsidRDefault="00EA38F4" w:rsidP="00EA38F4">
                  <w:pPr>
                    <w:spacing w:after="0" w:line="240" w:lineRule="auto"/>
                    <w:rPr>
                      <w:rFonts w:ascii="Calibri Light" w:eastAsia="Aptos" w:hAnsi="Calibri Light" w:cs="Calibri Light"/>
                      <w:color w:val="FFFFFF"/>
                      <w:sz w:val="16"/>
                      <w:szCs w:val="16"/>
                      <w:lang w:val="es-AR"/>
                    </w:rPr>
                  </w:pPr>
                  <w:r w:rsidRPr="00EA38F4">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0D311C8" w14:textId="77777777" w:rsidR="00EA38F4" w:rsidRPr="00EA38F4" w:rsidRDefault="00EA38F4" w:rsidP="00EA38F4">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EA38F4" w:rsidRPr="00EA38F4" w14:paraId="20BC6ABA" w14:textId="77777777">
                    <w:tc>
                      <w:tcPr>
                        <w:tcW w:w="848" w:type="dxa"/>
                        <w:tcMar>
                          <w:top w:w="0" w:type="dxa"/>
                          <w:left w:w="108" w:type="dxa"/>
                          <w:bottom w:w="0" w:type="dxa"/>
                          <w:right w:w="108" w:type="dxa"/>
                        </w:tcMar>
                        <w:vAlign w:val="center"/>
                        <w:hideMark/>
                      </w:tcPr>
                      <w:p w14:paraId="0C5DD64A" w14:textId="77777777" w:rsidR="00EA38F4" w:rsidRPr="00EA38F4" w:rsidRDefault="00EA38F4" w:rsidP="00EA38F4">
                        <w:pPr>
                          <w:spacing w:after="0" w:line="240" w:lineRule="auto"/>
                          <w:rPr>
                            <w:rFonts w:ascii="Calibri" w:eastAsia="Aptos" w:hAnsi="Calibri" w:cs="Calibri"/>
                            <w:b/>
                            <w:bCs/>
                            <w:color w:val="FFFFFF"/>
                            <w:sz w:val="16"/>
                            <w:szCs w:val="16"/>
                            <w:lang w:val="es-AR"/>
                          </w:rPr>
                        </w:pPr>
                        <w:r w:rsidRPr="00EA38F4">
                          <w:rPr>
                            <w:rFonts w:ascii="Verdana" w:eastAsia="Aptos" w:hAnsi="Verdana" w:cs="Aptos"/>
                            <w:noProof/>
                            <w:color w:val="000000"/>
                            <w:lang w:val="en-GB"/>
                          </w:rPr>
                          <w:drawing>
                            <wp:inline distT="0" distB="0" distL="0" distR="0" wp14:anchorId="717891D2" wp14:editId="397F1E99">
                              <wp:extent cx="425450" cy="425450"/>
                              <wp:effectExtent l="0" t="0" r="12700" b="12700"/>
                              <wp:docPr id="27"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6F283F1" w14:textId="77777777" w:rsidR="00EA38F4" w:rsidRPr="00EA38F4" w:rsidRDefault="00EA38F4" w:rsidP="00EA38F4">
                        <w:pPr>
                          <w:spacing w:after="0" w:line="240" w:lineRule="auto"/>
                          <w:rPr>
                            <w:rFonts w:ascii="Calibri Light" w:eastAsia="Aptos" w:hAnsi="Calibri Light" w:cs="Calibri Light"/>
                            <w:color w:val="FFFFFF"/>
                            <w:lang w:val="es-AR"/>
                          </w:rPr>
                        </w:pPr>
                        <w:r w:rsidRPr="00EA38F4">
                          <w:rPr>
                            <w:rFonts w:ascii="Calibri" w:eastAsia="Aptos" w:hAnsi="Calibri" w:cs="Calibri"/>
                            <w:b/>
                            <w:bCs/>
                            <w:color w:val="FFFFFF"/>
                            <w:lang w:val="es-AR"/>
                          </w:rPr>
                          <w:t xml:space="preserve">Para </w:t>
                        </w:r>
                        <w:proofErr w:type="gramStart"/>
                        <w:r w:rsidRPr="00EA38F4">
                          <w:rPr>
                            <w:rFonts w:ascii="Calibri" w:eastAsia="Aptos" w:hAnsi="Calibri" w:cs="Calibri"/>
                            <w:b/>
                            <w:bCs/>
                            <w:color w:val="FFFFFF"/>
                            <w:lang w:val="es-AR"/>
                          </w:rPr>
                          <w:t>mayor información</w:t>
                        </w:r>
                        <w:proofErr w:type="gramEnd"/>
                        <w:r w:rsidRPr="00EA38F4">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757218E" w14:textId="77777777" w:rsidR="00EA38F4" w:rsidRPr="00EA38F4" w:rsidRDefault="00EA38F4" w:rsidP="00EA38F4">
                  <w:pPr>
                    <w:spacing w:after="0" w:line="240" w:lineRule="auto"/>
                    <w:rPr>
                      <w:rFonts w:ascii="Calibri" w:eastAsia="Aptos" w:hAnsi="Calibri" w:cs="Calibri"/>
                      <w:b/>
                      <w:bCs/>
                      <w:color w:val="FFFFFF"/>
                      <w:lang w:val="es-MX"/>
                    </w:rPr>
                  </w:pPr>
                </w:p>
              </w:tc>
            </w:tr>
            <w:tr w:rsidR="00EA38F4" w:rsidRPr="00EA38F4" w14:paraId="43013691" w14:textId="77777777">
              <w:trPr>
                <w:trHeight w:val="454"/>
                <w:jc w:val="center"/>
              </w:trPr>
              <w:tc>
                <w:tcPr>
                  <w:tcW w:w="7938" w:type="dxa"/>
                  <w:shd w:val="clear" w:color="auto" w:fill="000000"/>
                  <w:tcMar>
                    <w:top w:w="0" w:type="dxa"/>
                    <w:left w:w="454" w:type="dxa"/>
                    <w:bottom w:w="0" w:type="dxa"/>
                    <w:right w:w="454" w:type="dxa"/>
                  </w:tcMar>
                </w:tcPr>
                <w:p w14:paraId="33A1031D" w14:textId="77777777" w:rsidR="00EA38F4" w:rsidRPr="00EA38F4" w:rsidRDefault="00EA38F4" w:rsidP="00EA38F4">
                  <w:pPr>
                    <w:spacing w:after="0" w:line="240" w:lineRule="auto"/>
                    <w:rPr>
                      <w:rFonts w:ascii="Verdana" w:eastAsia="Aptos" w:hAnsi="Verdana" w:cs="Aptos"/>
                      <w:color w:val="000000"/>
                      <w:lang w:val="es-MX"/>
                    </w:rPr>
                  </w:pPr>
                </w:p>
              </w:tc>
            </w:tr>
          </w:tbl>
          <w:p w14:paraId="20973A03" w14:textId="77777777" w:rsidR="00EA38F4" w:rsidRPr="00EA38F4" w:rsidRDefault="00EA38F4" w:rsidP="00EA38F4">
            <w:pPr>
              <w:spacing w:after="0" w:line="240" w:lineRule="auto"/>
              <w:jc w:val="center"/>
              <w:rPr>
                <w:rFonts w:ascii="Times New Roman" w:eastAsia="Times New Roman" w:hAnsi="Times New Roman" w:cs="Times New Roman"/>
                <w:sz w:val="20"/>
                <w:szCs w:val="20"/>
                <w:lang w:val="es-MX"/>
              </w:rPr>
            </w:pPr>
          </w:p>
        </w:tc>
      </w:tr>
      <w:tr w:rsidR="00EA38F4" w:rsidRPr="00EA38F4" w14:paraId="3897648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3533AC75"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64D40794" w14:textId="77777777" w:rsidR="00EA38F4" w:rsidRPr="00EA38F4" w:rsidRDefault="00EA38F4" w:rsidP="00EA38F4">
                  <w:pPr>
                    <w:spacing w:after="120" w:line="240" w:lineRule="auto"/>
                    <w:jc w:val="both"/>
                    <w:rPr>
                      <w:rFonts w:ascii="Verdana" w:eastAsia="Aptos" w:hAnsi="Verdana" w:cs="Aptos"/>
                      <w:color w:val="000000"/>
                      <w:lang w:val="es-MX"/>
                    </w:rPr>
                  </w:pPr>
                </w:p>
              </w:tc>
            </w:tr>
            <w:tr w:rsidR="00EA38F4" w:rsidRPr="00EA38F4" w14:paraId="19CC7721" w14:textId="77777777">
              <w:trPr>
                <w:trHeight w:val="1134"/>
                <w:jc w:val="center"/>
              </w:trPr>
              <w:tc>
                <w:tcPr>
                  <w:tcW w:w="7938" w:type="dxa"/>
                  <w:shd w:val="clear" w:color="auto" w:fill="FFFFFF"/>
                  <w:tcMar>
                    <w:top w:w="0" w:type="dxa"/>
                    <w:left w:w="454" w:type="dxa"/>
                    <w:bottom w:w="0" w:type="dxa"/>
                    <w:right w:w="454" w:type="dxa"/>
                  </w:tcMar>
                  <w:hideMark/>
                </w:tcPr>
                <w:p w14:paraId="1A6BC95E"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t xml:space="preserve">Impuesto a las Ganancias </w:t>
                  </w:r>
                </w:p>
                <w:p w14:paraId="3418CBDA"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Decreto N°406/2026</w:t>
                  </w:r>
                </w:p>
                <w:p w14:paraId="36514695"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lastRenderedPageBreak/>
                    <w:t xml:space="preserve">Mediante el presente, se reglamenta el alcance de la exención aplicable al valor locativo y la venta de inmuebles establecido en el artículo 26 inc.) n de la Ley del Impuesto a las ganancias. </w:t>
                  </w:r>
                </w:p>
                <w:p w14:paraId="670D9A8B"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 xml:space="preserve">A tales fines se amplía el artículo 83 del Decreto Reglamentario, indicando “se entiende por casa-habitación al inmueble con destino a vivienda única, familiar y de ocupación permanente del sujeto que la habita”. </w:t>
                  </w:r>
                </w:p>
                <w:p w14:paraId="0FEEAD3A"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En ese sentido, especifica que cuando se trate de uso propio, la condición de casa-habitación recae sobre la vivienda del contribuyente; mientras que, en los casos de locación o sublocación, dicha condición deberá verificarse en cabeza del locatario o sublocatario, quien deberá destinar el inmueble a vivienda permanente.</w:t>
                  </w:r>
                </w:p>
                <w:p w14:paraId="52783EAB"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Asimismo, establece que la exención de la Ley del Impuesto a las Ganancias por locación o sublocación de inmuebles destinados a casa-habitación aplica a todas las propiedades destinadas a dicho destino en su carácter de locador o sublocador.</w:t>
                  </w:r>
                </w:p>
                <w:p w14:paraId="6A091397"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Dicha exención rige a las ganancias derivadas de la locación o sublocación de inmuebles con destino a casa-habitación que se devenguen a partir del 1° de enero de 2026.</w:t>
                  </w:r>
                </w:p>
                <w:p w14:paraId="79417027"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Por otra parte, incorpora un artículo sin número a continuación del artículo 83 del DR el cual establece que las personas humanas y sucesiones indivisas, tanto residentes como no residentes, estarán exentas del Impuesto a las Ganancias por los resultados por enajenación de inmuebles o transferencia de derechos sobre inmuebles ubicados en Argentina, siempre que:</w:t>
                  </w:r>
                </w:p>
                <w:p w14:paraId="5E788260" w14:textId="77777777" w:rsidR="00EA38F4" w:rsidRPr="00EA38F4" w:rsidRDefault="00EA38F4" w:rsidP="00EA38F4">
                  <w:pPr>
                    <w:numPr>
                      <w:ilvl w:val="0"/>
                      <w:numId w:val="1"/>
                    </w:numPr>
                    <w:spacing w:after="120" w:line="240" w:lineRule="auto"/>
                    <w:contextualSpacing/>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Las operaciones estén alcanzadas por el artículo 99 de la ley (Enajenación y transferencia de derechos sobre inmuebles).</w:t>
                  </w:r>
                </w:p>
                <w:p w14:paraId="502E809B" w14:textId="77777777" w:rsidR="00EA38F4" w:rsidRPr="00EA38F4" w:rsidRDefault="00EA38F4" w:rsidP="00EA38F4">
                  <w:pPr>
                    <w:numPr>
                      <w:ilvl w:val="0"/>
                      <w:numId w:val="1"/>
                    </w:numPr>
                    <w:spacing w:after="120" w:line="240" w:lineRule="auto"/>
                    <w:contextualSpacing/>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Se realicen a partir del 1° de enero de 2026.</w:t>
                  </w:r>
                </w:p>
                <w:p w14:paraId="23088B15" w14:textId="77777777" w:rsidR="00EA38F4" w:rsidRPr="00EA38F4" w:rsidRDefault="00EA38F4" w:rsidP="00EA38F4">
                  <w:pPr>
                    <w:spacing w:after="120" w:line="240" w:lineRule="auto"/>
                    <w:jc w:val="both"/>
                    <w:rPr>
                      <w:rFonts w:ascii="Calibri Light" w:eastAsia="Aptos" w:hAnsi="Calibri Light" w:cs="Calibri Light"/>
                      <w:color w:val="000000"/>
                      <w:lang w:val="es-AR"/>
                    </w:rPr>
                  </w:pPr>
                  <w:r w:rsidRPr="00EA38F4">
                    <w:rPr>
                      <w:rFonts w:ascii="Calibri Light" w:eastAsia="Aptos" w:hAnsi="Calibri Light" w:cs="Calibri Light"/>
                      <w:color w:val="000000"/>
                      <w:lang w:val="es-AR"/>
                    </w:rPr>
                    <w:t>Finalmente se indica que no resultara de aplicación la citada deducción cuando el locador o condómino, en la proporción que le resulte atribuible en virtud de lo dispuesto en el párrafo anterior, revista la condición de persona humana o sucesión indivisa.</w:t>
                  </w:r>
                </w:p>
              </w:tc>
            </w:tr>
            <w:tr w:rsidR="00EA38F4" w:rsidRPr="00EA38F4" w14:paraId="0D55E7D0" w14:textId="77777777">
              <w:trPr>
                <w:trHeight w:val="454"/>
                <w:jc w:val="center"/>
              </w:trPr>
              <w:tc>
                <w:tcPr>
                  <w:tcW w:w="7938" w:type="dxa"/>
                  <w:shd w:val="clear" w:color="auto" w:fill="FFFFFF"/>
                  <w:tcMar>
                    <w:top w:w="0" w:type="dxa"/>
                    <w:left w:w="454" w:type="dxa"/>
                    <w:bottom w:w="0" w:type="dxa"/>
                    <w:right w:w="454" w:type="dxa"/>
                  </w:tcMar>
                </w:tcPr>
                <w:p w14:paraId="5402DFF0" w14:textId="77777777" w:rsidR="00EA38F4" w:rsidRPr="00EA38F4" w:rsidRDefault="00EA38F4" w:rsidP="00EA38F4">
                  <w:pPr>
                    <w:spacing w:after="120" w:line="240" w:lineRule="auto"/>
                    <w:jc w:val="both"/>
                    <w:rPr>
                      <w:rFonts w:ascii="Verdana" w:eastAsia="Aptos" w:hAnsi="Verdana" w:cs="Aptos"/>
                      <w:color w:val="000000"/>
                      <w:lang w:val="es-AR"/>
                    </w:rPr>
                  </w:pPr>
                </w:p>
              </w:tc>
            </w:tr>
          </w:tbl>
          <w:p w14:paraId="33AAC013" w14:textId="77777777" w:rsidR="00EA38F4" w:rsidRPr="00EA38F4" w:rsidRDefault="00EA38F4" w:rsidP="00EA38F4">
            <w:pPr>
              <w:spacing w:after="0" w:line="240" w:lineRule="auto"/>
              <w:jc w:val="center"/>
              <w:rPr>
                <w:rFonts w:ascii="Times New Roman" w:eastAsia="Times New Roman" w:hAnsi="Times New Roman" w:cs="Times New Roman"/>
                <w:sz w:val="20"/>
                <w:szCs w:val="20"/>
                <w:lang w:val="es-MX"/>
              </w:rPr>
            </w:pPr>
          </w:p>
        </w:tc>
      </w:tr>
      <w:tr w:rsidR="00EA38F4" w:rsidRPr="00EA38F4" w14:paraId="6640C6CF"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0DF352D5"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2F78D45" w14:textId="77777777" w:rsidR="00EA38F4" w:rsidRPr="00EA38F4" w:rsidRDefault="00EA38F4" w:rsidP="00EA38F4">
                  <w:pPr>
                    <w:spacing w:after="120" w:line="240" w:lineRule="auto"/>
                    <w:jc w:val="both"/>
                    <w:rPr>
                      <w:rFonts w:ascii="Verdana" w:eastAsia="Aptos" w:hAnsi="Verdana" w:cs="Aptos"/>
                      <w:color w:val="000000"/>
                      <w:lang w:val="es-AR"/>
                    </w:rPr>
                  </w:pPr>
                </w:p>
              </w:tc>
            </w:tr>
            <w:tr w:rsidR="00EA38F4" w:rsidRPr="00EA38F4" w14:paraId="247FDCEE" w14:textId="77777777">
              <w:trPr>
                <w:trHeight w:val="1134"/>
                <w:jc w:val="center"/>
              </w:trPr>
              <w:tc>
                <w:tcPr>
                  <w:tcW w:w="7938" w:type="dxa"/>
                  <w:shd w:val="clear" w:color="auto" w:fill="FFFFFF"/>
                  <w:tcMar>
                    <w:top w:w="0" w:type="dxa"/>
                    <w:left w:w="454" w:type="dxa"/>
                    <w:bottom w:w="0" w:type="dxa"/>
                    <w:right w:w="454" w:type="dxa"/>
                  </w:tcMar>
                </w:tcPr>
                <w:p w14:paraId="4ABD62C9"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t xml:space="preserve">Reglamentación de la Ley de Modernización Laboral 27.802 </w:t>
                  </w:r>
                </w:p>
                <w:p w14:paraId="5E8395B4"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 xml:space="preserve">Decreto N°407/2026 </w:t>
                  </w:r>
                </w:p>
                <w:p w14:paraId="79130EAD"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El 1 de junio de 2026 se publicó en el Boletín Oficial el Decreto </w:t>
                  </w:r>
                  <w:proofErr w:type="spellStart"/>
                  <w:r w:rsidRPr="00EA38F4">
                    <w:rPr>
                      <w:rFonts w:ascii="Calibri Light" w:eastAsia="Aptos" w:hAnsi="Calibri Light" w:cs="Calibri Light"/>
                      <w:color w:val="000000"/>
                      <w:spacing w:val="-2"/>
                      <w:lang w:val="es-AR"/>
                    </w:rPr>
                    <w:t>N°</w:t>
                  </w:r>
                  <w:proofErr w:type="spellEnd"/>
                  <w:r w:rsidRPr="00EA38F4">
                    <w:rPr>
                      <w:rFonts w:ascii="Calibri Light" w:eastAsia="Aptos" w:hAnsi="Calibri Light" w:cs="Calibri Light"/>
                      <w:color w:val="000000"/>
                      <w:spacing w:val="-2"/>
                      <w:lang w:val="es-AR"/>
                    </w:rPr>
                    <w:t xml:space="preserve"> 407/2026, mediante el cual el Poder Ejecutivo Nacional reglamentó diversas disposiciones incorporadas por la Ley de Modernización Laboral </w:t>
                  </w:r>
                  <w:proofErr w:type="spellStart"/>
                  <w:r w:rsidRPr="00EA38F4">
                    <w:rPr>
                      <w:rFonts w:ascii="Calibri Light" w:eastAsia="Aptos" w:hAnsi="Calibri Light" w:cs="Calibri Light"/>
                      <w:color w:val="000000"/>
                      <w:spacing w:val="-2"/>
                      <w:lang w:val="es-AR"/>
                    </w:rPr>
                    <w:t>N°</w:t>
                  </w:r>
                  <w:proofErr w:type="spellEnd"/>
                  <w:r w:rsidRPr="00EA38F4">
                    <w:rPr>
                      <w:rFonts w:ascii="Calibri Light" w:eastAsia="Aptos" w:hAnsi="Calibri Light" w:cs="Calibri Light"/>
                      <w:color w:val="000000"/>
                      <w:spacing w:val="-2"/>
                      <w:lang w:val="es-AR"/>
                    </w:rPr>
                    <w:t xml:space="preserve"> 27.802.</w:t>
                  </w:r>
                </w:p>
                <w:p w14:paraId="6B26FF73"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lastRenderedPageBreak/>
                    <w:t xml:space="preserve">El mismo reglamenta múltiples institutos del derecho individual y colectivo del trabajo, introduciendo precisiones operativas relevantes. Entre las principales definiciones se encuentran: </w:t>
                  </w:r>
                </w:p>
                <w:p w14:paraId="5222E1AD"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 Registración laboral: se centraliza en los sistemas de ARCA, considerándose cumplida con el alta y baja del trabajador, sin exigencias adicionales. </w:t>
                  </w:r>
                </w:p>
                <w:p w14:paraId="1F389047"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Recibos de haberes: deberán incluir el detalle del costo laboral total, con discriminación de cargas y contribuciones.</w:t>
                  </w:r>
                </w:p>
                <w:p w14:paraId="5803B2E2"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 Certificados médicos: se incorpora la obligatoriedad de emisión digital a través de plataformas habilitadas. </w:t>
                  </w:r>
                </w:p>
                <w:p w14:paraId="20F25FB2"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 Renuncias y acuerdos extintivos: se prevé mayor intervención de la autoridad laboral en su formalización. </w:t>
                  </w:r>
                </w:p>
                <w:p w14:paraId="0D4DF01B"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Relaciones colectivas y organización laboral: Se establecen criterios para la renegociación de convenios colectivos, con intervención de la autoridad de aplicación. Se introducen reglas sobre representatividad sindical y empresaria, incluyendo parámetros mínimos de representación. Se regulan las cláusulas obligacionales de los convenios, fijando límites y condiciones de exigibilidad.</w:t>
                  </w:r>
                </w:p>
                <w:p w14:paraId="0200F761" w14:textId="77777777" w:rsidR="00EA38F4" w:rsidRPr="00EA38F4" w:rsidRDefault="00EA38F4" w:rsidP="00EA38F4">
                  <w:pPr>
                    <w:spacing w:after="120" w:line="240" w:lineRule="auto"/>
                    <w:jc w:val="both"/>
                    <w:rPr>
                      <w:rFonts w:ascii="Calibri Light" w:eastAsia="Aptos" w:hAnsi="Calibri Light" w:cs="Calibri Light"/>
                      <w:spacing w:val="-2"/>
                      <w:lang w:val="es-AR"/>
                    </w:rPr>
                  </w:pPr>
                </w:p>
                <w:p w14:paraId="7A1F0739"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Asimismo, el decreto aborda aspectos vinculados con: Empresas de servicios eventuales, Contrato permanente discontinuo, Plataformas digitales, Registro laboral en el sector de la construcción. </w:t>
                  </w:r>
                </w:p>
                <w:p w14:paraId="1364FE63"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La reglamentación </w:t>
                  </w:r>
                  <w:proofErr w:type="gramStart"/>
                  <w:r w:rsidRPr="00EA38F4">
                    <w:rPr>
                      <w:rFonts w:ascii="Calibri Light" w:eastAsia="Aptos" w:hAnsi="Calibri Light" w:cs="Calibri Light"/>
                      <w:color w:val="000000"/>
                      <w:spacing w:val="-2"/>
                      <w:lang w:val="es-AR"/>
                    </w:rPr>
                    <w:t>entrará en vigencia</w:t>
                  </w:r>
                  <w:proofErr w:type="gramEnd"/>
                  <w:r w:rsidRPr="00EA38F4">
                    <w:rPr>
                      <w:rFonts w:ascii="Calibri Light" w:eastAsia="Aptos" w:hAnsi="Calibri Light" w:cs="Calibri Light"/>
                      <w:color w:val="000000"/>
                      <w:spacing w:val="-2"/>
                      <w:lang w:val="es-AR"/>
                    </w:rPr>
                    <w:t xml:space="preserve"> el día de su publicación en el Boletín Oficial (01/06/2026).</w:t>
                  </w:r>
                </w:p>
              </w:tc>
            </w:tr>
            <w:tr w:rsidR="00EA38F4" w:rsidRPr="00EA38F4" w14:paraId="5E264DEA" w14:textId="77777777">
              <w:trPr>
                <w:trHeight w:val="454"/>
                <w:jc w:val="center"/>
              </w:trPr>
              <w:tc>
                <w:tcPr>
                  <w:tcW w:w="7938" w:type="dxa"/>
                  <w:shd w:val="clear" w:color="auto" w:fill="FFFFFF"/>
                  <w:tcMar>
                    <w:top w:w="0" w:type="dxa"/>
                    <w:left w:w="454" w:type="dxa"/>
                    <w:bottom w:w="0" w:type="dxa"/>
                    <w:right w:w="454" w:type="dxa"/>
                  </w:tcMar>
                </w:tcPr>
                <w:p w14:paraId="584B5C71" w14:textId="77777777" w:rsidR="00EA38F4" w:rsidRPr="00EA38F4" w:rsidRDefault="00EA38F4" w:rsidP="00EA38F4">
                  <w:pPr>
                    <w:spacing w:after="120" w:line="240" w:lineRule="auto"/>
                    <w:jc w:val="both"/>
                    <w:rPr>
                      <w:rFonts w:ascii="Verdana" w:eastAsia="Aptos" w:hAnsi="Verdana" w:cs="Aptos"/>
                      <w:color w:val="000000"/>
                      <w:lang w:val="es-AR"/>
                    </w:rPr>
                  </w:pPr>
                </w:p>
              </w:tc>
            </w:tr>
          </w:tbl>
          <w:p w14:paraId="7E87F54D" w14:textId="77777777" w:rsidR="00EA38F4" w:rsidRPr="00EA38F4" w:rsidRDefault="00EA38F4" w:rsidP="00EA38F4">
            <w:pPr>
              <w:spacing w:after="0" w:line="240" w:lineRule="auto"/>
              <w:jc w:val="center"/>
              <w:rPr>
                <w:rFonts w:ascii="Verdana" w:eastAsia="Aptos" w:hAnsi="Verdana" w:cs="Aptos"/>
                <w:color w:val="000000"/>
                <w:lang w:val="es-AR"/>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1BBB07DB"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0DA8F5F" w14:textId="77777777" w:rsidR="00EA38F4" w:rsidRPr="00EA38F4" w:rsidRDefault="00EA38F4" w:rsidP="00EA38F4">
                  <w:pPr>
                    <w:spacing w:after="120" w:line="240" w:lineRule="auto"/>
                    <w:jc w:val="both"/>
                    <w:rPr>
                      <w:rFonts w:ascii="Verdana" w:eastAsia="Aptos" w:hAnsi="Verdana" w:cs="Aptos"/>
                      <w:color w:val="000000"/>
                      <w:lang w:val="es-AR"/>
                    </w:rPr>
                  </w:pPr>
                </w:p>
              </w:tc>
            </w:tr>
            <w:tr w:rsidR="00EA38F4" w:rsidRPr="00EA38F4" w14:paraId="18920CB3" w14:textId="77777777">
              <w:trPr>
                <w:trHeight w:val="1134"/>
                <w:jc w:val="center"/>
              </w:trPr>
              <w:tc>
                <w:tcPr>
                  <w:tcW w:w="7938" w:type="dxa"/>
                  <w:shd w:val="clear" w:color="auto" w:fill="FFFFFF"/>
                  <w:tcMar>
                    <w:top w:w="0" w:type="dxa"/>
                    <w:left w:w="454" w:type="dxa"/>
                    <w:bottom w:w="0" w:type="dxa"/>
                    <w:right w:w="454" w:type="dxa"/>
                  </w:tcMar>
                  <w:hideMark/>
                </w:tcPr>
                <w:p w14:paraId="712915F3"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t xml:space="preserve">Reglamentación del Fondo de Asistencia Laboral (FAL) </w:t>
                  </w:r>
                </w:p>
                <w:p w14:paraId="503C10B9"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Decreto N°408/2026</w:t>
                  </w:r>
                </w:p>
                <w:p w14:paraId="2B5A7661"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El 1 de junio de 2026 se publicó en el Boletín Oficial el Decreto 408/2026, mediante el cual el Poder Ejecutivo reglamentó el Título II de la Ley de Modernización Laboral </w:t>
                  </w:r>
                  <w:proofErr w:type="spellStart"/>
                  <w:r w:rsidRPr="00EA38F4">
                    <w:rPr>
                      <w:rFonts w:ascii="Calibri Light" w:eastAsia="Aptos" w:hAnsi="Calibri Light" w:cs="Calibri Light"/>
                      <w:color w:val="000000"/>
                      <w:spacing w:val="-2"/>
                      <w:lang w:val="es-AR"/>
                    </w:rPr>
                    <w:t>N°</w:t>
                  </w:r>
                  <w:proofErr w:type="spellEnd"/>
                  <w:r w:rsidRPr="00EA38F4">
                    <w:rPr>
                      <w:rFonts w:ascii="Calibri Light" w:eastAsia="Aptos" w:hAnsi="Calibri Light" w:cs="Calibri Light"/>
                      <w:color w:val="000000"/>
                      <w:spacing w:val="-2"/>
                      <w:lang w:val="es-AR"/>
                    </w:rPr>
                    <w:t xml:space="preserve"> 27.802, referido al Fondo de Asistencia Laboral (FAL). </w:t>
                  </w:r>
                </w:p>
                <w:p w14:paraId="487C33AA"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El mismo establece el marco operativo del FAL, orientado a la previsión financiera de las indemnizaciones laborales. Se destaca que el FAL es un sistema aplicable a empleadores del sector privado, sin modificar el régimen indemnizatorio vigente que se instrumenta mediante fondos comunes de inversión o fideicomisos financieros, bajo supervisión de la CNV. Para su funcionamiento cada empleador deberá constituir una cuenta individual con afectación exclusiva al pago de </w:t>
                  </w:r>
                  <w:r w:rsidRPr="00EA38F4">
                    <w:rPr>
                      <w:rFonts w:ascii="Calibri Light" w:eastAsia="Aptos" w:hAnsi="Calibri Light" w:cs="Calibri Light"/>
                      <w:color w:val="000000"/>
                      <w:spacing w:val="-2"/>
                      <w:lang w:val="es-AR"/>
                    </w:rPr>
                    <w:lastRenderedPageBreak/>
                    <w:t xml:space="preserve">indemnizaciones. Las contribuciones serán mensuales e integradas al sistema de seguridad social a través de ARCA. </w:t>
                  </w:r>
                </w:p>
                <w:p w14:paraId="5FD6E516"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Se exige un período de carencia mínimo de seis meses y registración previa de los trabajadores. El sistema prevé que para el pago de indemnizaciones el empleador deberá realizar la presentación de declaración jurada, la entidad administradora validará los datos, y luego se realizará la transferencia al trabajador en un máximo de 5 días hábiles. </w:t>
                  </w:r>
                </w:p>
                <w:p w14:paraId="521F5F26"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Entre otros aspectos relevantes la norma establece el tratamiento fiscal específico (deducciones y exenciones), la posibilidad de reducción de contribuciones patronales, la supervisión por CNV, ARCA y Secretaría de Trabajo, y se establece que el régimen </w:t>
                  </w:r>
                  <w:proofErr w:type="gramStart"/>
                  <w:r w:rsidRPr="00EA38F4">
                    <w:rPr>
                      <w:rFonts w:ascii="Calibri Light" w:eastAsia="Aptos" w:hAnsi="Calibri Light" w:cs="Calibri Light"/>
                      <w:color w:val="000000"/>
                      <w:spacing w:val="-2"/>
                      <w:lang w:val="es-AR"/>
                    </w:rPr>
                    <w:t>entrará en vigencia</w:t>
                  </w:r>
                  <w:proofErr w:type="gramEnd"/>
                  <w:r w:rsidRPr="00EA38F4">
                    <w:rPr>
                      <w:rFonts w:ascii="Calibri Light" w:eastAsia="Aptos" w:hAnsi="Calibri Light" w:cs="Calibri Light"/>
                      <w:color w:val="000000"/>
                      <w:spacing w:val="-2"/>
                      <w:lang w:val="es-AR"/>
                    </w:rPr>
                    <w:t xml:space="preserve"> el 1° de noviembre de 2026.</w:t>
                  </w:r>
                </w:p>
              </w:tc>
            </w:tr>
            <w:tr w:rsidR="00EA38F4" w:rsidRPr="00EA38F4" w14:paraId="68461C44" w14:textId="77777777">
              <w:trPr>
                <w:trHeight w:val="454"/>
                <w:jc w:val="center"/>
              </w:trPr>
              <w:tc>
                <w:tcPr>
                  <w:tcW w:w="7938" w:type="dxa"/>
                  <w:shd w:val="clear" w:color="auto" w:fill="FFFFFF"/>
                  <w:tcMar>
                    <w:top w:w="0" w:type="dxa"/>
                    <w:left w:w="454" w:type="dxa"/>
                    <w:bottom w:w="0" w:type="dxa"/>
                    <w:right w:w="454" w:type="dxa"/>
                  </w:tcMar>
                </w:tcPr>
                <w:p w14:paraId="35FDE4FA" w14:textId="77777777" w:rsidR="00EA38F4" w:rsidRPr="00EA38F4" w:rsidRDefault="00EA38F4" w:rsidP="00EA38F4">
                  <w:pPr>
                    <w:spacing w:after="120" w:line="240" w:lineRule="auto"/>
                    <w:jc w:val="both"/>
                    <w:rPr>
                      <w:rFonts w:ascii="Verdana" w:eastAsia="Aptos" w:hAnsi="Verdana" w:cs="Aptos"/>
                      <w:color w:val="000000"/>
                      <w:lang w:val="es-AR"/>
                    </w:rPr>
                  </w:pPr>
                </w:p>
              </w:tc>
            </w:tr>
          </w:tbl>
          <w:p w14:paraId="64B7478D" w14:textId="77777777" w:rsidR="00EA38F4" w:rsidRPr="00EA38F4" w:rsidRDefault="00EA38F4" w:rsidP="00EA38F4">
            <w:pPr>
              <w:spacing w:after="0" w:line="240" w:lineRule="auto"/>
              <w:jc w:val="center"/>
              <w:rPr>
                <w:rFonts w:ascii="Verdana" w:eastAsia="Aptos" w:hAnsi="Verdana" w:cs="Aptos"/>
                <w:color w:val="000000"/>
                <w:lang w:val="es-MX"/>
              </w:rPr>
            </w:pPr>
          </w:p>
        </w:tc>
      </w:tr>
      <w:tr w:rsidR="00EA38F4" w:rsidRPr="00EA38F4" w14:paraId="6BD6EBC2"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559A0258"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5E17E431" w14:textId="77777777" w:rsidR="00EA38F4" w:rsidRPr="00EA38F4" w:rsidRDefault="00EA38F4" w:rsidP="00EA38F4">
                  <w:pPr>
                    <w:spacing w:after="120" w:line="240" w:lineRule="auto"/>
                    <w:jc w:val="both"/>
                    <w:rPr>
                      <w:rFonts w:ascii="Verdana" w:eastAsia="Aptos" w:hAnsi="Verdana" w:cs="Aptos"/>
                      <w:color w:val="000000"/>
                      <w:lang w:val="es-AR"/>
                    </w:rPr>
                  </w:pPr>
                </w:p>
              </w:tc>
            </w:tr>
            <w:tr w:rsidR="00EA38F4" w:rsidRPr="00EA38F4" w14:paraId="04B6FAD6" w14:textId="77777777">
              <w:trPr>
                <w:trHeight w:val="1134"/>
                <w:jc w:val="center"/>
              </w:trPr>
              <w:tc>
                <w:tcPr>
                  <w:tcW w:w="7938" w:type="dxa"/>
                  <w:shd w:val="clear" w:color="auto" w:fill="FFFFFF"/>
                  <w:tcMar>
                    <w:top w:w="0" w:type="dxa"/>
                    <w:left w:w="454" w:type="dxa"/>
                    <w:bottom w:w="0" w:type="dxa"/>
                    <w:right w:w="454" w:type="dxa"/>
                  </w:tcMar>
                  <w:hideMark/>
                </w:tcPr>
                <w:p w14:paraId="1058BBF2"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t>Reglamentación del Régimen de Promoción del Empleo Registrado (PER)</w:t>
                  </w:r>
                </w:p>
                <w:p w14:paraId="372EDB73"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Decreto N°409/2026</w:t>
                  </w:r>
                </w:p>
                <w:p w14:paraId="1BA5AEE2"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El 1 de junio de 2026 se publicó en el Boletín Oficial el Decreto 409/2026, mediante el cual el Poder Ejecutivo reglamenta el Título XXII de la Ley de Modernización Laboral N°27.802, que establece el Régimen de Promoción del Empleo Registrado (PER).</w:t>
                  </w:r>
                </w:p>
                <w:p w14:paraId="3E32E15A"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El mismo reglamenta el PER, orientado a la regularización de relaciones laborales no registradas o deficientemente registradas. Este régimen aplica a obligaciones de la seguridad social vencidas hasta el mes de adhesión, y está dirigido a empleadores del sector privado. Entre los principales beneficios se destacan la extinción de la acción penal en determinados supuestos sin sentencia firme, la baja del REPSAL por infracciones anteriores al 6 de marzo de 2026 y el acceso a esquemas de condonación de deuda. </w:t>
                  </w:r>
                </w:p>
                <w:p w14:paraId="40FC1DF3"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Asimismo, la condonación será de:</w:t>
                  </w:r>
                </w:p>
                <w:p w14:paraId="2315CE78"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90 %: Micro y pequeñas empresas y entidades sin fines de lucro.</w:t>
                  </w:r>
                </w:p>
                <w:p w14:paraId="169E873F"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80 %: Medianas empresas.</w:t>
                  </w:r>
                </w:p>
                <w:p w14:paraId="5AB73176" w14:textId="77777777" w:rsidR="00EA38F4" w:rsidRPr="00EA38F4" w:rsidRDefault="00EA38F4" w:rsidP="00EA38F4">
                  <w:pPr>
                    <w:spacing w:after="120" w:line="240" w:lineRule="auto"/>
                    <w:ind w:left="720"/>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70 %: Restantes empleadores.</w:t>
                  </w:r>
                </w:p>
                <w:p w14:paraId="40F150D6"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 xml:space="preserve">Adicionalmente, se prevé condonación del 100 % en determinados subsistemas (salud, ART y seguro de vida). </w:t>
                  </w:r>
                </w:p>
              </w:tc>
            </w:tr>
            <w:tr w:rsidR="00EA38F4" w:rsidRPr="00EA38F4" w14:paraId="6FA7F2F4" w14:textId="77777777">
              <w:trPr>
                <w:trHeight w:val="454"/>
                <w:jc w:val="center"/>
              </w:trPr>
              <w:tc>
                <w:tcPr>
                  <w:tcW w:w="7938" w:type="dxa"/>
                  <w:shd w:val="clear" w:color="auto" w:fill="FFFFFF"/>
                  <w:tcMar>
                    <w:top w:w="0" w:type="dxa"/>
                    <w:left w:w="454" w:type="dxa"/>
                    <w:bottom w:w="0" w:type="dxa"/>
                    <w:right w:w="454" w:type="dxa"/>
                  </w:tcMar>
                </w:tcPr>
                <w:p w14:paraId="7AC19617" w14:textId="77777777" w:rsidR="00EA38F4" w:rsidRPr="00EA38F4" w:rsidRDefault="00EA38F4" w:rsidP="00EA38F4">
                  <w:pPr>
                    <w:spacing w:after="120" w:line="240" w:lineRule="auto"/>
                    <w:jc w:val="both"/>
                    <w:rPr>
                      <w:rFonts w:ascii="Verdana" w:eastAsia="Aptos" w:hAnsi="Verdana" w:cs="Aptos"/>
                      <w:color w:val="000000"/>
                      <w:lang w:val="es-AR"/>
                    </w:rPr>
                  </w:pPr>
                </w:p>
              </w:tc>
            </w:tr>
          </w:tbl>
          <w:p w14:paraId="19206B8F" w14:textId="77777777" w:rsidR="00EA38F4" w:rsidRPr="00EA38F4" w:rsidRDefault="00EA38F4" w:rsidP="00EA38F4">
            <w:pPr>
              <w:spacing w:after="0" w:line="240" w:lineRule="auto"/>
              <w:rPr>
                <w:rFonts w:ascii="Verdana" w:eastAsia="Aptos" w:hAnsi="Verdana" w:cs="Aptos"/>
                <w:color w:val="000000"/>
                <w:lang w:val="es-AR"/>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29E3AAD0"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BCB1C9A" w14:textId="77777777" w:rsidR="00EA38F4" w:rsidRPr="00EA38F4" w:rsidRDefault="00EA38F4" w:rsidP="00EA38F4">
                  <w:pPr>
                    <w:spacing w:after="120" w:line="240" w:lineRule="auto"/>
                    <w:jc w:val="both"/>
                    <w:rPr>
                      <w:rFonts w:ascii="Verdana" w:eastAsia="Aptos" w:hAnsi="Verdana" w:cs="Aptos"/>
                      <w:color w:val="000000"/>
                      <w:lang w:val="es-AR"/>
                    </w:rPr>
                  </w:pPr>
                </w:p>
                <w:p w14:paraId="0A14F6A6"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lastRenderedPageBreak/>
                    <w:t>Operador Económico Autorizado</w:t>
                  </w:r>
                </w:p>
                <w:p w14:paraId="6146E258"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Resolución General ARCA N°5853/2026</w:t>
                  </w:r>
                </w:p>
                <w:p w14:paraId="776631F7"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Mediante la presente, se introduce una modificación a la Resolución General N.º 5107/2021 en lo relativo a los requisitos que deben cumplir los sujetos para adherir al programa de Operadores Económicos Autorizados (OEA). En este sentido, se modifican los requisitos relacionados con el perfil de riesgo aduanero.</w:t>
                  </w:r>
                </w:p>
                <w:p w14:paraId="2697D56E"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Esta resolución tiene vigencia a partir del 1 de junio de 2026.</w:t>
                  </w:r>
                </w:p>
              </w:tc>
            </w:tr>
            <w:tr w:rsidR="00EA38F4" w:rsidRPr="00EA38F4" w14:paraId="45B4D529" w14:textId="77777777">
              <w:trPr>
                <w:trHeight w:val="454"/>
                <w:jc w:val="center"/>
              </w:trPr>
              <w:tc>
                <w:tcPr>
                  <w:tcW w:w="7938" w:type="dxa"/>
                  <w:shd w:val="clear" w:color="auto" w:fill="FFFFFF"/>
                  <w:tcMar>
                    <w:top w:w="0" w:type="dxa"/>
                    <w:left w:w="454" w:type="dxa"/>
                    <w:bottom w:w="0" w:type="dxa"/>
                    <w:right w:w="454" w:type="dxa"/>
                  </w:tcMar>
                </w:tcPr>
                <w:p w14:paraId="1E1CBCD7" w14:textId="77777777" w:rsidR="00EA38F4" w:rsidRPr="00EA38F4" w:rsidRDefault="00EA38F4" w:rsidP="00EA38F4">
                  <w:pPr>
                    <w:spacing w:after="120" w:line="240" w:lineRule="auto"/>
                    <w:jc w:val="both"/>
                    <w:rPr>
                      <w:rFonts w:ascii="Verdana" w:eastAsia="Aptos" w:hAnsi="Verdana" w:cs="Aptos"/>
                      <w:color w:val="000000"/>
                      <w:lang w:val="es-MX"/>
                    </w:rPr>
                  </w:pPr>
                </w:p>
                <w:p w14:paraId="4F853E53" w14:textId="77777777" w:rsidR="00EA38F4" w:rsidRPr="00EA38F4" w:rsidRDefault="00EA38F4" w:rsidP="00EA38F4">
                  <w:pPr>
                    <w:spacing w:after="120" w:line="240" w:lineRule="auto"/>
                    <w:jc w:val="both"/>
                    <w:rPr>
                      <w:rFonts w:ascii="Verdana" w:eastAsia="Aptos" w:hAnsi="Verdana" w:cs="Aptos"/>
                      <w:color w:val="000000"/>
                      <w:lang w:val="es-MX"/>
                    </w:rPr>
                  </w:pPr>
                </w:p>
              </w:tc>
            </w:tr>
          </w:tbl>
          <w:p w14:paraId="45626C06" w14:textId="77777777" w:rsidR="00EA38F4" w:rsidRPr="00EA38F4" w:rsidRDefault="00EA38F4" w:rsidP="00EA38F4">
            <w:pPr>
              <w:spacing w:after="0" w:line="240" w:lineRule="auto"/>
              <w:rPr>
                <w:rFonts w:ascii="Verdana" w:eastAsia="Aptos" w:hAnsi="Verdana" w:cs="Aptos"/>
                <w:color w:val="000000"/>
                <w:lang w:val="es-MX"/>
              </w:rPr>
            </w:pPr>
          </w:p>
        </w:tc>
      </w:tr>
      <w:tr w:rsidR="00EA38F4" w:rsidRPr="00EA38F4" w14:paraId="5ADE8C3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7D38AABB"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F1F598E" w14:textId="77777777" w:rsidR="00EA38F4" w:rsidRPr="00EA38F4" w:rsidRDefault="00EA38F4" w:rsidP="00EA38F4">
                  <w:pPr>
                    <w:spacing w:after="120" w:line="240" w:lineRule="auto"/>
                    <w:jc w:val="both"/>
                    <w:rPr>
                      <w:rFonts w:ascii="Verdana" w:eastAsia="Aptos" w:hAnsi="Verdana" w:cs="Aptos"/>
                      <w:color w:val="000000"/>
                      <w:lang w:val="es-AR"/>
                    </w:rPr>
                  </w:pPr>
                </w:p>
                <w:p w14:paraId="60BB5B99" w14:textId="77777777" w:rsidR="00EA38F4" w:rsidRPr="00EA38F4" w:rsidRDefault="00EA38F4" w:rsidP="00EA38F4">
                  <w:pPr>
                    <w:spacing w:after="120" w:line="240" w:lineRule="auto"/>
                    <w:jc w:val="both"/>
                    <w:rPr>
                      <w:rFonts w:ascii="Calibri" w:eastAsia="Aptos" w:hAnsi="Calibri" w:cs="Calibri"/>
                      <w:b/>
                      <w:bCs/>
                      <w:color w:val="86BC25"/>
                      <w:spacing w:val="-2"/>
                      <w:sz w:val="32"/>
                      <w:szCs w:val="32"/>
                      <w:lang w:val="es-AR"/>
                    </w:rPr>
                  </w:pPr>
                  <w:r w:rsidRPr="00EA38F4">
                    <w:rPr>
                      <w:rFonts w:ascii="Calibri" w:eastAsia="Aptos" w:hAnsi="Calibri" w:cs="Calibri"/>
                      <w:b/>
                      <w:bCs/>
                      <w:color w:val="86BC25"/>
                      <w:spacing w:val="-2"/>
                      <w:sz w:val="32"/>
                      <w:szCs w:val="32"/>
                      <w:lang w:val="es-AR"/>
                    </w:rPr>
                    <w:t>Combustibles</w:t>
                  </w:r>
                </w:p>
                <w:p w14:paraId="0EB5F392" w14:textId="77777777" w:rsidR="00EA38F4" w:rsidRPr="00EA38F4" w:rsidRDefault="00EA38F4" w:rsidP="00EA38F4">
                  <w:pPr>
                    <w:spacing w:after="120" w:line="240" w:lineRule="auto"/>
                    <w:jc w:val="both"/>
                    <w:rPr>
                      <w:rFonts w:ascii="Calibri Light" w:eastAsia="Aptos" w:hAnsi="Calibri Light" w:cs="Calibri Light"/>
                      <w:spacing w:val="-2"/>
                      <w:sz w:val="32"/>
                      <w:szCs w:val="32"/>
                      <w:lang w:val="es-AR"/>
                    </w:rPr>
                  </w:pPr>
                  <w:r w:rsidRPr="00EA38F4">
                    <w:rPr>
                      <w:rFonts w:ascii="Calibri Light" w:eastAsia="Aptos" w:hAnsi="Calibri Light" w:cs="Calibri Light"/>
                      <w:color w:val="000000"/>
                      <w:spacing w:val="-2"/>
                      <w:sz w:val="32"/>
                      <w:szCs w:val="32"/>
                      <w:lang w:val="es-AR"/>
                    </w:rPr>
                    <w:t>Decreto PEN N°405/2026</w:t>
                  </w:r>
                </w:p>
                <w:p w14:paraId="754DEC98" w14:textId="77777777" w:rsidR="00EA38F4" w:rsidRPr="00EA38F4" w:rsidRDefault="00EA38F4" w:rsidP="00EA38F4">
                  <w:pPr>
                    <w:spacing w:after="120" w:line="240" w:lineRule="auto"/>
                    <w:jc w:val="both"/>
                    <w:rPr>
                      <w:rFonts w:ascii="Calibri Light" w:eastAsia="Aptos" w:hAnsi="Calibri Light" w:cs="Calibri Light"/>
                      <w:spacing w:val="-2"/>
                      <w:lang w:val="es-AR"/>
                    </w:rPr>
                  </w:pPr>
                  <w:r w:rsidRPr="00EA38F4">
                    <w:rPr>
                      <w:rFonts w:ascii="Calibri Light" w:eastAsia="Aptos" w:hAnsi="Calibri Light" w:cs="Calibri Light"/>
                      <w:color w:val="000000"/>
                      <w:spacing w:val="-2"/>
                      <w:lang w:val="es-AR"/>
                    </w:rPr>
                    <w:t>Por medio del presente decreto se extiende hasta el 30 de junio el período que abarca a los hechos imponibles susceptibles del pago del impuesto a los combustibles líquidos y al dióxido de carbono.</w:t>
                  </w:r>
                </w:p>
                <w:p w14:paraId="497A8B23" w14:textId="77777777" w:rsidR="00EA38F4" w:rsidRPr="00EA38F4" w:rsidRDefault="00EA38F4" w:rsidP="00EA38F4">
                  <w:pPr>
                    <w:spacing w:after="120" w:line="240" w:lineRule="auto"/>
                    <w:jc w:val="both"/>
                    <w:rPr>
                      <w:rFonts w:ascii="Verdana" w:eastAsia="Aptos" w:hAnsi="Verdana" w:cs="Aptos"/>
                      <w:color w:val="000000"/>
                      <w:lang w:val="es-AR"/>
                    </w:rPr>
                  </w:pPr>
                  <w:r w:rsidRPr="00EA38F4">
                    <w:rPr>
                      <w:rFonts w:ascii="Calibri Light" w:eastAsia="Aptos" w:hAnsi="Calibri Light" w:cs="Calibri Light"/>
                      <w:color w:val="000000"/>
                      <w:spacing w:val="-2"/>
                      <w:lang w:val="es-AR"/>
                    </w:rPr>
                    <w:t>Este decreto tiene vigencia desde el 1 de junio de 2026, inclusive.</w:t>
                  </w:r>
                </w:p>
              </w:tc>
            </w:tr>
            <w:tr w:rsidR="00EA38F4" w:rsidRPr="00EA38F4" w14:paraId="5D0F1506" w14:textId="77777777">
              <w:trPr>
                <w:trHeight w:val="454"/>
                <w:jc w:val="center"/>
              </w:trPr>
              <w:tc>
                <w:tcPr>
                  <w:tcW w:w="7938" w:type="dxa"/>
                  <w:shd w:val="clear" w:color="auto" w:fill="FFFFFF"/>
                  <w:tcMar>
                    <w:top w:w="0" w:type="dxa"/>
                    <w:left w:w="454" w:type="dxa"/>
                    <w:bottom w:w="0" w:type="dxa"/>
                    <w:right w:w="454" w:type="dxa"/>
                  </w:tcMar>
                </w:tcPr>
                <w:p w14:paraId="01FAD328" w14:textId="77777777" w:rsidR="00EA38F4" w:rsidRPr="00EA38F4" w:rsidRDefault="00EA38F4" w:rsidP="00EA38F4">
                  <w:pPr>
                    <w:spacing w:after="120" w:line="240" w:lineRule="auto"/>
                    <w:jc w:val="both"/>
                    <w:rPr>
                      <w:rFonts w:ascii="Verdana" w:eastAsia="Aptos" w:hAnsi="Verdana" w:cs="Aptos"/>
                      <w:color w:val="000000"/>
                      <w:lang w:val="es-MX"/>
                    </w:rPr>
                  </w:pPr>
                </w:p>
                <w:p w14:paraId="0E834587" w14:textId="77777777" w:rsidR="00EA38F4" w:rsidRPr="00EA38F4" w:rsidRDefault="00EA38F4" w:rsidP="00EA38F4">
                  <w:pPr>
                    <w:spacing w:after="120" w:line="240" w:lineRule="auto"/>
                    <w:jc w:val="both"/>
                    <w:rPr>
                      <w:rFonts w:ascii="Verdana" w:eastAsia="Aptos" w:hAnsi="Verdana" w:cs="Aptos"/>
                      <w:color w:val="000000"/>
                      <w:lang w:val="es-MX"/>
                    </w:rPr>
                  </w:pPr>
                </w:p>
              </w:tc>
            </w:tr>
          </w:tbl>
          <w:p w14:paraId="26A674E0" w14:textId="77777777" w:rsidR="00EA38F4" w:rsidRPr="00EA38F4" w:rsidRDefault="00EA38F4" w:rsidP="00EA38F4">
            <w:pPr>
              <w:spacing w:after="0" w:line="240" w:lineRule="auto"/>
              <w:jc w:val="center"/>
              <w:rPr>
                <w:rFonts w:ascii="Times New Roman" w:eastAsia="Times New Roman" w:hAnsi="Times New Roman" w:cs="Times New Roman"/>
                <w:sz w:val="20"/>
                <w:szCs w:val="20"/>
                <w:lang w:val="es-MX"/>
              </w:rPr>
            </w:pPr>
          </w:p>
        </w:tc>
      </w:tr>
      <w:tr w:rsidR="00EA38F4" w:rsidRPr="00EA38F4" w14:paraId="505FD3C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5BF701CF"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EA38F4" w:rsidRPr="00EA38F4" w14:paraId="2C76A0D0" w14:textId="77777777">
                    <w:trPr>
                      <w:jc w:val="center"/>
                    </w:trPr>
                    <w:tc>
                      <w:tcPr>
                        <w:tcW w:w="756" w:type="dxa"/>
                        <w:hideMark/>
                      </w:tcPr>
                      <w:p w14:paraId="26B607D4" w14:textId="77777777" w:rsidR="00EA38F4" w:rsidRPr="00EA38F4" w:rsidRDefault="00EA38F4" w:rsidP="00EA38F4">
                        <w:pPr>
                          <w:spacing w:after="20" w:line="240" w:lineRule="auto"/>
                          <w:jc w:val="center"/>
                          <w:rPr>
                            <w:rFonts w:ascii="Verdana" w:eastAsia="Aptos" w:hAnsi="Verdana" w:cs="Aptos"/>
                            <w:color w:val="000000"/>
                            <w:lang w:val="en-GB"/>
                          </w:rPr>
                        </w:pPr>
                        <w:r w:rsidRPr="00EA38F4">
                          <w:rPr>
                            <w:rFonts w:ascii="Verdana" w:eastAsia="Aptos" w:hAnsi="Verdana" w:cs="Aptos"/>
                            <w:noProof/>
                            <w:color w:val="000000"/>
                            <w:lang w:val="en-GB" w:eastAsia="en-GB"/>
                          </w:rPr>
                          <w:drawing>
                            <wp:inline distT="0" distB="0" distL="0" distR="0" wp14:anchorId="5CC5B06B" wp14:editId="270DD4BC">
                              <wp:extent cx="285750" cy="285750"/>
                              <wp:effectExtent l="0" t="0" r="0" b="0"/>
                              <wp:docPr id="28"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0570E6F" w14:textId="77777777" w:rsidR="00EA38F4" w:rsidRPr="00EA38F4" w:rsidRDefault="00EA38F4" w:rsidP="00EA38F4">
                        <w:pPr>
                          <w:spacing w:after="20" w:line="240" w:lineRule="auto"/>
                          <w:jc w:val="center"/>
                          <w:rPr>
                            <w:rFonts w:ascii="Verdana" w:eastAsia="Aptos" w:hAnsi="Verdana" w:cs="Aptos"/>
                            <w:color w:val="000000"/>
                            <w:lang w:val="en-GB"/>
                          </w:rPr>
                        </w:pPr>
                        <w:r w:rsidRPr="00EA38F4">
                          <w:rPr>
                            <w:rFonts w:ascii="Verdana" w:eastAsia="Aptos" w:hAnsi="Verdana" w:cs="Aptos"/>
                            <w:noProof/>
                            <w:color w:val="000000"/>
                            <w:lang w:val="en-GB" w:eastAsia="en-GB"/>
                          </w:rPr>
                          <w:drawing>
                            <wp:inline distT="0" distB="0" distL="0" distR="0" wp14:anchorId="58A6FE4C" wp14:editId="197686D3">
                              <wp:extent cx="285750" cy="285750"/>
                              <wp:effectExtent l="0" t="0" r="0" b="0"/>
                              <wp:docPr id="29"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6D17791" w14:textId="77777777" w:rsidR="00EA38F4" w:rsidRPr="00EA38F4" w:rsidRDefault="00EA38F4" w:rsidP="00EA38F4">
                        <w:pPr>
                          <w:spacing w:after="20" w:line="240" w:lineRule="auto"/>
                          <w:jc w:val="center"/>
                          <w:rPr>
                            <w:rFonts w:ascii="Verdana" w:eastAsia="Aptos" w:hAnsi="Verdana" w:cs="Aptos"/>
                            <w:color w:val="000000"/>
                            <w:lang w:val="en-GB"/>
                          </w:rPr>
                        </w:pPr>
                        <w:r w:rsidRPr="00EA38F4">
                          <w:rPr>
                            <w:rFonts w:ascii="Verdana" w:eastAsia="Aptos" w:hAnsi="Verdana" w:cs="Aptos"/>
                            <w:noProof/>
                            <w:color w:val="000000"/>
                            <w:lang w:val="en-GB" w:eastAsia="en-GB"/>
                          </w:rPr>
                          <w:drawing>
                            <wp:inline distT="0" distB="0" distL="0" distR="0" wp14:anchorId="731EFEA0" wp14:editId="071B4640">
                              <wp:extent cx="285750" cy="285750"/>
                              <wp:effectExtent l="0" t="0" r="0" b="0"/>
                              <wp:docPr id="30"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CE4B4D6" w14:textId="77777777" w:rsidR="00EA38F4" w:rsidRPr="00EA38F4" w:rsidRDefault="00EA38F4" w:rsidP="00EA38F4">
                        <w:pPr>
                          <w:spacing w:after="20" w:line="240" w:lineRule="auto"/>
                          <w:jc w:val="center"/>
                          <w:rPr>
                            <w:rFonts w:ascii="Verdana" w:eastAsia="Aptos" w:hAnsi="Verdana" w:cs="Aptos"/>
                            <w:color w:val="000000"/>
                            <w:lang w:val="en-GB"/>
                          </w:rPr>
                        </w:pPr>
                        <w:r w:rsidRPr="00EA38F4">
                          <w:rPr>
                            <w:rFonts w:ascii="Verdana" w:eastAsia="Aptos" w:hAnsi="Verdana" w:cs="Aptos"/>
                            <w:noProof/>
                            <w:color w:val="000000"/>
                            <w:lang w:val="en-GB" w:eastAsia="en-GB"/>
                          </w:rPr>
                          <w:drawing>
                            <wp:inline distT="0" distB="0" distL="0" distR="0" wp14:anchorId="3C62BE1F" wp14:editId="33247FEF">
                              <wp:extent cx="285750" cy="285750"/>
                              <wp:effectExtent l="0" t="0" r="0" b="0"/>
                              <wp:docPr id="31"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CFA7AAA" w14:textId="77777777" w:rsidR="00EA38F4" w:rsidRPr="00EA38F4" w:rsidRDefault="00EA38F4" w:rsidP="00EA38F4">
                        <w:pPr>
                          <w:spacing w:after="20" w:line="240" w:lineRule="auto"/>
                          <w:jc w:val="center"/>
                          <w:rPr>
                            <w:rFonts w:ascii="Verdana" w:eastAsia="Aptos" w:hAnsi="Verdana" w:cs="Aptos"/>
                            <w:color w:val="000000"/>
                            <w:lang w:val="en-GB" w:eastAsia="en-GB"/>
                          </w:rPr>
                        </w:pPr>
                        <w:r w:rsidRPr="00EA38F4">
                          <w:rPr>
                            <w:rFonts w:ascii="Verdana" w:eastAsia="Aptos" w:hAnsi="Verdana" w:cs="Aptos"/>
                            <w:noProof/>
                            <w:color w:val="000000"/>
                            <w:lang w:val="es-MX" w:eastAsia="es-MX"/>
                          </w:rPr>
                          <w:drawing>
                            <wp:inline distT="0" distB="0" distL="0" distR="0" wp14:anchorId="1A4CB10B" wp14:editId="0B30B5D6">
                              <wp:extent cx="285750" cy="285750"/>
                              <wp:effectExtent l="0" t="0" r="0" b="0"/>
                              <wp:docPr id="32"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6040AE96" w14:textId="77777777" w:rsidR="00EA38F4" w:rsidRPr="00EA38F4" w:rsidRDefault="00EA38F4" w:rsidP="00EA38F4">
                        <w:pPr>
                          <w:spacing w:after="20" w:line="240" w:lineRule="auto"/>
                          <w:jc w:val="center"/>
                          <w:rPr>
                            <w:rFonts w:ascii="Verdana" w:eastAsia="Aptos" w:hAnsi="Verdana" w:cs="Aptos"/>
                            <w:color w:val="000000"/>
                            <w:lang w:val="en-GB"/>
                          </w:rPr>
                        </w:pPr>
                      </w:p>
                    </w:tc>
                  </w:tr>
                </w:tbl>
                <w:p w14:paraId="5E0409C0" w14:textId="77777777" w:rsidR="00EA38F4" w:rsidRPr="00EA38F4" w:rsidRDefault="00EA38F4" w:rsidP="00EA38F4">
                  <w:pPr>
                    <w:spacing w:after="0" w:line="240" w:lineRule="auto"/>
                    <w:jc w:val="center"/>
                    <w:rPr>
                      <w:rFonts w:ascii="Times New Roman" w:eastAsia="Times New Roman" w:hAnsi="Times New Roman" w:cs="Times New Roman"/>
                      <w:sz w:val="20"/>
                      <w:szCs w:val="20"/>
                    </w:rPr>
                  </w:pPr>
                </w:p>
              </w:tc>
            </w:tr>
          </w:tbl>
          <w:p w14:paraId="2E0D5417" w14:textId="77777777" w:rsidR="00EA38F4" w:rsidRPr="00EA38F4" w:rsidRDefault="00EA38F4" w:rsidP="00EA38F4">
            <w:pPr>
              <w:spacing w:after="0" w:line="240" w:lineRule="auto"/>
              <w:jc w:val="center"/>
              <w:rPr>
                <w:rFonts w:ascii="Times New Roman" w:eastAsia="Times New Roman" w:hAnsi="Times New Roman" w:cs="Times New Roman"/>
                <w:sz w:val="20"/>
                <w:szCs w:val="20"/>
              </w:rPr>
            </w:pPr>
          </w:p>
        </w:tc>
      </w:tr>
      <w:tr w:rsidR="00EA38F4" w:rsidRPr="00EA38F4" w14:paraId="22EF668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A38F4" w:rsidRPr="00EA38F4" w14:paraId="2A1417EB" w14:textId="77777777">
              <w:trPr>
                <w:trHeight w:val="851"/>
                <w:jc w:val="center"/>
              </w:trPr>
              <w:tc>
                <w:tcPr>
                  <w:tcW w:w="7938" w:type="dxa"/>
                  <w:shd w:val="clear" w:color="auto" w:fill="FFFFFF"/>
                  <w:tcMar>
                    <w:top w:w="284" w:type="dxa"/>
                    <w:left w:w="454" w:type="dxa"/>
                    <w:bottom w:w="284" w:type="dxa"/>
                    <w:right w:w="454" w:type="dxa"/>
                  </w:tcMar>
                  <w:vAlign w:val="center"/>
                </w:tcPr>
                <w:p w14:paraId="074CD9A2"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EA38F4">
                    <w:rPr>
                      <w:rFonts w:ascii="Calibri Light" w:eastAsia="Aptos" w:hAnsi="Calibri Light" w:cs="Calibri Light"/>
                      <w:color w:val="A6A6A6"/>
                      <w:sz w:val="14"/>
                      <w:szCs w:val="14"/>
                      <w:lang w:val="es-AR"/>
                    </w:rPr>
                    <w:t>Tohmatsu</w:t>
                  </w:r>
                  <w:proofErr w:type="spellEnd"/>
                  <w:r w:rsidRPr="00EA38F4">
                    <w:rPr>
                      <w:rFonts w:ascii="Calibri Light" w:eastAsia="Aptos" w:hAnsi="Calibri Light" w:cs="Calibri Light"/>
                      <w:color w:val="A6A6A6"/>
                      <w:sz w:val="14"/>
                      <w:szCs w:val="14"/>
                      <w:lang w:val="es-AR"/>
                    </w:rPr>
                    <w:t xml:space="preserve"> </w:t>
                  </w:r>
                  <w:proofErr w:type="spellStart"/>
                  <w:r w:rsidRPr="00EA38F4">
                    <w:rPr>
                      <w:rFonts w:ascii="Calibri Light" w:eastAsia="Aptos" w:hAnsi="Calibri Light" w:cs="Calibri Light"/>
                      <w:color w:val="A6A6A6"/>
                      <w:sz w:val="14"/>
                      <w:szCs w:val="14"/>
                      <w:lang w:val="es-AR"/>
                    </w:rPr>
                    <w:t>Limited</w:t>
                  </w:r>
                  <w:proofErr w:type="spellEnd"/>
                  <w:r w:rsidRPr="00EA38F4">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EA38F4">
                      <w:rPr>
                        <w:rFonts w:ascii="Calibri Light" w:eastAsia="Aptos" w:hAnsi="Calibri Light" w:cs="Calibri Light"/>
                        <w:color w:val="3ABAEB"/>
                        <w:sz w:val="14"/>
                        <w:szCs w:val="14"/>
                        <w:u w:val="single"/>
                        <w:lang w:val="es-AR"/>
                      </w:rPr>
                      <w:t>www.deloitte.com/about</w:t>
                    </w:r>
                  </w:hyperlink>
                  <w:r w:rsidRPr="00EA38F4">
                    <w:rPr>
                      <w:rFonts w:ascii="Calibri Light" w:eastAsia="Aptos" w:hAnsi="Calibri Light" w:cs="Calibri Light"/>
                      <w:color w:val="A6A6A6"/>
                      <w:sz w:val="14"/>
                      <w:szCs w:val="14"/>
                      <w:lang w:val="es-AR"/>
                    </w:rPr>
                    <w:t xml:space="preserve"> para obtener más información.</w:t>
                  </w:r>
                </w:p>
                <w:p w14:paraId="2A45C8E3"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5238664F"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EA38F4">
                      <w:rPr>
                        <w:rFonts w:ascii="Calibri Light" w:eastAsia="Aptos" w:hAnsi="Calibri Light" w:cs="Calibri Light"/>
                        <w:color w:val="3ABAEB"/>
                        <w:sz w:val="14"/>
                        <w:szCs w:val="14"/>
                        <w:u w:val="single"/>
                        <w:lang w:val="es-AR"/>
                      </w:rPr>
                      <w:t>www.deloitte.com</w:t>
                    </w:r>
                  </w:hyperlink>
                  <w:r w:rsidRPr="00EA38F4">
                    <w:rPr>
                      <w:rFonts w:ascii="Calibri Light" w:eastAsia="Aptos" w:hAnsi="Calibri Light" w:cs="Calibri Light"/>
                      <w:color w:val="A6A6A6"/>
                      <w:sz w:val="14"/>
                      <w:szCs w:val="14"/>
                      <w:lang w:val="es-AR"/>
                    </w:rPr>
                    <w:t>.</w:t>
                  </w:r>
                </w:p>
                <w:p w14:paraId="58B9C73B"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6A1CF6CD"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435048A"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30FC1BD1"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EA38F4">
                    <w:rPr>
                      <w:rFonts w:ascii="Calibri Light" w:eastAsia="Aptos" w:hAnsi="Calibri Light" w:cs="Calibri Light"/>
                      <w:color w:val="A6A6A6"/>
                      <w:sz w:val="14"/>
                      <w:szCs w:val="14"/>
                      <w:lang w:val="es-AR"/>
                    </w:rPr>
                    <w:t>Tohmatsu</w:t>
                  </w:r>
                  <w:proofErr w:type="spellEnd"/>
                  <w:r w:rsidRPr="00EA38F4">
                    <w:rPr>
                      <w:rFonts w:ascii="Calibri Light" w:eastAsia="Aptos" w:hAnsi="Calibri Light" w:cs="Calibri Light"/>
                      <w:color w:val="A6A6A6"/>
                      <w:sz w:val="14"/>
                      <w:szCs w:val="14"/>
                      <w:lang w:val="es-AR"/>
                    </w:rPr>
                    <w:t xml:space="preserve"> </w:t>
                  </w:r>
                  <w:proofErr w:type="spellStart"/>
                  <w:r w:rsidRPr="00EA38F4">
                    <w:rPr>
                      <w:rFonts w:ascii="Calibri Light" w:eastAsia="Aptos" w:hAnsi="Calibri Light" w:cs="Calibri Light"/>
                      <w:color w:val="A6A6A6"/>
                      <w:sz w:val="14"/>
                      <w:szCs w:val="14"/>
                      <w:lang w:val="es-AR"/>
                    </w:rPr>
                    <w:t>Limited</w:t>
                  </w:r>
                  <w:proofErr w:type="spellEnd"/>
                  <w:r w:rsidRPr="00EA38F4">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w:t>
                  </w:r>
                  <w:r w:rsidRPr="00EA38F4">
                    <w:rPr>
                      <w:rFonts w:ascii="Calibri Light" w:eastAsia="Aptos" w:hAnsi="Calibri Light" w:cs="Calibri Light"/>
                      <w:color w:val="A6A6A6"/>
                      <w:sz w:val="14"/>
                      <w:szCs w:val="14"/>
                      <w:lang w:val="es-AR"/>
                    </w:rPr>
                    <w:lastRenderedPageBreak/>
                    <w:t>de esta publicación, prestando asesoramiento o servicios profesionales. Antes de tomar cualquier decisión o de emprender cualquier acción que pueda afectar a sus finanzas o a su negocio, debe consultar a un asesor profesional cualificado.</w:t>
                  </w:r>
                </w:p>
                <w:p w14:paraId="52C3FA2A"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436103E9"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7BDFD5A3"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5513BFCE"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EA38F4">
                    <w:rPr>
                      <w:rFonts w:ascii="Calibri Light" w:eastAsia="Aptos" w:hAnsi="Calibri Light" w:cs="Calibri Light"/>
                      <w:color w:val="A6A6A6"/>
                      <w:sz w:val="14"/>
                      <w:szCs w:val="14"/>
                      <w:lang w:val="es-AR"/>
                    </w:rPr>
                    <w:t>ii</w:t>
                  </w:r>
                  <w:proofErr w:type="spellEnd"/>
                  <w:r w:rsidRPr="00EA38F4">
                    <w:rPr>
                      <w:rFonts w:ascii="Calibri Light" w:eastAsia="Aptos" w:hAnsi="Calibri Light" w:cs="Calibri Light"/>
                      <w:color w:val="A6A6A6"/>
                      <w:sz w:val="14"/>
                      <w:szCs w:val="14"/>
                      <w:lang w:val="es-AR"/>
                    </w:rPr>
                    <w:t>) evaluar la calidad de nuestros servicios; y (</w:t>
                  </w:r>
                  <w:proofErr w:type="spellStart"/>
                  <w:r w:rsidRPr="00EA38F4">
                    <w:rPr>
                      <w:rFonts w:ascii="Calibri Light" w:eastAsia="Aptos" w:hAnsi="Calibri Light" w:cs="Calibri Light"/>
                      <w:color w:val="A6A6A6"/>
                      <w:sz w:val="14"/>
                      <w:szCs w:val="14"/>
                      <w:lang w:val="es-AR"/>
                    </w:rPr>
                    <w:t>iii</w:t>
                  </w:r>
                  <w:proofErr w:type="spellEnd"/>
                  <w:r w:rsidRPr="00EA38F4">
                    <w:rPr>
                      <w:rFonts w:ascii="Calibri Light" w:eastAsia="Aptos" w:hAnsi="Calibri Light" w:cs="Calibri Light"/>
                      <w:color w:val="A6A6A6"/>
                      <w:sz w:val="14"/>
                      <w:szCs w:val="14"/>
                      <w:lang w:val="es-AR"/>
                    </w:rPr>
                    <w:t>) contactarlo u organizar eventos con propósitos mercadotécnicos, publicitarios o de prospección comercial.</w:t>
                  </w:r>
                </w:p>
                <w:p w14:paraId="71B229C2"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5AF8F534"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EA38F4">
                    <w:rPr>
                      <w:rFonts w:ascii="Calibri Light" w:eastAsia="Aptos" w:hAnsi="Calibri Light" w:cs="Calibri Light"/>
                      <w:color w:val="A6A6A6"/>
                      <w:sz w:val="14"/>
                      <w:szCs w:val="14"/>
                      <w:lang w:val="es-AR"/>
                    </w:rPr>
                    <w:t>aportado,</w:t>
                  </w:r>
                  <w:proofErr w:type="gramEnd"/>
                  <w:r w:rsidRPr="00EA38F4">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EA38F4">
                    <w:rPr>
                      <w:rFonts w:ascii="Calibri Light" w:eastAsia="Aptos" w:hAnsi="Calibri Light" w:cs="Calibri Light"/>
                      <w:color w:val="A6A6A6"/>
                      <w:sz w:val="14"/>
                      <w:szCs w:val="14"/>
                      <w:lang w:val="es-AR"/>
                    </w:rPr>
                    <w:t>Tohmatsu</w:t>
                  </w:r>
                  <w:proofErr w:type="spellEnd"/>
                  <w:r w:rsidRPr="00EA38F4">
                    <w:rPr>
                      <w:rFonts w:ascii="Calibri Light" w:eastAsia="Aptos" w:hAnsi="Calibri Light" w:cs="Calibri Light"/>
                      <w:color w:val="A6A6A6"/>
                      <w:sz w:val="14"/>
                      <w:szCs w:val="14"/>
                      <w:lang w:val="es-AR"/>
                    </w:rPr>
                    <w:t xml:space="preserve"> </w:t>
                  </w:r>
                  <w:proofErr w:type="spellStart"/>
                  <w:r w:rsidRPr="00EA38F4">
                    <w:rPr>
                      <w:rFonts w:ascii="Calibri Light" w:eastAsia="Aptos" w:hAnsi="Calibri Light" w:cs="Calibri Light"/>
                      <w:color w:val="A6A6A6"/>
                      <w:sz w:val="14"/>
                      <w:szCs w:val="14"/>
                      <w:lang w:val="es-AR"/>
                    </w:rPr>
                    <w:t>Limited</w:t>
                  </w:r>
                  <w:proofErr w:type="spellEnd"/>
                  <w:r w:rsidRPr="00EA38F4">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EA38F4">
                    <w:rPr>
                      <w:rFonts w:ascii="Calibri Light" w:eastAsia="Aptos" w:hAnsi="Calibri Light" w:cs="Calibri Light"/>
                      <w:color w:val="A6A6A6"/>
                      <w:sz w:val="14"/>
                      <w:szCs w:val="14"/>
                      <w:lang w:val="es-AR"/>
                    </w:rPr>
                    <w:t>ii</w:t>
                  </w:r>
                  <w:proofErr w:type="spellEnd"/>
                  <w:r w:rsidRPr="00EA38F4">
                    <w:rPr>
                      <w:rFonts w:ascii="Calibri Light" w:eastAsia="Aptos" w:hAnsi="Calibri Light" w:cs="Calibri Light"/>
                      <w:color w:val="A6A6A6"/>
                      <w:sz w:val="14"/>
                      <w:szCs w:val="14"/>
                      <w:lang w:val="es-AR"/>
                    </w:rPr>
                    <w:t>) terceros proveedores de servicios de procesamiento y tratamiento de datos.</w:t>
                  </w:r>
                </w:p>
                <w:p w14:paraId="1BE3C44E"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0BEE93D8"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EA38F4">
                    <w:rPr>
                      <w:rFonts w:ascii="Calibri Light" w:eastAsia="Aptos" w:hAnsi="Calibri Light" w:cs="Calibri Light"/>
                      <w:color w:val="A6A6A6"/>
                      <w:sz w:val="14"/>
                      <w:szCs w:val="14"/>
                      <w:lang w:val="es-AR"/>
                    </w:rPr>
                    <w:t>los mismos</w:t>
                  </w:r>
                  <w:proofErr w:type="gramEnd"/>
                  <w:r w:rsidRPr="00EA38F4">
                    <w:rPr>
                      <w:rFonts w:ascii="Calibri Light" w:eastAsia="Aptos" w:hAnsi="Calibri Light" w:cs="Calibri Light"/>
                      <w:color w:val="A6A6A6"/>
                      <w:sz w:val="14"/>
                      <w:szCs w:val="14"/>
                      <w:lang w:val="es-AR"/>
                    </w:rPr>
                    <w:t xml:space="preserve">, a través del correo electrónico </w:t>
                  </w:r>
                  <w:hyperlink r:id="rId33" w:history="1">
                    <w:r w:rsidRPr="00EA38F4">
                      <w:rPr>
                        <w:rFonts w:ascii="Calibri Light" w:eastAsia="Aptos" w:hAnsi="Calibri Light" w:cs="Calibri Light"/>
                        <w:color w:val="3ABAEB"/>
                        <w:sz w:val="14"/>
                        <w:szCs w:val="14"/>
                        <w:u w:val="single"/>
                        <w:lang w:val="es-AR"/>
                      </w:rPr>
                      <w:t>privacidad@deloittemx.com</w:t>
                    </w:r>
                  </w:hyperlink>
                  <w:r w:rsidRPr="00EA38F4">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4" w:history="1">
                    <w:r w:rsidRPr="00EA38F4">
                      <w:rPr>
                        <w:rFonts w:ascii="Calibri Light" w:eastAsia="Aptos" w:hAnsi="Calibri Light" w:cs="Calibri Light"/>
                        <w:color w:val="3ABAEB"/>
                        <w:sz w:val="14"/>
                        <w:szCs w:val="14"/>
                        <w:u w:val="single"/>
                        <w:lang w:val="es-AR"/>
                      </w:rPr>
                      <w:t>https://www2.deloitte.com/ar/es.html</w:t>
                    </w:r>
                  </w:hyperlink>
                  <w:r w:rsidRPr="00EA38F4">
                    <w:rPr>
                      <w:rFonts w:ascii="Calibri Light" w:eastAsia="Aptos" w:hAnsi="Calibri Light" w:cs="Calibri Light"/>
                      <w:color w:val="A6A6A6"/>
                      <w:sz w:val="14"/>
                      <w:szCs w:val="14"/>
                      <w:lang w:val="es-AR"/>
                    </w:rPr>
                    <w:t>.</w:t>
                  </w:r>
                </w:p>
                <w:p w14:paraId="5AAA7F16"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p>
                <w:p w14:paraId="59DA62FB" w14:textId="77777777" w:rsidR="00EA38F4" w:rsidRPr="00EA38F4" w:rsidRDefault="00EA38F4" w:rsidP="00EA38F4">
                  <w:pPr>
                    <w:spacing w:after="0" w:line="240" w:lineRule="auto"/>
                    <w:rPr>
                      <w:rFonts w:ascii="Calibri Light" w:eastAsia="Aptos" w:hAnsi="Calibri Light" w:cs="Calibri Light"/>
                      <w:color w:val="A6A6A6"/>
                      <w:sz w:val="14"/>
                      <w:szCs w:val="14"/>
                      <w:lang w:val="es-AR"/>
                    </w:rPr>
                  </w:pPr>
                  <w:r w:rsidRPr="00EA38F4">
                    <w:rPr>
                      <w:rFonts w:ascii="Calibri Light" w:eastAsia="Aptos" w:hAnsi="Calibri Light" w:cs="Calibri Light"/>
                      <w:color w:val="A6A6A6"/>
                      <w:sz w:val="14"/>
                      <w:szCs w:val="14"/>
                      <w:lang w:val="es-AR"/>
                    </w:rPr>
                    <w:t>© 2026 Deloitte &amp; Co. S.A.</w:t>
                  </w:r>
                </w:p>
              </w:tc>
            </w:tr>
          </w:tbl>
          <w:p w14:paraId="5FE658F4" w14:textId="77777777" w:rsidR="00EA38F4" w:rsidRPr="00EA38F4" w:rsidRDefault="00EA38F4" w:rsidP="00EA38F4">
            <w:pPr>
              <w:spacing w:after="0" w:line="240" w:lineRule="auto"/>
              <w:jc w:val="center"/>
              <w:rPr>
                <w:rFonts w:ascii="Times New Roman" w:eastAsia="Times New Roman" w:hAnsi="Times New Roman" w:cs="Times New Roman"/>
                <w:sz w:val="20"/>
                <w:szCs w:val="20"/>
              </w:rPr>
            </w:pPr>
          </w:p>
        </w:tc>
      </w:tr>
    </w:tbl>
    <w:p w14:paraId="17DD9320" w14:textId="55997585" w:rsidR="006D4890" w:rsidRPr="00EA38F4" w:rsidRDefault="006D4890">
      <w:pPr>
        <w:rPr>
          <w:sz w:val="24"/>
          <w:szCs w:val="24"/>
          <w:lang w:val="es-MX"/>
        </w:rPr>
      </w:pPr>
    </w:p>
    <w:sectPr w:rsidR="006D4890" w:rsidRPr="00EA38F4">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65C34" w14:textId="77777777" w:rsidR="00D42B2A" w:rsidRDefault="00D42B2A" w:rsidP="00961960">
      <w:pPr>
        <w:spacing w:after="0" w:line="240" w:lineRule="auto"/>
      </w:pPr>
      <w:r>
        <w:separator/>
      </w:r>
    </w:p>
  </w:endnote>
  <w:endnote w:type="continuationSeparator" w:id="0">
    <w:p w14:paraId="1FCE3FEC" w14:textId="77777777" w:rsidR="00D42B2A" w:rsidRDefault="00D42B2A"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B461"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84A9"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9E29"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E1B8" w14:textId="77777777" w:rsidR="00D42B2A" w:rsidRDefault="00D42B2A" w:rsidP="00961960">
      <w:pPr>
        <w:spacing w:after="0" w:line="240" w:lineRule="auto"/>
      </w:pPr>
      <w:r>
        <w:separator/>
      </w:r>
    </w:p>
  </w:footnote>
  <w:footnote w:type="continuationSeparator" w:id="0">
    <w:p w14:paraId="475F3276" w14:textId="77777777" w:rsidR="00D42B2A" w:rsidRDefault="00D42B2A"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61AF"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B5B2"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E33A"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42680"/>
    <w:multiLevelType w:val="hybridMultilevel"/>
    <w:tmpl w:val="C2282342"/>
    <w:lvl w:ilvl="0" w:tplc="421A6114">
      <w:numFmt w:val="bullet"/>
      <w:lvlText w:val="-"/>
      <w:lvlJc w:val="left"/>
      <w:pPr>
        <w:ind w:left="720" w:hanging="360"/>
      </w:pPr>
      <w:rPr>
        <w:rFonts w:ascii="Calibri Light" w:eastAsiaTheme="minorHAnsi" w:hAnsi="Calibri Light" w:cs="Calibri Light"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num w:numId="1" w16cid:durableId="13123657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F4"/>
    <w:rsid w:val="003F16FF"/>
    <w:rsid w:val="00587C56"/>
    <w:rsid w:val="006D4890"/>
    <w:rsid w:val="00761D15"/>
    <w:rsid w:val="007A475C"/>
    <w:rsid w:val="008036EB"/>
    <w:rsid w:val="0086573C"/>
    <w:rsid w:val="008F055C"/>
    <w:rsid w:val="00961960"/>
    <w:rsid w:val="00D42B2A"/>
    <w:rsid w:val="00EA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4B06E"/>
  <w15:chartTrackingRefBased/>
  <w15:docId w15:val="{312C70C3-459C-486B-A861-2FCF19D5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EA38F4"/>
    <w:rPr>
      <w:color w:val="467886" w:themeColor="hyperlink"/>
      <w:u w:val="single"/>
    </w:rPr>
  </w:style>
  <w:style w:type="character" w:styleId="UnresolvedMention">
    <w:name w:val="Unresolved Mention"/>
    <w:basedOn w:val="DefaultParagraphFont"/>
    <w:uiPriority w:val="99"/>
    <w:semiHidden/>
    <w:unhideWhenUsed/>
    <w:rsid w:val="00EA3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CF1D4.8F3861F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CF1D4.8F3861F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3995c2016a954868b3f308dec004e1b0%7C36da45f1dd2c4d1faf135abe46b99921%7C0%7C0%7C639159324434879044%7CUnknown%7CTWFpbGZsb3d8eyJFbXB0eU1hcGkiOnRydWUsIlYiOiIwLjAuMDAwMCIsIlAiOiJXaW4zMiIsIkFOIjoiTWFpbCIsIldUIjoyfQ%3D%3D%7C0%7C%7C%7C&amp;sdata=4xd1k0Gtp4uAya1y%2FSqkQN3s6gdWM2HH3lTMayL8pLI%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CF1D4.8F3861F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CF1D4.8F3861F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3995c2016a954868b3f308dec004e1b0%7C36da45f1dd2c4d1faf135abe46b99921%7C0%7C0%7C639159324434951614%7CUnknown%7CTWFpbGZsb3d8eyJFbXB0eU1hcGkiOnRydWUsIlYiOiIwLjAuMDAwMCIsIlAiOiJXaW4zMiIsIkFOIjoiTWFpbCIsIldUIjoyfQ%3D%3D%7C0%7C%7C%7C&amp;sdata=xdtt%2BLC0uJ4WMJT6Ffd6Zc7CUtqhBR6mI7D6S4NvbVU%3D&amp;reserved=0" TargetMode="External"/><Relationship Id="rId36" Type="http://schemas.openxmlformats.org/officeDocument/2006/relationships/header" Target="header2.xml"/><Relationship Id="rId10" Type="http://schemas.openxmlformats.org/officeDocument/2006/relationships/image" Target="cid:image001.png@01DCF1D4.8F3861F0" TargetMode="External"/><Relationship Id="rId19" Type="http://schemas.openxmlformats.org/officeDocument/2006/relationships/hyperlink" Target="https://nam10.safelinks.protection.outlook.com/?url=https%3A%2F%2Ftwitter.com%2FDeloitte&amp;data=05%7C02%7Cantoscano%40deloitte.com%7C3995c2016a954868b3f308dec004e1b0%7C36da45f1dd2c4d1faf135abe46b99921%7C0%7C0%7C639159324434903507%7CUnknown%7CTWFpbGZsb3d8eyJFbXB0eU1hcGkiOnRydWUsIlYiOiIwLjAuMDAwMCIsIlAiOiJXaW4zMiIsIkFOIjoiTWFpbCIsIldUIjoyfQ%3D%3D%7C0%7C%7C%7C&amp;sdata=5ud69d482tLkZmvmzAZHH6H3fBo%2Br%2Ffz8iqI3t867Tc%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3995c2016a954868b3f308dec004e1b0%7C36da45f1dd2c4d1faf135abe46b99921%7C0%7C0%7C639159324434919111%7CUnknown%7CTWFpbGZsb3d8eyJFbXB0eU1hcGkiOnRydWUsIlYiOiIwLjAuMDAwMCIsIlAiOiJXaW4zMiIsIkFOIjoiTWFpbCIsIldUIjoyfQ%3D%3D%7C0%7C%7C%7C&amp;sdata=TKfw8GEryAVgNDraC7F6UD83QdV1Hnjsl7z9l87aolU%3D&amp;reserved=0" TargetMode="External"/><Relationship Id="rId27" Type="http://schemas.openxmlformats.org/officeDocument/2006/relationships/image" Target="cid:image007.png@01DCF1D4.8F3861F0" TargetMode="External"/><Relationship Id="rId30" Type="http://schemas.openxmlformats.org/officeDocument/2006/relationships/image" Target="cid:image008.png@01DCF1D4.8F3861F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CF1D4.8F3861F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3995c2016a954868b3f308dec004e1b0%7C36da45f1dd2c4d1faf135abe46b99921%7C0%7C0%7C639159324434935694%7CUnknown%7CTWFpbGZsb3d8eyJFbXB0eU1hcGkiOnRydWUsIlYiOiIwLjAuMDAwMCIsIlAiOiJXaW4zMiIsIkFOIjoiTWFpbCIsIldUIjoyfQ%3D%3D%7C0%7C%7C%7C&amp;sdata=YTSAI6iVbiYmmt90hvtxFD40%2BMan1IviZpxxZivxfOs%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4prlpt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2E07DA3C-A5E3-4225-91D8-F57FB004A53F}"/>
</file>

<file path=customXml/itemProps4.xml><?xml version="1.0" encoding="utf-8"?>
<ds:datastoreItem xmlns:ds="http://schemas.openxmlformats.org/officeDocument/2006/customXml" ds:itemID="{E0E04256-5866-4531-9EA4-6E634CBCCFB8}"/>
</file>

<file path=customXml/itemProps5.xml><?xml version="1.0" encoding="utf-8"?>
<ds:datastoreItem xmlns:ds="http://schemas.openxmlformats.org/officeDocument/2006/customXml" ds:itemID="{F24207F0-CC22-4B67-BBD6-D2D816BE8CF4}"/>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4prlptku.dotx</Template>
  <TotalTime>0</TotalTime>
  <Pages>6</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2026-07-06T12:21:00Z</dcterms:created>
  <dcterms:modified xsi:type="dcterms:W3CDTF">2026-07-06T12:22:00Z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