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shd w:val="clear" w:color="auto" w:fill="000000"/>
        <w:tblCellMar>
          <w:left w:w="0" w:type="dxa"/>
          <w:right w:w="0" w:type="dxa"/>
        </w:tblCellMar>
        <w:tblLook w:val="04A0" w:firstRow="1" w:lastRow="0" w:firstColumn="1" w:lastColumn="0" w:noHBand="0" w:noVBand="1"/>
      </w:tblPr>
      <w:tblGrid>
        <w:gridCol w:w="9360"/>
      </w:tblGrid>
      <w:tr w:rsidR="003B5014" w:rsidRPr="003B5014" w14:paraId="0E02247A" w14:textId="77777777">
        <w:trPr>
          <w:trHeight w:val="567"/>
          <w:jc w:val="center"/>
        </w:trPr>
        <w:tc>
          <w:tcPr>
            <w:tcW w:w="5000" w:type="pct"/>
            <w:shd w:val="clear" w:color="auto" w:fill="000000"/>
            <w:vAlign w:val="bottom"/>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3968"/>
              <w:gridCol w:w="3967"/>
            </w:tblGrid>
            <w:tr w:rsidR="003B5014" w:rsidRPr="003B5014" w14:paraId="29E4C2E8" w14:textId="77777777">
              <w:trPr>
                <w:trHeight w:val="825"/>
                <w:jc w:val="center"/>
              </w:trPr>
              <w:tc>
                <w:tcPr>
                  <w:tcW w:w="3969" w:type="dxa"/>
                  <w:shd w:val="clear" w:color="auto" w:fill="000000"/>
                  <w:tcMar>
                    <w:top w:w="227" w:type="dxa"/>
                    <w:left w:w="0" w:type="dxa"/>
                    <w:bottom w:w="227" w:type="dxa"/>
                    <w:right w:w="0" w:type="dxa"/>
                  </w:tcMar>
                  <w:vAlign w:val="center"/>
                  <w:hideMark/>
                </w:tcPr>
                <w:p w14:paraId="7A034CC3" w14:textId="77777777" w:rsidR="003B5014" w:rsidRPr="003B5014" w:rsidRDefault="003B5014" w:rsidP="003B5014">
                  <w:pPr>
                    <w:spacing w:after="0" w:line="240" w:lineRule="auto"/>
                    <w:rPr>
                      <w:rFonts w:ascii="Verdana" w:eastAsia="Aptos" w:hAnsi="Verdana" w:cs="Aptos"/>
                      <w:color w:val="000000"/>
                      <w:lang w:val="en-GB"/>
                    </w:rPr>
                  </w:pPr>
                  <w:r w:rsidRPr="003B5014">
                    <w:rPr>
                      <w:rFonts w:ascii="Verdana" w:eastAsia="Aptos" w:hAnsi="Verdana" w:cs="Aptos"/>
                      <w:noProof/>
                      <w:color w:val="000000"/>
                      <w:lang w:val="es-MX" w:eastAsia="es-MX"/>
                    </w:rPr>
                    <w:drawing>
                      <wp:inline distT="0" distB="0" distL="0" distR="0" wp14:anchorId="499397E3" wp14:editId="3E36CCA3">
                        <wp:extent cx="1435100" cy="279400"/>
                        <wp:effectExtent l="0" t="0" r="12700" b="6350"/>
                        <wp:docPr id="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435100" cy="279400"/>
                                </a:xfrm>
                                <a:prstGeom prst="rect">
                                  <a:avLst/>
                                </a:prstGeom>
                                <a:noFill/>
                                <a:ln>
                                  <a:noFill/>
                                </a:ln>
                              </pic:spPr>
                            </pic:pic>
                          </a:graphicData>
                        </a:graphic>
                      </wp:inline>
                    </w:drawing>
                  </w:r>
                </w:p>
              </w:tc>
              <w:tc>
                <w:tcPr>
                  <w:tcW w:w="3969" w:type="dxa"/>
                  <w:shd w:val="clear" w:color="auto" w:fill="000000"/>
                  <w:tcMar>
                    <w:top w:w="227" w:type="dxa"/>
                    <w:left w:w="0" w:type="dxa"/>
                    <w:bottom w:w="227" w:type="dxa"/>
                    <w:right w:w="0" w:type="dxa"/>
                  </w:tcMar>
                  <w:vAlign w:val="center"/>
                </w:tcPr>
                <w:p w14:paraId="6BA4BC9D" w14:textId="77777777" w:rsidR="003B5014" w:rsidRPr="003B5014" w:rsidRDefault="003B5014" w:rsidP="003B5014">
                  <w:pPr>
                    <w:spacing w:after="0" w:line="240" w:lineRule="auto"/>
                    <w:jc w:val="right"/>
                    <w:rPr>
                      <w:rFonts w:ascii="Verdana" w:eastAsia="Aptos" w:hAnsi="Verdana" w:cs="Aptos"/>
                      <w:color w:val="000000"/>
                      <w:lang w:val="en-GB"/>
                    </w:rPr>
                  </w:pPr>
                </w:p>
              </w:tc>
            </w:tr>
          </w:tbl>
          <w:p w14:paraId="4815F91A" w14:textId="77777777" w:rsidR="003B5014" w:rsidRPr="003B5014" w:rsidRDefault="003B5014" w:rsidP="003B5014">
            <w:pPr>
              <w:spacing w:after="0" w:line="240" w:lineRule="auto"/>
              <w:jc w:val="center"/>
              <w:rPr>
                <w:rFonts w:ascii="Times New Roman" w:eastAsia="Times New Roman" w:hAnsi="Times New Roman" w:cs="Times New Roman"/>
                <w:sz w:val="20"/>
                <w:szCs w:val="20"/>
              </w:rPr>
            </w:pPr>
          </w:p>
        </w:tc>
      </w:tr>
    </w:tbl>
    <w:p w14:paraId="033E217C" w14:textId="77777777" w:rsidR="003B5014" w:rsidRPr="003B5014" w:rsidRDefault="003B5014" w:rsidP="003B5014">
      <w:pPr>
        <w:spacing w:after="0" w:line="240" w:lineRule="auto"/>
        <w:rPr>
          <w:rFonts w:ascii="Verdana" w:eastAsia="Aptos" w:hAnsi="Verdana" w:cs="Aptos"/>
          <w:color w:val="000000"/>
          <w:sz w:val="4"/>
          <w:szCs w:val="4"/>
          <w:lang w:val="en-GB" w:eastAsia="zh-TW"/>
        </w:rPr>
      </w:pPr>
    </w:p>
    <w:tbl>
      <w:tblPr>
        <w:tblW w:w="8175" w:type="dxa"/>
        <w:jc w:val="center"/>
        <w:shd w:val="clear" w:color="auto" w:fill="F2F2F2"/>
        <w:tblCellMar>
          <w:left w:w="0" w:type="dxa"/>
          <w:right w:w="0" w:type="dxa"/>
        </w:tblCellMar>
        <w:tblLook w:val="04A0" w:firstRow="1" w:lastRow="0" w:firstColumn="1" w:lastColumn="0" w:noHBand="0" w:noVBand="1"/>
      </w:tblPr>
      <w:tblGrid>
        <w:gridCol w:w="8175"/>
      </w:tblGrid>
      <w:tr w:rsidR="003B5014" w:rsidRPr="003B5014" w14:paraId="5D93121E"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tblCellMar>
                <w:left w:w="0" w:type="dxa"/>
                <w:right w:w="0" w:type="dxa"/>
              </w:tblCellMar>
              <w:tblLook w:val="04A0" w:firstRow="1" w:lastRow="0" w:firstColumn="1" w:lastColumn="0" w:noHBand="0" w:noVBand="1"/>
            </w:tblPr>
            <w:tblGrid>
              <w:gridCol w:w="7935"/>
            </w:tblGrid>
            <w:tr w:rsidR="003B5014" w:rsidRPr="003B5014" w14:paraId="21562E3F" w14:textId="77777777">
              <w:trPr>
                <w:jc w:val="center"/>
              </w:trPr>
              <w:tc>
                <w:tcPr>
                  <w:tcW w:w="7938" w:type="dxa"/>
                  <w:shd w:val="clear" w:color="auto" w:fill="F2F2F2"/>
                  <w:hideMark/>
                </w:tcPr>
                <w:p w14:paraId="01973844" w14:textId="77777777" w:rsidR="003B5014" w:rsidRPr="003B5014" w:rsidRDefault="003B5014" w:rsidP="003B5014">
                  <w:pPr>
                    <w:spacing w:before="240" w:after="240" w:line="240" w:lineRule="auto"/>
                    <w:rPr>
                      <w:rFonts w:ascii="Calibri Light" w:eastAsia="Aptos" w:hAnsi="Calibri Light" w:cs="Calibri Light"/>
                      <w:color w:val="7F7F7F"/>
                      <w:sz w:val="16"/>
                      <w:szCs w:val="16"/>
                      <w:lang w:val="es-AR"/>
                    </w:rPr>
                  </w:pPr>
                  <w:r w:rsidRPr="003B5014">
                    <w:rPr>
                      <w:rFonts w:ascii="Calibri Light" w:eastAsia="Aptos" w:hAnsi="Calibri Light" w:cs="Calibri Light"/>
                      <w:color w:val="7F7F7F"/>
                      <w:sz w:val="18"/>
                      <w:szCs w:val="18"/>
                      <w:lang w:val="es-MX"/>
                    </w:rPr>
                    <w:t xml:space="preserve">Deloitte Argentina | </w:t>
                  </w:r>
                  <w:proofErr w:type="spellStart"/>
                  <w:r w:rsidRPr="003B5014">
                    <w:rPr>
                      <w:rFonts w:ascii="Calibri Light" w:eastAsia="Aptos" w:hAnsi="Calibri Light" w:cs="Calibri Light"/>
                      <w:color w:val="7F7F7F"/>
                      <w:sz w:val="18"/>
                      <w:szCs w:val="18"/>
                      <w:lang w:val="es-MX"/>
                    </w:rPr>
                    <w:t>Clients</w:t>
                  </w:r>
                  <w:proofErr w:type="spellEnd"/>
                  <w:r w:rsidRPr="003B5014">
                    <w:rPr>
                      <w:rFonts w:ascii="Calibri Light" w:eastAsia="Aptos" w:hAnsi="Calibri Light" w:cs="Calibri Light"/>
                      <w:color w:val="7F7F7F"/>
                      <w:sz w:val="18"/>
                      <w:szCs w:val="18"/>
                      <w:lang w:val="es-MX"/>
                    </w:rPr>
                    <w:t xml:space="preserve"> &amp; Industries Tax &amp; Legal | 29 de </w:t>
                  </w:r>
                  <w:proofErr w:type="gramStart"/>
                  <w:r w:rsidRPr="003B5014">
                    <w:rPr>
                      <w:rFonts w:ascii="Calibri Light" w:eastAsia="Aptos" w:hAnsi="Calibri Light" w:cs="Calibri Light"/>
                      <w:color w:val="7F7F7F"/>
                      <w:sz w:val="18"/>
                      <w:szCs w:val="18"/>
                      <w:lang w:val="es-MX"/>
                    </w:rPr>
                    <w:t>Junio</w:t>
                  </w:r>
                  <w:proofErr w:type="gramEnd"/>
                  <w:r w:rsidRPr="003B5014">
                    <w:rPr>
                      <w:rFonts w:ascii="Calibri Light" w:eastAsia="Aptos" w:hAnsi="Calibri Light" w:cs="Calibri Light"/>
                      <w:color w:val="7F7F7F"/>
                      <w:sz w:val="18"/>
                      <w:szCs w:val="18"/>
                      <w:lang w:val="es-MX"/>
                    </w:rPr>
                    <w:t xml:space="preserve"> 2026</w:t>
                  </w:r>
                </w:p>
              </w:tc>
            </w:tr>
          </w:tbl>
          <w:p w14:paraId="0238F170" w14:textId="77777777" w:rsidR="003B5014" w:rsidRPr="003B5014" w:rsidRDefault="003B5014" w:rsidP="003B5014">
            <w:pPr>
              <w:spacing w:after="0" w:line="240" w:lineRule="auto"/>
              <w:jc w:val="center"/>
              <w:rPr>
                <w:rFonts w:ascii="Times New Roman" w:eastAsia="Times New Roman" w:hAnsi="Times New Roman" w:cs="Times New Roman"/>
                <w:sz w:val="20"/>
                <w:szCs w:val="20"/>
                <w:lang w:val="es-MX"/>
              </w:rPr>
            </w:pPr>
          </w:p>
        </w:tc>
      </w:tr>
      <w:tr w:rsidR="003B5014" w:rsidRPr="003B5014" w14:paraId="38071E4D"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3B5014" w:rsidRPr="003B5014" w14:paraId="7E3F45BF" w14:textId="77777777">
              <w:trPr>
                <w:jc w:val="center"/>
              </w:trPr>
              <w:tc>
                <w:tcPr>
                  <w:tcW w:w="7938" w:type="dxa"/>
                  <w:tcBorders>
                    <w:top w:val="nil"/>
                    <w:left w:val="nil"/>
                    <w:bottom w:val="single" w:sz="12" w:space="0" w:color="F2F2F2"/>
                    <w:right w:val="nil"/>
                  </w:tcBorders>
                  <w:shd w:val="clear" w:color="auto" w:fill="000000"/>
                  <w:vAlign w:val="center"/>
                  <w:hideMark/>
                </w:tcPr>
                <w:p w14:paraId="6E2AE27A" w14:textId="77777777" w:rsidR="003B5014" w:rsidRPr="003B5014" w:rsidRDefault="003B5014" w:rsidP="003B5014">
                  <w:pPr>
                    <w:spacing w:before="240" w:after="240" w:line="240" w:lineRule="auto"/>
                    <w:jc w:val="center"/>
                    <w:rPr>
                      <w:rFonts w:ascii="Verdana" w:eastAsia="Aptos" w:hAnsi="Verdana" w:cs="Aptos"/>
                      <w:color w:val="000000"/>
                      <w:lang w:val="es-AR"/>
                    </w:rPr>
                  </w:pPr>
                  <w:r w:rsidRPr="003B5014">
                    <w:rPr>
                      <w:rFonts w:ascii="Verdana" w:eastAsia="Aptos" w:hAnsi="Verdana" w:cs="Aptos"/>
                      <w:noProof/>
                      <w:color w:val="000000"/>
                      <w:lang w:val="es-AR"/>
                    </w:rPr>
                    <w:drawing>
                      <wp:inline distT="0" distB="0" distL="0" distR="0" wp14:anchorId="575555A4" wp14:editId="7FC358E7">
                        <wp:extent cx="1797050" cy="1797050"/>
                        <wp:effectExtent l="0" t="0" r="12700" b="12700"/>
                        <wp:docPr id="466" name="Picture 24"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hape&#10;&#10;Description automatically generated"/>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797050" cy="1797050"/>
                                </a:xfrm>
                                <a:prstGeom prst="rect">
                                  <a:avLst/>
                                </a:prstGeom>
                                <a:noFill/>
                                <a:ln>
                                  <a:noFill/>
                                </a:ln>
                              </pic:spPr>
                            </pic:pic>
                          </a:graphicData>
                        </a:graphic>
                      </wp:inline>
                    </w:drawing>
                  </w:r>
                </w:p>
              </w:tc>
            </w:tr>
            <w:tr w:rsidR="003B5014" w:rsidRPr="003B5014" w14:paraId="4AA5D41E" w14:textId="77777777">
              <w:trPr>
                <w:jc w:val="center"/>
              </w:trPr>
              <w:tc>
                <w:tcPr>
                  <w:tcW w:w="7938" w:type="dxa"/>
                  <w:tcBorders>
                    <w:top w:val="nil"/>
                    <w:left w:val="nil"/>
                    <w:bottom w:val="single" w:sz="12" w:space="0" w:color="F2F2F2"/>
                    <w:right w:val="nil"/>
                  </w:tcBorders>
                  <w:shd w:val="clear" w:color="auto" w:fill="000000"/>
                  <w:tcMar>
                    <w:top w:w="454" w:type="dxa"/>
                    <w:left w:w="454" w:type="dxa"/>
                    <w:bottom w:w="454" w:type="dxa"/>
                    <w:right w:w="454" w:type="dxa"/>
                  </w:tcMar>
                  <w:hideMark/>
                </w:tcPr>
                <w:p w14:paraId="5C63B216" w14:textId="77777777" w:rsidR="003B5014" w:rsidRPr="003B5014" w:rsidRDefault="003B5014" w:rsidP="003B5014">
                  <w:pPr>
                    <w:keepNext/>
                    <w:spacing w:after="0" w:line="240" w:lineRule="auto"/>
                    <w:outlineLvl w:val="0"/>
                    <w:rPr>
                      <w:rFonts w:ascii="Calibri Light" w:eastAsia="Times New Roman" w:hAnsi="Calibri Light" w:cs="Calibri Light"/>
                      <w:color w:val="86BC25"/>
                      <w:kern w:val="36"/>
                      <w:sz w:val="42"/>
                      <w:szCs w:val="42"/>
                      <w:lang w:val="en-GB"/>
                    </w:rPr>
                  </w:pPr>
                  <w:r w:rsidRPr="003B5014">
                    <w:rPr>
                      <w:rFonts w:ascii="Calibri Light" w:eastAsia="Times New Roman" w:hAnsi="Calibri Light" w:cs="Calibri Light"/>
                      <w:color w:val="86BC25"/>
                      <w:kern w:val="36"/>
                      <w:sz w:val="42"/>
                      <w:szCs w:val="42"/>
                      <w:lang w:val="en-GB"/>
                    </w:rPr>
                    <w:t>Tax News</w:t>
                  </w:r>
                </w:p>
                <w:p w14:paraId="77B3E003" w14:textId="77777777" w:rsidR="003B5014" w:rsidRPr="003B5014" w:rsidRDefault="003B5014" w:rsidP="003B5014">
                  <w:pPr>
                    <w:keepNext/>
                    <w:spacing w:after="0" w:line="240" w:lineRule="auto"/>
                    <w:outlineLvl w:val="2"/>
                    <w:rPr>
                      <w:rFonts w:ascii="Verdana" w:eastAsia="Times New Roman" w:hAnsi="Verdana" w:cs="Aptos"/>
                      <w:color w:val="000000"/>
                      <w:sz w:val="34"/>
                      <w:szCs w:val="34"/>
                      <w:lang w:val="en-GB"/>
                    </w:rPr>
                  </w:pPr>
                  <w:proofErr w:type="spellStart"/>
                  <w:r w:rsidRPr="003B5014">
                    <w:rPr>
                      <w:rFonts w:ascii="Calibri Light" w:eastAsia="Times New Roman" w:hAnsi="Calibri Light" w:cs="Calibri Light"/>
                      <w:color w:val="FFFFFF"/>
                      <w:sz w:val="42"/>
                      <w:szCs w:val="42"/>
                      <w:lang w:val="en-GB"/>
                    </w:rPr>
                    <w:t>Novedades</w:t>
                  </w:r>
                  <w:proofErr w:type="spellEnd"/>
                  <w:r w:rsidRPr="003B5014">
                    <w:rPr>
                      <w:rFonts w:ascii="Calibri Light" w:eastAsia="Times New Roman" w:hAnsi="Calibri Light" w:cs="Calibri Light"/>
                      <w:color w:val="FFFFFF"/>
                      <w:sz w:val="42"/>
                      <w:szCs w:val="42"/>
                      <w:lang w:val="en-GB"/>
                    </w:rPr>
                    <w:t xml:space="preserve"> Nacionales</w:t>
                  </w:r>
                </w:p>
              </w:tc>
            </w:tr>
          </w:tbl>
          <w:p w14:paraId="56C754A5" w14:textId="77777777" w:rsidR="003B5014" w:rsidRPr="003B5014" w:rsidRDefault="003B5014" w:rsidP="003B5014">
            <w:pPr>
              <w:spacing w:after="0" w:line="240" w:lineRule="auto"/>
              <w:jc w:val="center"/>
              <w:rPr>
                <w:rFonts w:ascii="Times New Roman" w:eastAsia="Times New Roman" w:hAnsi="Times New Roman" w:cs="Times New Roman"/>
                <w:sz w:val="20"/>
                <w:szCs w:val="20"/>
              </w:rPr>
            </w:pPr>
          </w:p>
        </w:tc>
      </w:tr>
      <w:tr w:rsidR="003B5014" w:rsidRPr="003B5014" w14:paraId="64E9812C"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000000"/>
              <w:tblCellMar>
                <w:left w:w="0" w:type="dxa"/>
                <w:right w:w="0" w:type="dxa"/>
              </w:tblCellMar>
              <w:tblLook w:val="04A0" w:firstRow="1" w:lastRow="0" w:firstColumn="1" w:lastColumn="0" w:noHBand="0" w:noVBand="1"/>
            </w:tblPr>
            <w:tblGrid>
              <w:gridCol w:w="7935"/>
            </w:tblGrid>
            <w:tr w:rsidR="003B5014" w:rsidRPr="003B5014" w14:paraId="301ADD65" w14:textId="77777777">
              <w:trPr>
                <w:trHeight w:val="454"/>
                <w:jc w:val="center"/>
              </w:trPr>
              <w:tc>
                <w:tcPr>
                  <w:tcW w:w="7938" w:type="dxa"/>
                  <w:tcBorders>
                    <w:top w:val="single" w:sz="8" w:space="0" w:color="auto"/>
                    <w:left w:val="nil"/>
                    <w:bottom w:val="nil"/>
                    <w:right w:val="nil"/>
                  </w:tcBorders>
                  <w:shd w:val="clear" w:color="auto" w:fill="000000"/>
                  <w:tcMar>
                    <w:top w:w="0" w:type="dxa"/>
                    <w:left w:w="454" w:type="dxa"/>
                    <w:bottom w:w="0" w:type="dxa"/>
                    <w:right w:w="454" w:type="dxa"/>
                  </w:tcMar>
                </w:tcPr>
                <w:p w14:paraId="04223A15" w14:textId="77777777" w:rsidR="003B5014" w:rsidRPr="003B5014" w:rsidRDefault="003B5014" w:rsidP="003B5014">
                  <w:pPr>
                    <w:spacing w:after="0" w:line="240" w:lineRule="auto"/>
                    <w:rPr>
                      <w:rFonts w:ascii="Verdana" w:eastAsia="Aptos" w:hAnsi="Verdana" w:cs="Aptos"/>
                      <w:color w:val="FFFFFF"/>
                      <w:lang w:val="es-AR"/>
                    </w:rPr>
                  </w:pPr>
                </w:p>
              </w:tc>
            </w:tr>
            <w:tr w:rsidR="003B5014" w:rsidRPr="003B5014" w14:paraId="53010E90" w14:textId="77777777">
              <w:trPr>
                <w:trHeight w:val="1134"/>
                <w:jc w:val="center"/>
              </w:trPr>
              <w:tc>
                <w:tcPr>
                  <w:tcW w:w="7938" w:type="dxa"/>
                  <w:shd w:val="clear" w:color="auto" w:fill="000000"/>
                  <w:tcMar>
                    <w:top w:w="0" w:type="dxa"/>
                    <w:left w:w="454" w:type="dxa"/>
                    <w:bottom w:w="0" w:type="dxa"/>
                    <w:right w:w="454" w:type="dxa"/>
                  </w:tcMar>
                  <w:vAlign w:val="center"/>
                </w:tcPr>
                <w:p w14:paraId="11AC3426" w14:textId="77777777" w:rsidR="003B5014" w:rsidRPr="003B5014" w:rsidRDefault="003B5014" w:rsidP="003B5014">
                  <w:pPr>
                    <w:spacing w:after="0" w:line="240" w:lineRule="auto"/>
                    <w:rPr>
                      <w:rFonts w:ascii="Calibri Light" w:eastAsia="Aptos" w:hAnsi="Calibri Light" w:cs="Calibri Light"/>
                      <w:color w:val="FFFFFF"/>
                      <w:sz w:val="16"/>
                      <w:szCs w:val="16"/>
                      <w:lang w:val="es-AR"/>
                    </w:rPr>
                  </w:pPr>
                  <w:r w:rsidRPr="003B5014">
                    <w:rPr>
                      <w:rFonts w:ascii="Calibri Light" w:eastAsia="Aptos" w:hAnsi="Calibri Light" w:cs="Calibri Light"/>
                      <w:color w:val="FFFFFF"/>
                      <w:sz w:val="16"/>
                      <w:szCs w:val="16"/>
                      <w:lang w:val="es-AR"/>
                    </w:rPr>
                    <w:t>El presente correo es una síntesis de las novedades más relevantes en materia impositiva. Por lo tanto, incluye en forma sintética sólo aquellas normas que hemos considerado de mayor interés. Asimismo, el contenido del presente no constituye en ningún caso una interpretación u opinión de nuestra parte, sino un resumen de las normas que se indican.</w:t>
                  </w:r>
                </w:p>
                <w:p w14:paraId="16596216" w14:textId="77777777" w:rsidR="003B5014" w:rsidRPr="003B5014" w:rsidRDefault="003B5014" w:rsidP="003B5014">
                  <w:pPr>
                    <w:spacing w:after="0" w:line="240" w:lineRule="auto"/>
                    <w:rPr>
                      <w:rFonts w:ascii="Calibri Light" w:eastAsia="Aptos" w:hAnsi="Calibri Light" w:cs="Calibri Light"/>
                      <w:color w:val="FFFFFF"/>
                      <w:sz w:val="16"/>
                      <w:szCs w:val="16"/>
                      <w:lang w:val="es-AR"/>
                    </w:rPr>
                  </w:pPr>
                </w:p>
                <w:tbl>
                  <w:tblPr>
                    <w:tblW w:w="0" w:type="auto"/>
                    <w:tblCellMar>
                      <w:left w:w="0" w:type="dxa"/>
                      <w:right w:w="0" w:type="dxa"/>
                    </w:tblCellMar>
                    <w:tblLook w:val="04A0" w:firstRow="1" w:lastRow="0" w:firstColumn="1" w:lastColumn="0" w:noHBand="0" w:noVBand="1"/>
                  </w:tblPr>
                  <w:tblGrid>
                    <w:gridCol w:w="906"/>
                    <w:gridCol w:w="6121"/>
                  </w:tblGrid>
                  <w:tr w:rsidR="003B5014" w:rsidRPr="003B5014" w14:paraId="112F9D20" w14:textId="77777777">
                    <w:tc>
                      <w:tcPr>
                        <w:tcW w:w="848" w:type="dxa"/>
                        <w:tcMar>
                          <w:top w:w="0" w:type="dxa"/>
                          <w:left w:w="108" w:type="dxa"/>
                          <w:bottom w:w="0" w:type="dxa"/>
                          <w:right w:w="108" w:type="dxa"/>
                        </w:tcMar>
                        <w:vAlign w:val="center"/>
                        <w:hideMark/>
                      </w:tcPr>
                      <w:p w14:paraId="7E149605" w14:textId="77777777" w:rsidR="003B5014" w:rsidRPr="003B5014" w:rsidRDefault="003B5014" w:rsidP="003B5014">
                        <w:pPr>
                          <w:spacing w:after="0" w:line="240" w:lineRule="auto"/>
                          <w:rPr>
                            <w:rFonts w:ascii="Calibri" w:eastAsia="Aptos" w:hAnsi="Calibri" w:cs="Calibri"/>
                            <w:b/>
                            <w:bCs/>
                            <w:color w:val="FFFFFF"/>
                            <w:sz w:val="16"/>
                            <w:szCs w:val="16"/>
                            <w:lang w:val="es-AR"/>
                          </w:rPr>
                        </w:pPr>
                        <w:r w:rsidRPr="003B5014">
                          <w:rPr>
                            <w:rFonts w:ascii="Verdana" w:eastAsia="Aptos" w:hAnsi="Verdana" w:cs="Aptos"/>
                            <w:noProof/>
                            <w:color w:val="000000"/>
                            <w:lang w:val="en-GB"/>
                          </w:rPr>
                          <w:drawing>
                            <wp:inline distT="0" distB="0" distL="0" distR="0" wp14:anchorId="04369E71" wp14:editId="3E6906BB">
                              <wp:extent cx="425450" cy="425450"/>
                              <wp:effectExtent l="0" t="0" r="12700" b="12700"/>
                              <wp:docPr id="467" name="Group 13">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13"/>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inline>
                          </w:drawing>
                        </w:r>
                      </w:p>
                    </w:tc>
                    <w:tc>
                      <w:tcPr>
                        <w:tcW w:w="6182" w:type="dxa"/>
                        <w:tcMar>
                          <w:top w:w="0" w:type="dxa"/>
                          <w:left w:w="108" w:type="dxa"/>
                          <w:bottom w:w="0" w:type="dxa"/>
                          <w:right w:w="108" w:type="dxa"/>
                        </w:tcMar>
                        <w:vAlign w:val="center"/>
                        <w:hideMark/>
                      </w:tcPr>
                      <w:p w14:paraId="76CC2836" w14:textId="77777777" w:rsidR="003B5014" w:rsidRPr="003B5014" w:rsidRDefault="003B5014" w:rsidP="003B5014">
                        <w:pPr>
                          <w:spacing w:after="0" w:line="240" w:lineRule="auto"/>
                          <w:rPr>
                            <w:rFonts w:ascii="Calibri Light" w:eastAsia="Aptos" w:hAnsi="Calibri Light" w:cs="Calibri Light"/>
                            <w:color w:val="FFFFFF"/>
                            <w:lang w:val="es-AR"/>
                          </w:rPr>
                        </w:pPr>
                        <w:r w:rsidRPr="003B5014">
                          <w:rPr>
                            <w:rFonts w:ascii="Calibri" w:eastAsia="Aptos" w:hAnsi="Calibri" w:cs="Calibri"/>
                            <w:b/>
                            <w:bCs/>
                            <w:color w:val="FFFFFF"/>
                            <w:lang w:val="es-AR"/>
                          </w:rPr>
                          <w:t xml:space="preserve">Para </w:t>
                        </w:r>
                        <w:proofErr w:type="gramStart"/>
                        <w:r w:rsidRPr="003B5014">
                          <w:rPr>
                            <w:rFonts w:ascii="Calibri" w:eastAsia="Aptos" w:hAnsi="Calibri" w:cs="Calibri"/>
                            <w:b/>
                            <w:bCs/>
                            <w:color w:val="FFFFFF"/>
                            <w:lang w:val="es-AR"/>
                          </w:rPr>
                          <w:t>mayor información</w:t>
                        </w:r>
                        <w:proofErr w:type="gramEnd"/>
                        <w:r w:rsidRPr="003B5014">
                          <w:rPr>
                            <w:rFonts w:ascii="Calibri" w:eastAsia="Aptos" w:hAnsi="Calibri" w:cs="Calibri"/>
                            <w:b/>
                            <w:bCs/>
                            <w:color w:val="FFFFFF"/>
                            <w:lang w:val="es-AR"/>
                          </w:rPr>
                          <w:t xml:space="preserve"> y análisis de las normas, sugerimos contactar vía e-mail a nuestros profesionales, quienes lo asesorarán particularmente.</w:t>
                        </w:r>
                      </w:p>
                    </w:tc>
                  </w:tr>
                </w:tbl>
                <w:p w14:paraId="6AAB91B0" w14:textId="77777777" w:rsidR="003B5014" w:rsidRPr="003B5014" w:rsidRDefault="003B5014" w:rsidP="003B5014">
                  <w:pPr>
                    <w:spacing w:after="0" w:line="240" w:lineRule="auto"/>
                    <w:rPr>
                      <w:rFonts w:ascii="Calibri" w:eastAsia="Aptos" w:hAnsi="Calibri" w:cs="Calibri"/>
                      <w:b/>
                      <w:bCs/>
                      <w:color w:val="FFFFFF"/>
                      <w:lang w:val="es-MX"/>
                    </w:rPr>
                  </w:pPr>
                </w:p>
              </w:tc>
            </w:tr>
            <w:tr w:rsidR="003B5014" w:rsidRPr="003B5014" w14:paraId="79714E0F" w14:textId="77777777">
              <w:trPr>
                <w:trHeight w:val="454"/>
                <w:jc w:val="center"/>
              </w:trPr>
              <w:tc>
                <w:tcPr>
                  <w:tcW w:w="7938" w:type="dxa"/>
                  <w:shd w:val="clear" w:color="auto" w:fill="000000"/>
                  <w:tcMar>
                    <w:top w:w="0" w:type="dxa"/>
                    <w:left w:w="454" w:type="dxa"/>
                    <w:bottom w:w="0" w:type="dxa"/>
                    <w:right w:w="454" w:type="dxa"/>
                  </w:tcMar>
                </w:tcPr>
                <w:p w14:paraId="6A988D4A" w14:textId="77777777" w:rsidR="003B5014" w:rsidRPr="003B5014" w:rsidRDefault="003B5014" w:rsidP="003B5014">
                  <w:pPr>
                    <w:spacing w:after="0" w:line="240" w:lineRule="auto"/>
                    <w:rPr>
                      <w:rFonts w:ascii="Verdana" w:eastAsia="Aptos" w:hAnsi="Verdana" w:cs="Aptos"/>
                      <w:color w:val="000000"/>
                      <w:lang w:val="es-MX"/>
                    </w:rPr>
                  </w:pPr>
                </w:p>
              </w:tc>
            </w:tr>
          </w:tbl>
          <w:p w14:paraId="0ACC9129" w14:textId="77777777" w:rsidR="003B5014" w:rsidRPr="003B5014" w:rsidRDefault="003B5014" w:rsidP="003B5014">
            <w:pPr>
              <w:spacing w:after="0" w:line="240" w:lineRule="auto"/>
              <w:jc w:val="center"/>
              <w:rPr>
                <w:rFonts w:ascii="Times New Roman" w:eastAsia="Times New Roman" w:hAnsi="Times New Roman" w:cs="Times New Roman"/>
                <w:sz w:val="20"/>
                <w:szCs w:val="20"/>
                <w:lang w:val="es-MX"/>
              </w:rPr>
            </w:pPr>
          </w:p>
        </w:tc>
      </w:tr>
      <w:tr w:rsidR="003B5014" w:rsidRPr="003B5014" w14:paraId="33874C43"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3B5014" w:rsidRPr="003B5014" w14:paraId="361F3D96"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6D0D666C" w14:textId="77777777" w:rsidR="003B5014" w:rsidRPr="003B5014" w:rsidRDefault="003B5014" w:rsidP="003B5014">
                  <w:pPr>
                    <w:spacing w:after="120" w:line="240" w:lineRule="auto"/>
                    <w:jc w:val="both"/>
                    <w:rPr>
                      <w:rFonts w:ascii="Verdana" w:eastAsia="Aptos" w:hAnsi="Verdana" w:cs="Aptos"/>
                      <w:color w:val="000000"/>
                      <w:lang w:val="es-MX"/>
                    </w:rPr>
                  </w:pPr>
                </w:p>
              </w:tc>
            </w:tr>
            <w:tr w:rsidR="003B5014" w:rsidRPr="003B5014" w14:paraId="408ACB66" w14:textId="77777777">
              <w:trPr>
                <w:trHeight w:val="1134"/>
                <w:jc w:val="center"/>
              </w:trPr>
              <w:tc>
                <w:tcPr>
                  <w:tcW w:w="7938" w:type="dxa"/>
                  <w:shd w:val="clear" w:color="auto" w:fill="FFFFFF"/>
                  <w:tcMar>
                    <w:top w:w="0" w:type="dxa"/>
                    <w:left w:w="454" w:type="dxa"/>
                    <w:bottom w:w="0" w:type="dxa"/>
                    <w:right w:w="454" w:type="dxa"/>
                  </w:tcMar>
                  <w:hideMark/>
                </w:tcPr>
                <w:p w14:paraId="678A832C" w14:textId="77777777" w:rsidR="003B5014" w:rsidRPr="003B5014" w:rsidRDefault="003B5014" w:rsidP="003B5014">
                  <w:pPr>
                    <w:spacing w:after="120" w:line="240" w:lineRule="auto"/>
                    <w:jc w:val="both"/>
                    <w:rPr>
                      <w:rFonts w:ascii="Calibri" w:eastAsia="Aptos" w:hAnsi="Calibri" w:cs="Calibri"/>
                      <w:b/>
                      <w:bCs/>
                      <w:color w:val="86BC25"/>
                      <w:spacing w:val="-2"/>
                      <w:sz w:val="32"/>
                      <w:szCs w:val="32"/>
                      <w:lang w:val="es-AR"/>
                    </w:rPr>
                  </w:pPr>
                  <w:r w:rsidRPr="003B5014">
                    <w:rPr>
                      <w:rFonts w:ascii="Calibri" w:eastAsia="Aptos" w:hAnsi="Calibri" w:cs="Calibri"/>
                      <w:b/>
                      <w:bCs/>
                      <w:color w:val="86BC25"/>
                      <w:spacing w:val="-2"/>
                      <w:sz w:val="32"/>
                      <w:szCs w:val="32"/>
                      <w:lang w:val="es-AR"/>
                    </w:rPr>
                    <w:t>Percepción de IVA e Impuesto a las Ganancias</w:t>
                  </w:r>
                </w:p>
                <w:p w14:paraId="47D72D77" w14:textId="77777777" w:rsidR="003B5014" w:rsidRPr="003B5014" w:rsidRDefault="003B5014" w:rsidP="003B5014">
                  <w:pPr>
                    <w:spacing w:after="120" w:line="240" w:lineRule="auto"/>
                    <w:jc w:val="both"/>
                    <w:rPr>
                      <w:rFonts w:ascii="Calibri Light" w:eastAsia="Aptos" w:hAnsi="Calibri Light" w:cs="Calibri Light"/>
                      <w:spacing w:val="-2"/>
                      <w:sz w:val="32"/>
                      <w:szCs w:val="32"/>
                      <w:lang w:val="es-AR"/>
                    </w:rPr>
                  </w:pPr>
                  <w:r w:rsidRPr="003B5014">
                    <w:rPr>
                      <w:rFonts w:ascii="Calibri Light" w:eastAsia="Aptos" w:hAnsi="Calibri Light" w:cs="Calibri Light"/>
                      <w:color w:val="000000"/>
                      <w:spacing w:val="-2"/>
                      <w:sz w:val="32"/>
                      <w:szCs w:val="32"/>
                      <w:lang w:val="es-AR"/>
                    </w:rPr>
                    <w:t>Resolución General (ARCA) N°5868/2026</w:t>
                  </w:r>
                </w:p>
                <w:p w14:paraId="24F7F916" w14:textId="77777777" w:rsidR="003B5014" w:rsidRPr="003B5014" w:rsidRDefault="003B5014" w:rsidP="003B5014">
                  <w:pPr>
                    <w:spacing w:after="120" w:line="240" w:lineRule="auto"/>
                    <w:jc w:val="both"/>
                    <w:rPr>
                      <w:rFonts w:ascii="Calibri Light" w:eastAsia="Aptos" w:hAnsi="Calibri Light" w:cs="Calibri Light"/>
                      <w:color w:val="000000"/>
                      <w:lang w:val="es-AR"/>
                    </w:rPr>
                  </w:pPr>
                  <w:r w:rsidRPr="003B5014">
                    <w:rPr>
                      <w:rFonts w:ascii="Calibri Light" w:eastAsia="Aptos" w:hAnsi="Calibri Light" w:cs="Calibri Light"/>
                      <w:color w:val="000000"/>
                      <w:lang w:val="es-AR"/>
                    </w:rPr>
                    <w:lastRenderedPageBreak/>
                    <w:t xml:space="preserve">Por medio del presente, se modifica la Resolución General (AFIP) </w:t>
                  </w:r>
                  <w:proofErr w:type="spellStart"/>
                  <w:r w:rsidRPr="003B5014">
                    <w:rPr>
                      <w:rFonts w:ascii="Calibri Light" w:eastAsia="Aptos" w:hAnsi="Calibri Light" w:cs="Calibri Light"/>
                      <w:color w:val="000000"/>
                      <w:lang w:val="es-AR"/>
                    </w:rPr>
                    <w:t>N°</w:t>
                  </w:r>
                  <w:proofErr w:type="spellEnd"/>
                  <w:r w:rsidRPr="003B5014">
                    <w:rPr>
                      <w:rFonts w:ascii="Calibri Light" w:eastAsia="Aptos" w:hAnsi="Calibri Light" w:cs="Calibri Light"/>
                      <w:color w:val="000000"/>
                      <w:lang w:val="es-AR"/>
                    </w:rPr>
                    <w:t xml:space="preserve"> 5490/2024 y se prorroga la excepción de pago del IVA percepción y el anticipo del impuesto a las ganancias en operaciones de importación de determinadas posiciones arancelarias las cuales abarcan alimentos, productos medicinales y de canasta básica.</w:t>
                  </w:r>
                </w:p>
                <w:p w14:paraId="581B8613" w14:textId="77777777" w:rsidR="003B5014" w:rsidRPr="003B5014" w:rsidRDefault="003B5014" w:rsidP="003B5014">
                  <w:pPr>
                    <w:spacing w:after="120" w:line="240" w:lineRule="auto"/>
                    <w:jc w:val="both"/>
                    <w:rPr>
                      <w:rFonts w:ascii="Calibri Light" w:eastAsia="Aptos" w:hAnsi="Calibri Light" w:cs="Calibri Light"/>
                      <w:color w:val="000000"/>
                      <w:lang w:val="es-AR"/>
                    </w:rPr>
                  </w:pPr>
                  <w:r w:rsidRPr="003B5014">
                    <w:rPr>
                      <w:rFonts w:ascii="Calibri Light" w:eastAsia="Aptos" w:hAnsi="Calibri Light" w:cs="Calibri Light"/>
                      <w:color w:val="000000"/>
                      <w:lang w:val="es-AR"/>
                    </w:rPr>
                    <w:t>Cabe destacar que aplica para Pymes que tengan vigente el “certificado MiPyME”.</w:t>
                  </w:r>
                </w:p>
                <w:p w14:paraId="32F372E0" w14:textId="77777777" w:rsidR="003B5014" w:rsidRPr="003B5014" w:rsidRDefault="003B5014" w:rsidP="003B5014">
                  <w:pPr>
                    <w:spacing w:after="120" w:line="240" w:lineRule="auto"/>
                    <w:jc w:val="both"/>
                    <w:rPr>
                      <w:rFonts w:ascii="Calibri Light" w:eastAsia="Aptos" w:hAnsi="Calibri Light" w:cs="Calibri Light"/>
                      <w:color w:val="000000"/>
                      <w:lang w:val="es-AR"/>
                    </w:rPr>
                  </w:pPr>
                  <w:r w:rsidRPr="003B5014">
                    <w:rPr>
                      <w:rFonts w:ascii="Calibri Light" w:eastAsia="Aptos" w:hAnsi="Calibri Light" w:cs="Calibri Light"/>
                      <w:color w:val="000000"/>
                      <w:lang w:val="es-AR"/>
                    </w:rPr>
                    <w:t>Esta Resolución General entrará en vigor el 29/06/2026.</w:t>
                  </w:r>
                </w:p>
              </w:tc>
            </w:tr>
            <w:tr w:rsidR="003B5014" w:rsidRPr="003B5014" w14:paraId="3B406062" w14:textId="77777777">
              <w:trPr>
                <w:trHeight w:val="454"/>
                <w:jc w:val="center"/>
              </w:trPr>
              <w:tc>
                <w:tcPr>
                  <w:tcW w:w="7938" w:type="dxa"/>
                  <w:shd w:val="clear" w:color="auto" w:fill="FFFFFF"/>
                  <w:tcMar>
                    <w:top w:w="0" w:type="dxa"/>
                    <w:left w:w="454" w:type="dxa"/>
                    <w:bottom w:w="0" w:type="dxa"/>
                    <w:right w:w="454" w:type="dxa"/>
                  </w:tcMar>
                </w:tcPr>
                <w:p w14:paraId="27A9E199" w14:textId="77777777" w:rsidR="003B5014" w:rsidRPr="003B5014" w:rsidRDefault="003B5014" w:rsidP="003B5014">
                  <w:pPr>
                    <w:spacing w:after="120" w:line="240" w:lineRule="auto"/>
                    <w:jc w:val="both"/>
                    <w:rPr>
                      <w:rFonts w:ascii="Verdana" w:eastAsia="Aptos" w:hAnsi="Verdana" w:cs="Aptos"/>
                      <w:color w:val="000000"/>
                      <w:lang w:val="es-MX"/>
                    </w:rPr>
                  </w:pPr>
                </w:p>
              </w:tc>
            </w:tr>
          </w:tbl>
          <w:p w14:paraId="2FBE531D" w14:textId="77777777" w:rsidR="003B5014" w:rsidRPr="003B5014" w:rsidRDefault="003B5014" w:rsidP="003B5014">
            <w:pPr>
              <w:spacing w:after="0" w:line="240" w:lineRule="auto"/>
              <w:jc w:val="center"/>
              <w:rPr>
                <w:rFonts w:ascii="Times New Roman" w:eastAsia="Times New Roman" w:hAnsi="Times New Roman" w:cs="Times New Roman"/>
                <w:sz w:val="20"/>
                <w:szCs w:val="20"/>
                <w:lang w:val="es-MX"/>
              </w:rPr>
            </w:pPr>
          </w:p>
        </w:tc>
      </w:tr>
      <w:tr w:rsidR="003B5014" w:rsidRPr="003B5014" w14:paraId="2325A229"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3B5014" w:rsidRPr="003B5014" w14:paraId="64933662"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6885802D" w14:textId="77777777" w:rsidR="003B5014" w:rsidRPr="003B5014" w:rsidRDefault="003B5014" w:rsidP="003B5014">
                  <w:pPr>
                    <w:spacing w:after="120" w:line="240" w:lineRule="auto"/>
                    <w:jc w:val="both"/>
                    <w:rPr>
                      <w:rFonts w:ascii="Verdana" w:eastAsia="Aptos" w:hAnsi="Verdana" w:cs="Aptos"/>
                      <w:color w:val="000000"/>
                      <w:lang w:val="es-MX"/>
                    </w:rPr>
                  </w:pPr>
                </w:p>
              </w:tc>
            </w:tr>
            <w:tr w:rsidR="003B5014" w:rsidRPr="003B5014" w14:paraId="2B0BCB31" w14:textId="77777777">
              <w:trPr>
                <w:trHeight w:val="1134"/>
                <w:jc w:val="center"/>
              </w:trPr>
              <w:tc>
                <w:tcPr>
                  <w:tcW w:w="7938" w:type="dxa"/>
                  <w:shd w:val="clear" w:color="auto" w:fill="FFFFFF"/>
                  <w:tcMar>
                    <w:top w:w="0" w:type="dxa"/>
                    <w:left w:w="454" w:type="dxa"/>
                    <w:bottom w:w="0" w:type="dxa"/>
                    <w:right w:w="454" w:type="dxa"/>
                  </w:tcMar>
                  <w:hideMark/>
                </w:tcPr>
                <w:p w14:paraId="7E9A26FD" w14:textId="77777777" w:rsidR="003B5014" w:rsidRPr="003B5014" w:rsidRDefault="003B5014" w:rsidP="003B5014">
                  <w:pPr>
                    <w:spacing w:after="120" w:line="240" w:lineRule="auto"/>
                    <w:jc w:val="both"/>
                    <w:rPr>
                      <w:rFonts w:ascii="Calibri" w:eastAsia="Aptos" w:hAnsi="Calibri" w:cs="Calibri"/>
                      <w:b/>
                      <w:bCs/>
                      <w:color w:val="86BC25"/>
                      <w:spacing w:val="-2"/>
                      <w:sz w:val="32"/>
                      <w:szCs w:val="32"/>
                      <w:lang w:val="es-AR"/>
                    </w:rPr>
                  </w:pPr>
                  <w:r w:rsidRPr="003B5014">
                    <w:rPr>
                      <w:rFonts w:ascii="Calibri" w:eastAsia="Aptos" w:hAnsi="Calibri" w:cs="Calibri"/>
                      <w:b/>
                      <w:bCs/>
                      <w:color w:val="86BC25"/>
                      <w:spacing w:val="-2"/>
                      <w:sz w:val="32"/>
                      <w:szCs w:val="32"/>
                      <w:lang w:val="es-AR"/>
                    </w:rPr>
                    <w:t xml:space="preserve">Régimen de emisión de comprobantes </w:t>
                  </w:r>
                </w:p>
                <w:p w14:paraId="7AD6AC7F" w14:textId="77777777" w:rsidR="003B5014" w:rsidRPr="003B5014" w:rsidRDefault="003B5014" w:rsidP="003B5014">
                  <w:pPr>
                    <w:spacing w:after="120" w:line="240" w:lineRule="auto"/>
                    <w:jc w:val="both"/>
                    <w:rPr>
                      <w:rFonts w:ascii="Calibri Light" w:eastAsia="Aptos" w:hAnsi="Calibri Light" w:cs="Calibri Light"/>
                      <w:spacing w:val="-2"/>
                      <w:sz w:val="32"/>
                      <w:szCs w:val="32"/>
                      <w:lang w:val="es-AR"/>
                    </w:rPr>
                  </w:pPr>
                  <w:r w:rsidRPr="003B5014">
                    <w:rPr>
                      <w:rFonts w:ascii="Calibri Light" w:eastAsia="Aptos" w:hAnsi="Calibri Light" w:cs="Calibri Light"/>
                      <w:color w:val="000000"/>
                      <w:spacing w:val="-2"/>
                      <w:sz w:val="32"/>
                      <w:szCs w:val="32"/>
                      <w:lang w:val="es-AR"/>
                    </w:rPr>
                    <w:t>Resolución General (ARCA) N°5866/2026</w:t>
                  </w:r>
                </w:p>
                <w:p w14:paraId="18A47641" w14:textId="77777777" w:rsidR="003B5014" w:rsidRPr="003B5014" w:rsidRDefault="003B5014" w:rsidP="003B5014">
                  <w:pPr>
                    <w:spacing w:after="120" w:line="240" w:lineRule="auto"/>
                    <w:jc w:val="both"/>
                    <w:rPr>
                      <w:rFonts w:ascii="Calibri Light" w:eastAsia="Aptos" w:hAnsi="Calibri Light" w:cs="Calibri Light"/>
                      <w:spacing w:val="-2"/>
                      <w:lang w:val="es-AR"/>
                    </w:rPr>
                  </w:pPr>
                  <w:r w:rsidRPr="003B5014">
                    <w:rPr>
                      <w:rFonts w:ascii="Calibri Light" w:eastAsia="Aptos" w:hAnsi="Calibri Light" w:cs="Calibri Light"/>
                      <w:color w:val="000000"/>
                      <w:spacing w:val="-2"/>
                      <w:lang w:val="es-AR"/>
                    </w:rPr>
                    <w:t xml:space="preserve">Se modifica el cuadro del artículo 13 de la Resolución General (AFIP) N°1415, el cual establece el momento de emisión y entrega de comprobantes, incorporando la siguiente operación: “Prestaciones inherentes a los cargos de director, síndico y miembros del consejo de vigilancia de sociedades anónimas y cargos equivalentes de administrador y miembros del consejo de administración de otras sociedades, asociaciones, fundaciones y de las cooperativas” e indicando como fecha límite para su emisión el día en que se efectúe su asignación individual, por la asamblea de accionistas o reunión de socios, o por el directorio u órgano ejecutivo y como plazo de entrega del comprobante 10 días corridos contados desde la fecha de emisión. </w:t>
                  </w:r>
                </w:p>
                <w:p w14:paraId="785967AA" w14:textId="77777777" w:rsidR="003B5014" w:rsidRPr="003B5014" w:rsidRDefault="003B5014" w:rsidP="003B5014">
                  <w:pPr>
                    <w:spacing w:after="120" w:line="240" w:lineRule="auto"/>
                    <w:jc w:val="both"/>
                    <w:rPr>
                      <w:rFonts w:ascii="Calibri Light" w:eastAsia="Aptos" w:hAnsi="Calibri Light" w:cs="Calibri Light"/>
                      <w:spacing w:val="-2"/>
                      <w:lang w:val="es-AR"/>
                    </w:rPr>
                  </w:pPr>
                  <w:r w:rsidRPr="003B5014">
                    <w:rPr>
                      <w:rFonts w:ascii="Calibri Light" w:eastAsia="Aptos" w:hAnsi="Calibri Light" w:cs="Calibri Light"/>
                      <w:color w:val="000000"/>
                      <w:spacing w:val="-2"/>
                      <w:lang w:val="es-AR"/>
                    </w:rPr>
                    <w:t>Asimismo, se incorpora al artículo 23 de la Resolución General (AFIP) N°1415 como punto 16 la figura de la Liquidación Electrónica Mensual como alternativa a la facturación individual.</w:t>
                  </w:r>
                </w:p>
                <w:p w14:paraId="18EACC9C" w14:textId="77777777" w:rsidR="003B5014" w:rsidRPr="003B5014" w:rsidRDefault="003B5014" w:rsidP="003B5014">
                  <w:pPr>
                    <w:spacing w:after="120" w:line="240" w:lineRule="auto"/>
                    <w:jc w:val="both"/>
                    <w:rPr>
                      <w:rFonts w:ascii="Calibri Light" w:eastAsia="Aptos" w:hAnsi="Calibri Light" w:cs="Calibri Light"/>
                      <w:spacing w:val="-2"/>
                      <w:lang w:val="es-AR"/>
                    </w:rPr>
                  </w:pPr>
                  <w:r w:rsidRPr="003B5014">
                    <w:rPr>
                      <w:rFonts w:ascii="Calibri Light" w:eastAsia="Aptos" w:hAnsi="Calibri Light" w:cs="Calibri Light"/>
                      <w:color w:val="000000"/>
                      <w:spacing w:val="-2"/>
                      <w:lang w:val="es-AR"/>
                    </w:rPr>
                    <w:t>Por otro lado, en los siguientes sujetos, la obligación de emitir comprobantes resultará exigible en las siguientes fechas:</w:t>
                  </w:r>
                </w:p>
                <w:p w14:paraId="02B84D39" w14:textId="77777777" w:rsidR="003B5014" w:rsidRPr="003B5014" w:rsidRDefault="003B5014" w:rsidP="003B5014">
                  <w:pPr>
                    <w:spacing w:after="120" w:line="240" w:lineRule="auto"/>
                    <w:jc w:val="both"/>
                    <w:rPr>
                      <w:rFonts w:ascii="Calibri Light" w:eastAsia="Aptos" w:hAnsi="Calibri Light" w:cs="Calibri Light"/>
                      <w:spacing w:val="-2"/>
                      <w:lang w:val="es-AR"/>
                    </w:rPr>
                  </w:pPr>
                  <w:r w:rsidRPr="003B5014">
                    <w:rPr>
                      <w:rFonts w:ascii="Calibri Light" w:eastAsia="Aptos" w:hAnsi="Calibri Light" w:cs="Calibri Light"/>
                      <w:color w:val="000000"/>
                      <w:spacing w:val="-2"/>
                      <w:lang w:val="es-AR"/>
                    </w:rPr>
                    <w:t>1/9/2026: Entidades de seguros. Operaciones con sujetos no inscriptos o no exentos en IVA.</w:t>
                  </w:r>
                </w:p>
                <w:p w14:paraId="7377414C" w14:textId="77777777" w:rsidR="003B5014" w:rsidRPr="003B5014" w:rsidRDefault="003B5014" w:rsidP="003B5014">
                  <w:pPr>
                    <w:spacing w:after="120" w:line="240" w:lineRule="auto"/>
                    <w:jc w:val="both"/>
                    <w:rPr>
                      <w:rFonts w:ascii="Calibri Light" w:eastAsia="Aptos" w:hAnsi="Calibri Light" w:cs="Calibri Light"/>
                      <w:spacing w:val="-2"/>
                      <w:lang w:val="es-AR"/>
                    </w:rPr>
                  </w:pPr>
                  <w:r w:rsidRPr="003B5014">
                    <w:rPr>
                      <w:rFonts w:ascii="Calibri Light" w:eastAsia="Aptos" w:hAnsi="Calibri Light" w:cs="Calibri Light"/>
                      <w:color w:val="000000"/>
                      <w:spacing w:val="-2"/>
                      <w:lang w:val="es-AR"/>
                    </w:rPr>
                    <w:t>1/10/2026: Entidades financieras. Operaciones vinculadas a leasing y comercio exterior</w:t>
                  </w:r>
                </w:p>
                <w:p w14:paraId="4110E64A" w14:textId="77777777" w:rsidR="003B5014" w:rsidRPr="003B5014" w:rsidRDefault="003B5014" w:rsidP="003B5014">
                  <w:pPr>
                    <w:spacing w:after="120" w:line="240" w:lineRule="auto"/>
                    <w:jc w:val="both"/>
                    <w:rPr>
                      <w:rFonts w:ascii="Calibri Light" w:eastAsia="Aptos" w:hAnsi="Calibri Light" w:cs="Calibri Light"/>
                      <w:spacing w:val="-2"/>
                      <w:lang w:val="es-AR"/>
                    </w:rPr>
                  </w:pPr>
                  <w:r w:rsidRPr="003B5014">
                    <w:rPr>
                      <w:rFonts w:ascii="Calibri Light" w:eastAsia="Aptos" w:hAnsi="Calibri Light" w:cs="Calibri Light"/>
                      <w:color w:val="000000"/>
                      <w:spacing w:val="-2"/>
                      <w:lang w:val="es-AR"/>
                    </w:rPr>
                    <w:t>1/12/2026: Entidades financieras. Préstamos (excepto descubiertos en cuenta), operaciones con sujetos no inscriptos o no exentos en IVA e ingresos incluidos en liquidaciones a titulares de tarjetas (crédito, débito, compra, prepagas)</w:t>
                  </w:r>
                </w:p>
                <w:p w14:paraId="405F8205" w14:textId="77777777" w:rsidR="003B5014" w:rsidRPr="003B5014" w:rsidRDefault="003B5014" w:rsidP="003B5014">
                  <w:pPr>
                    <w:spacing w:after="120" w:line="240" w:lineRule="auto"/>
                    <w:jc w:val="both"/>
                    <w:rPr>
                      <w:rFonts w:ascii="Calibri Light" w:eastAsia="Aptos" w:hAnsi="Calibri Light" w:cs="Calibri Light"/>
                      <w:spacing w:val="-2"/>
                      <w:lang w:val="es-AR"/>
                    </w:rPr>
                  </w:pPr>
                  <w:r w:rsidRPr="003B5014">
                    <w:rPr>
                      <w:rFonts w:ascii="Calibri Light" w:eastAsia="Aptos" w:hAnsi="Calibri Light" w:cs="Calibri Light"/>
                      <w:color w:val="000000"/>
                      <w:spacing w:val="-2"/>
                      <w:lang w:val="es-AR"/>
                    </w:rPr>
                    <w:t>1/3/2027: Entidades de seguros. Operaciones de coaseguro; y entidades financieras por liquidaciones a comercios adheridos y distribución del arancel entre participantes del sistema.</w:t>
                  </w:r>
                </w:p>
              </w:tc>
            </w:tr>
            <w:tr w:rsidR="003B5014" w:rsidRPr="003B5014" w14:paraId="62A40622" w14:textId="77777777">
              <w:trPr>
                <w:trHeight w:val="454"/>
                <w:jc w:val="center"/>
              </w:trPr>
              <w:tc>
                <w:tcPr>
                  <w:tcW w:w="7938" w:type="dxa"/>
                  <w:shd w:val="clear" w:color="auto" w:fill="FFFFFF"/>
                  <w:tcMar>
                    <w:top w:w="0" w:type="dxa"/>
                    <w:left w:w="454" w:type="dxa"/>
                    <w:bottom w:w="0" w:type="dxa"/>
                    <w:right w:w="454" w:type="dxa"/>
                  </w:tcMar>
                </w:tcPr>
                <w:p w14:paraId="7E7ED450" w14:textId="77777777" w:rsidR="003B5014" w:rsidRPr="003B5014" w:rsidRDefault="003B5014" w:rsidP="003B5014">
                  <w:pPr>
                    <w:spacing w:after="120" w:line="240" w:lineRule="auto"/>
                    <w:jc w:val="both"/>
                    <w:rPr>
                      <w:rFonts w:ascii="Verdana" w:eastAsia="Aptos" w:hAnsi="Verdana" w:cs="Aptos"/>
                      <w:color w:val="000000"/>
                      <w:lang w:val="es-MX"/>
                    </w:rPr>
                  </w:pPr>
                </w:p>
              </w:tc>
            </w:tr>
          </w:tbl>
          <w:p w14:paraId="498C36F8" w14:textId="77777777" w:rsidR="003B5014" w:rsidRPr="003B5014" w:rsidRDefault="003B5014" w:rsidP="003B5014">
            <w:pPr>
              <w:spacing w:after="0" w:line="240" w:lineRule="auto"/>
              <w:jc w:val="center"/>
              <w:rPr>
                <w:rFonts w:ascii="Times New Roman" w:eastAsia="Times New Roman" w:hAnsi="Times New Roman" w:cs="Times New Roman"/>
                <w:sz w:val="20"/>
                <w:szCs w:val="20"/>
                <w:lang w:val="es-MX"/>
              </w:rPr>
            </w:pPr>
          </w:p>
        </w:tc>
      </w:tr>
      <w:tr w:rsidR="003B5014" w:rsidRPr="003B5014" w14:paraId="23BA1B5A" w14:textId="77777777">
        <w:trPr>
          <w:jc w:val="center"/>
        </w:trPr>
        <w:tc>
          <w:tcPr>
            <w:tcW w:w="8176" w:type="dxa"/>
            <w:shd w:val="clear" w:color="auto" w:fill="F2F2F2"/>
            <w:tcMar>
              <w:top w:w="113" w:type="dxa"/>
              <w:left w:w="113" w:type="dxa"/>
              <w:bottom w:w="113" w:type="dxa"/>
              <w:right w:w="113" w:type="dxa"/>
            </w:tcMar>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3B5014" w:rsidRPr="003B5014" w14:paraId="7E126232"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75CABF1B" w14:textId="77777777" w:rsidR="003B5014" w:rsidRPr="003B5014" w:rsidRDefault="003B5014" w:rsidP="003B5014">
                  <w:pPr>
                    <w:spacing w:after="120" w:line="240" w:lineRule="auto"/>
                    <w:jc w:val="both"/>
                    <w:rPr>
                      <w:rFonts w:ascii="Verdana" w:eastAsia="Aptos" w:hAnsi="Verdana" w:cs="Aptos"/>
                      <w:color w:val="000000"/>
                      <w:lang w:val="es-MX"/>
                    </w:rPr>
                  </w:pPr>
                </w:p>
              </w:tc>
            </w:tr>
            <w:tr w:rsidR="003B5014" w:rsidRPr="003B5014" w14:paraId="6F623DE8" w14:textId="77777777">
              <w:trPr>
                <w:trHeight w:val="1134"/>
                <w:jc w:val="center"/>
              </w:trPr>
              <w:tc>
                <w:tcPr>
                  <w:tcW w:w="7938" w:type="dxa"/>
                  <w:shd w:val="clear" w:color="auto" w:fill="FFFFFF"/>
                  <w:tcMar>
                    <w:top w:w="0" w:type="dxa"/>
                    <w:left w:w="454" w:type="dxa"/>
                    <w:bottom w:w="0" w:type="dxa"/>
                    <w:right w:w="454" w:type="dxa"/>
                  </w:tcMar>
                  <w:hideMark/>
                </w:tcPr>
                <w:p w14:paraId="224E0DE1" w14:textId="77777777" w:rsidR="003B5014" w:rsidRPr="003B5014" w:rsidRDefault="003B5014" w:rsidP="003B5014">
                  <w:pPr>
                    <w:spacing w:after="120" w:line="240" w:lineRule="auto"/>
                    <w:jc w:val="both"/>
                    <w:rPr>
                      <w:rFonts w:ascii="Calibri" w:eastAsia="Aptos" w:hAnsi="Calibri" w:cs="Calibri"/>
                      <w:b/>
                      <w:bCs/>
                      <w:color w:val="86BC25"/>
                      <w:spacing w:val="-2"/>
                      <w:sz w:val="32"/>
                      <w:szCs w:val="32"/>
                      <w:lang w:val="es-AR"/>
                    </w:rPr>
                  </w:pPr>
                  <w:r w:rsidRPr="003B5014">
                    <w:rPr>
                      <w:rFonts w:ascii="Calibri" w:eastAsia="Aptos" w:hAnsi="Calibri" w:cs="Calibri"/>
                      <w:b/>
                      <w:bCs/>
                      <w:color w:val="86BC25"/>
                      <w:spacing w:val="-2"/>
                      <w:sz w:val="32"/>
                      <w:szCs w:val="32"/>
                      <w:lang w:val="es-AR"/>
                    </w:rPr>
                    <w:t xml:space="preserve">Impuesto sobre los Créditos y Débitos en Cuentas Bancarias y Otras Operatorias </w:t>
                  </w:r>
                </w:p>
                <w:p w14:paraId="27773201" w14:textId="77777777" w:rsidR="003B5014" w:rsidRPr="003B5014" w:rsidRDefault="003B5014" w:rsidP="003B5014">
                  <w:pPr>
                    <w:spacing w:after="120" w:line="240" w:lineRule="auto"/>
                    <w:jc w:val="both"/>
                    <w:rPr>
                      <w:rFonts w:ascii="Calibri Light" w:eastAsia="Aptos" w:hAnsi="Calibri Light" w:cs="Calibri Light"/>
                      <w:spacing w:val="-2"/>
                      <w:sz w:val="32"/>
                      <w:szCs w:val="32"/>
                      <w:lang w:val="es-AR"/>
                    </w:rPr>
                  </w:pPr>
                  <w:r w:rsidRPr="003B5014">
                    <w:rPr>
                      <w:rFonts w:ascii="Calibri Light" w:eastAsia="Aptos" w:hAnsi="Calibri Light" w:cs="Calibri Light"/>
                      <w:color w:val="000000"/>
                      <w:spacing w:val="-2"/>
                      <w:sz w:val="32"/>
                      <w:szCs w:val="32"/>
                      <w:lang w:val="es-AR"/>
                    </w:rPr>
                    <w:t>Resolución General (ARCA) N°5869/2026</w:t>
                  </w:r>
                </w:p>
                <w:p w14:paraId="22C60BDC" w14:textId="77777777" w:rsidR="003B5014" w:rsidRPr="003B5014" w:rsidRDefault="003B5014" w:rsidP="003B5014">
                  <w:pPr>
                    <w:spacing w:after="120" w:line="240" w:lineRule="auto"/>
                    <w:jc w:val="both"/>
                    <w:rPr>
                      <w:rFonts w:ascii="Calibri Light" w:eastAsia="Aptos" w:hAnsi="Calibri Light" w:cs="Calibri Light"/>
                      <w:spacing w:val="-2"/>
                      <w:lang w:val="es-AR"/>
                    </w:rPr>
                  </w:pPr>
                  <w:r w:rsidRPr="003B5014">
                    <w:rPr>
                      <w:rFonts w:ascii="Calibri Light" w:eastAsia="Aptos" w:hAnsi="Calibri Light" w:cs="Calibri Light"/>
                      <w:color w:val="000000"/>
                      <w:spacing w:val="-2"/>
                      <w:lang w:val="es-AR"/>
                    </w:rPr>
                    <w:t>A raíz de las adecuaciones y nuevas exenciones en el impuesto, dispuestas por el Decreto N°475/2026, se adecúan las normas relacionadas con la liquidación del gravamen y la acreditación de las cuentas relacionadas con el tratamiento exento o diferenciado en el gravamen.</w:t>
                  </w:r>
                </w:p>
                <w:p w14:paraId="22C1B2F1" w14:textId="77777777" w:rsidR="003B5014" w:rsidRPr="003B5014" w:rsidRDefault="003B5014" w:rsidP="003B5014">
                  <w:pPr>
                    <w:spacing w:after="120" w:line="240" w:lineRule="auto"/>
                    <w:jc w:val="both"/>
                    <w:rPr>
                      <w:rFonts w:ascii="Calibri Light" w:eastAsia="Aptos" w:hAnsi="Calibri Light" w:cs="Calibri Light"/>
                      <w:spacing w:val="-2"/>
                      <w:lang w:val="es-AR"/>
                    </w:rPr>
                  </w:pPr>
                  <w:r w:rsidRPr="003B5014">
                    <w:rPr>
                      <w:rFonts w:ascii="Calibri Light" w:eastAsia="Aptos" w:hAnsi="Calibri Light" w:cs="Calibri Light"/>
                      <w:color w:val="000000"/>
                      <w:spacing w:val="-2"/>
                      <w:lang w:val="es-AR"/>
                    </w:rPr>
                    <w:t>El mencionado decreto incorporó dentro de las exenciones al gravamen:</w:t>
                  </w:r>
                </w:p>
                <w:p w14:paraId="7BFA8DFB" w14:textId="77777777" w:rsidR="003B5014" w:rsidRPr="003B5014" w:rsidRDefault="003B5014" w:rsidP="003B5014">
                  <w:pPr>
                    <w:numPr>
                      <w:ilvl w:val="0"/>
                      <w:numId w:val="1"/>
                    </w:numPr>
                    <w:spacing w:after="120" w:line="240" w:lineRule="auto"/>
                    <w:contextualSpacing/>
                    <w:jc w:val="both"/>
                    <w:rPr>
                      <w:rFonts w:ascii="Calibri Light" w:eastAsia="Aptos" w:hAnsi="Calibri Light" w:cs="Calibri Light"/>
                      <w:spacing w:val="-2"/>
                      <w:lang w:val="es-AR"/>
                    </w:rPr>
                  </w:pPr>
                  <w:r w:rsidRPr="003B5014">
                    <w:rPr>
                      <w:rFonts w:ascii="Calibri Light" w:eastAsia="Aptos" w:hAnsi="Calibri Light" w:cs="Calibri Light"/>
                      <w:color w:val="000000"/>
                      <w:spacing w:val="-2"/>
                      <w:lang w:val="es-AR"/>
                    </w:rPr>
                    <w:t>las cuentas utilizadas exclusivamente por empresas proveedores de activos virtuales para dicha operatoria,</w:t>
                  </w:r>
                </w:p>
                <w:p w14:paraId="5625CC7F" w14:textId="77777777" w:rsidR="003B5014" w:rsidRPr="003B5014" w:rsidRDefault="003B5014" w:rsidP="003B5014">
                  <w:pPr>
                    <w:numPr>
                      <w:ilvl w:val="0"/>
                      <w:numId w:val="1"/>
                    </w:numPr>
                    <w:spacing w:after="120" w:line="240" w:lineRule="auto"/>
                    <w:contextualSpacing/>
                    <w:jc w:val="both"/>
                    <w:rPr>
                      <w:rFonts w:ascii="Calibri Light" w:eastAsia="Aptos" w:hAnsi="Calibri Light" w:cs="Calibri Light"/>
                      <w:spacing w:val="-2"/>
                      <w:lang w:val="es-AR"/>
                    </w:rPr>
                  </w:pPr>
                  <w:r w:rsidRPr="003B5014">
                    <w:rPr>
                      <w:rFonts w:ascii="Calibri Light" w:eastAsia="Aptos" w:hAnsi="Calibri Light" w:cs="Calibri Light"/>
                      <w:color w:val="000000"/>
                      <w:spacing w:val="-2"/>
                      <w:lang w:val="es-AR"/>
                    </w:rPr>
                    <w:t>para entidades emisoras de tarjetas, bajo ciertas condiciones a las operaciones relacionadas con préstamos bancarios y obligaciones negociables y;</w:t>
                  </w:r>
                </w:p>
                <w:p w14:paraId="0322F6C9" w14:textId="77777777" w:rsidR="003B5014" w:rsidRPr="003B5014" w:rsidRDefault="003B5014" w:rsidP="003B5014">
                  <w:pPr>
                    <w:numPr>
                      <w:ilvl w:val="0"/>
                      <w:numId w:val="2"/>
                    </w:numPr>
                    <w:spacing w:after="120" w:line="240" w:lineRule="auto"/>
                    <w:contextualSpacing/>
                    <w:jc w:val="both"/>
                    <w:rPr>
                      <w:rFonts w:ascii="Calibri Light" w:eastAsia="Aptos" w:hAnsi="Calibri Light" w:cs="Calibri Light"/>
                      <w:spacing w:val="-2"/>
                      <w:lang w:val="es-MX"/>
                    </w:rPr>
                  </w:pPr>
                  <w:r w:rsidRPr="003B5014">
                    <w:rPr>
                      <w:rFonts w:ascii="Calibri Light" w:eastAsia="Aptos" w:hAnsi="Calibri Light" w:cs="Calibri Light"/>
                      <w:color w:val="000000"/>
                      <w:spacing w:val="-2"/>
                      <w:lang w:val="es-AR"/>
                    </w:rPr>
                    <w:t>- transportadoras de caudales por las cuentas utilizadas para la rendición a sus titulares del dinero en efectivo recaudado.</w:t>
                  </w:r>
                </w:p>
              </w:tc>
            </w:tr>
            <w:tr w:rsidR="003B5014" w:rsidRPr="003B5014" w14:paraId="0CB78506" w14:textId="77777777">
              <w:trPr>
                <w:trHeight w:val="454"/>
                <w:jc w:val="center"/>
              </w:trPr>
              <w:tc>
                <w:tcPr>
                  <w:tcW w:w="7938" w:type="dxa"/>
                  <w:shd w:val="clear" w:color="auto" w:fill="FFFFFF"/>
                  <w:tcMar>
                    <w:top w:w="0" w:type="dxa"/>
                    <w:left w:w="454" w:type="dxa"/>
                    <w:bottom w:w="0" w:type="dxa"/>
                    <w:right w:w="454" w:type="dxa"/>
                  </w:tcMar>
                </w:tcPr>
                <w:p w14:paraId="26EDD2AA" w14:textId="77777777" w:rsidR="003B5014" w:rsidRPr="003B5014" w:rsidRDefault="003B5014" w:rsidP="003B5014">
                  <w:pPr>
                    <w:spacing w:after="120" w:line="240" w:lineRule="auto"/>
                    <w:jc w:val="both"/>
                    <w:rPr>
                      <w:rFonts w:ascii="Verdana" w:eastAsia="Aptos" w:hAnsi="Verdana" w:cs="Aptos"/>
                      <w:color w:val="000000"/>
                      <w:lang w:val="es-MX"/>
                    </w:rPr>
                  </w:pPr>
                </w:p>
              </w:tc>
            </w:tr>
          </w:tbl>
          <w:p w14:paraId="7776F2AB" w14:textId="77777777" w:rsidR="003B5014" w:rsidRPr="003B5014" w:rsidRDefault="003B5014" w:rsidP="003B5014">
            <w:pPr>
              <w:spacing w:after="0" w:line="240" w:lineRule="auto"/>
              <w:rPr>
                <w:rFonts w:ascii="Verdana" w:eastAsia="Aptos" w:hAnsi="Verdana" w:cs="Aptos"/>
                <w:color w:val="000000"/>
                <w:lang w:val="es-MX"/>
              </w:rPr>
            </w:pPr>
          </w:p>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3B5014" w:rsidRPr="003B5014" w14:paraId="60371528"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294892DE" w14:textId="77777777" w:rsidR="003B5014" w:rsidRPr="003B5014" w:rsidRDefault="003B5014" w:rsidP="003B5014">
                  <w:pPr>
                    <w:spacing w:after="120" w:line="240" w:lineRule="auto"/>
                    <w:jc w:val="both"/>
                    <w:rPr>
                      <w:rFonts w:ascii="Verdana" w:eastAsia="Aptos" w:hAnsi="Verdana" w:cs="Aptos"/>
                      <w:color w:val="000000"/>
                      <w:lang w:val="es-MX"/>
                    </w:rPr>
                  </w:pPr>
                </w:p>
              </w:tc>
            </w:tr>
            <w:tr w:rsidR="003B5014" w:rsidRPr="003B5014" w14:paraId="36AD9A8C" w14:textId="77777777">
              <w:trPr>
                <w:trHeight w:val="1134"/>
                <w:jc w:val="center"/>
              </w:trPr>
              <w:tc>
                <w:tcPr>
                  <w:tcW w:w="7938" w:type="dxa"/>
                  <w:shd w:val="clear" w:color="auto" w:fill="FFFFFF"/>
                  <w:tcMar>
                    <w:top w:w="0" w:type="dxa"/>
                    <w:left w:w="454" w:type="dxa"/>
                    <w:bottom w:w="0" w:type="dxa"/>
                    <w:right w:w="454" w:type="dxa"/>
                  </w:tcMar>
                  <w:hideMark/>
                </w:tcPr>
                <w:p w14:paraId="3C337673" w14:textId="77777777" w:rsidR="003B5014" w:rsidRPr="003B5014" w:rsidRDefault="003B5014" w:rsidP="003B5014">
                  <w:pPr>
                    <w:spacing w:after="120" w:line="240" w:lineRule="auto"/>
                    <w:jc w:val="both"/>
                    <w:rPr>
                      <w:rFonts w:ascii="Calibri" w:eastAsia="Aptos" w:hAnsi="Calibri" w:cs="Calibri"/>
                      <w:b/>
                      <w:bCs/>
                      <w:color w:val="86BC25"/>
                      <w:sz w:val="32"/>
                      <w:szCs w:val="32"/>
                      <w:lang w:val="es-AR"/>
                    </w:rPr>
                  </w:pPr>
                  <w:r w:rsidRPr="003B5014">
                    <w:rPr>
                      <w:rFonts w:ascii="Calibri" w:eastAsia="Aptos" w:hAnsi="Calibri" w:cs="Calibri"/>
                      <w:b/>
                      <w:bCs/>
                      <w:color w:val="86BC25"/>
                      <w:sz w:val="32"/>
                      <w:szCs w:val="32"/>
                      <w:lang w:val="es-AR"/>
                    </w:rPr>
                    <w:t>Prórroga de la suspensión de ejecuciones fiscales para empresas beneficiarias del Régimen de Promoción Industrial</w:t>
                  </w:r>
                </w:p>
                <w:p w14:paraId="1D53E83B" w14:textId="77777777" w:rsidR="003B5014" w:rsidRPr="003B5014" w:rsidRDefault="003B5014" w:rsidP="003B5014">
                  <w:pPr>
                    <w:spacing w:after="120" w:line="240" w:lineRule="auto"/>
                    <w:jc w:val="both"/>
                    <w:rPr>
                      <w:rFonts w:ascii="Calibri Light" w:eastAsia="Aptos" w:hAnsi="Calibri Light" w:cs="Calibri Light"/>
                      <w:sz w:val="32"/>
                      <w:szCs w:val="32"/>
                      <w:lang w:val="es-AR"/>
                    </w:rPr>
                  </w:pPr>
                  <w:r w:rsidRPr="003B5014">
                    <w:rPr>
                      <w:rFonts w:ascii="Calibri Light" w:eastAsia="Aptos" w:hAnsi="Calibri Light" w:cs="Calibri Light"/>
                      <w:color w:val="000000"/>
                      <w:spacing w:val="-2"/>
                      <w:sz w:val="32"/>
                      <w:szCs w:val="32"/>
                      <w:lang w:val="es-AR"/>
                    </w:rPr>
                    <w:t xml:space="preserve">Resolución General </w:t>
                  </w:r>
                  <w:r w:rsidRPr="003B5014">
                    <w:rPr>
                      <w:rFonts w:ascii="Calibri Light" w:eastAsia="Aptos" w:hAnsi="Calibri Light" w:cs="Calibri Light"/>
                      <w:color w:val="000000"/>
                      <w:sz w:val="32"/>
                      <w:szCs w:val="32"/>
                      <w:lang w:val="es-AR"/>
                    </w:rPr>
                    <w:t>(ARCA) N°5870/2026</w:t>
                  </w:r>
                </w:p>
                <w:p w14:paraId="3700D9BB" w14:textId="77777777" w:rsidR="003B5014" w:rsidRPr="003B5014" w:rsidRDefault="003B5014" w:rsidP="003B5014">
                  <w:pPr>
                    <w:spacing w:after="120" w:line="240" w:lineRule="auto"/>
                    <w:jc w:val="both"/>
                    <w:rPr>
                      <w:rFonts w:ascii="Calibri Light" w:eastAsia="Aptos" w:hAnsi="Calibri Light" w:cs="Calibri Light"/>
                      <w:color w:val="000000"/>
                      <w:lang w:val="es-MX"/>
                    </w:rPr>
                  </w:pPr>
                  <w:r w:rsidRPr="003B5014">
                    <w:rPr>
                      <w:rFonts w:ascii="Calibri Light" w:eastAsia="Aptos" w:hAnsi="Calibri Light" w:cs="Calibri Light"/>
                      <w:color w:val="000000"/>
                      <w:lang w:val="es-MX"/>
                    </w:rPr>
                    <w:t>Se prórroga hasta el 30/06/2027 el plazo de suspensión de las ejecuciones fiscales de deudas susceptibles de condonación que deben ser verificadas, de acuerdo con el Régimen de Promoción Industrial dispuesto por la Ley 22021.</w:t>
                  </w:r>
                </w:p>
              </w:tc>
            </w:tr>
            <w:tr w:rsidR="003B5014" w:rsidRPr="003B5014" w14:paraId="7C22E499" w14:textId="77777777">
              <w:trPr>
                <w:trHeight w:val="454"/>
                <w:jc w:val="center"/>
              </w:trPr>
              <w:tc>
                <w:tcPr>
                  <w:tcW w:w="7938" w:type="dxa"/>
                  <w:shd w:val="clear" w:color="auto" w:fill="FFFFFF"/>
                  <w:tcMar>
                    <w:top w:w="0" w:type="dxa"/>
                    <w:left w:w="454" w:type="dxa"/>
                    <w:bottom w:w="0" w:type="dxa"/>
                    <w:right w:w="454" w:type="dxa"/>
                  </w:tcMar>
                </w:tcPr>
                <w:p w14:paraId="3D0ECEDE" w14:textId="77777777" w:rsidR="003B5014" w:rsidRPr="003B5014" w:rsidRDefault="003B5014" w:rsidP="003B5014">
                  <w:pPr>
                    <w:spacing w:after="120" w:line="240" w:lineRule="auto"/>
                    <w:jc w:val="both"/>
                    <w:rPr>
                      <w:rFonts w:ascii="Verdana" w:eastAsia="Aptos" w:hAnsi="Verdana" w:cs="Aptos"/>
                      <w:color w:val="000000"/>
                      <w:lang w:val="es-MX"/>
                    </w:rPr>
                  </w:pPr>
                </w:p>
              </w:tc>
            </w:tr>
          </w:tbl>
          <w:p w14:paraId="61A8CC7F" w14:textId="77777777" w:rsidR="003B5014" w:rsidRPr="003B5014" w:rsidRDefault="003B5014" w:rsidP="003B5014">
            <w:pPr>
              <w:spacing w:after="0" w:line="240" w:lineRule="auto"/>
              <w:rPr>
                <w:rFonts w:ascii="Verdana" w:eastAsia="Aptos" w:hAnsi="Verdana" w:cs="Aptos"/>
                <w:color w:val="000000"/>
                <w:lang w:val="es-MX"/>
              </w:rPr>
            </w:pPr>
          </w:p>
        </w:tc>
      </w:tr>
      <w:tr w:rsidR="003B5014" w:rsidRPr="003B5014" w14:paraId="6EB6AD4D" w14:textId="77777777">
        <w:trPr>
          <w:jc w:val="center"/>
        </w:trPr>
        <w:tc>
          <w:tcPr>
            <w:tcW w:w="8176" w:type="dxa"/>
            <w:shd w:val="clear" w:color="auto" w:fill="F2F2F2"/>
            <w:tcMar>
              <w:top w:w="113" w:type="dxa"/>
              <w:left w:w="113" w:type="dxa"/>
              <w:bottom w:w="113" w:type="dxa"/>
              <w:right w:w="113" w:type="dxa"/>
            </w:tcMar>
          </w:tcPr>
          <w:p w14:paraId="35B7FECC" w14:textId="77777777" w:rsidR="003B5014" w:rsidRPr="003B5014" w:rsidRDefault="003B5014" w:rsidP="003B5014">
            <w:pPr>
              <w:spacing w:after="0" w:line="240" w:lineRule="auto"/>
              <w:rPr>
                <w:rFonts w:ascii="Verdana" w:eastAsia="Aptos" w:hAnsi="Verdana" w:cs="Aptos"/>
                <w:color w:val="000000"/>
                <w:lang w:val="es-MX"/>
              </w:rPr>
            </w:pPr>
          </w:p>
        </w:tc>
      </w:tr>
      <w:tr w:rsidR="003B5014" w:rsidRPr="003B5014" w14:paraId="11C9658D"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3B5014" w:rsidRPr="003B5014" w14:paraId="088CD549" w14:textId="77777777">
              <w:trPr>
                <w:jc w:val="center"/>
              </w:trPr>
              <w:tc>
                <w:tcPr>
                  <w:tcW w:w="7938" w:type="dxa"/>
                  <w:shd w:val="clear" w:color="auto" w:fill="FFFFFF"/>
                  <w:tcMar>
                    <w:top w:w="170" w:type="dxa"/>
                    <w:left w:w="0" w:type="dxa"/>
                    <w:bottom w:w="170" w:type="dxa"/>
                    <w:right w:w="0" w:type="dxa"/>
                  </w:tcMar>
                  <w:vAlign w:val="center"/>
                  <w:hideMark/>
                </w:tcPr>
                <w:tbl>
                  <w:tblPr>
                    <w:tblW w:w="4530" w:type="dxa"/>
                    <w:jc w:val="center"/>
                    <w:tblCellMar>
                      <w:left w:w="0" w:type="dxa"/>
                      <w:right w:w="0" w:type="dxa"/>
                    </w:tblCellMar>
                    <w:tblLook w:val="04A0" w:firstRow="1" w:lastRow="0" w:firstColumn="1" w:lastColumn="0" w:noHBand="0" w:noVBand="1"/>
                  </w:tblPr>
                  <w:tblGrid>
                    <w:gridCol w:w="756"/>
                    <w:gridCol w:w="755"/>
                    <w:gridCol w:w="755"/>
                    <w:gridCol w:w="755"/>
                    <w:gridCol w:w="755"/>
                    <w:gridCol w:w="754"/>
                  </w:tblGrid>
                  <w:tr w:rsidR="003B5014" w:rsidRPr="003B5014" w14:paraId="7EBE7391" w14:textId="77777777">
                    <w:trPr>
                      <w:jc w:val="center"/>
                    </w:trPr>
                    <w:tc>
                      <w:tcPr>
                        <w:tcW w:w="756" w:type="dxa"/>
                        <w:hideMark/>
                      </w:tcPr>
                      <w:p w14:paraId="712350F7" w14:textId="77777777" w:rsidR="003B5014" w:rsidRPr="003B5014" w:rsidRDefault="003B5014" w:rsidP="003B5014">
                        <w:pPr>
                          <w:spacing w:after="20" w:line="240" w:lineRule="auto"/>
                          <w:jc w:val="center"/>
                          <w:rPr>
                            <w:rFonts w:ascii="Verdana" w:eastAsia="Aptos" w:hAnsi="Verdana" w:cs="Aptos"/>
                            <w:color w:val="000000"/>
                            <w:lang w:val="en-GB"/>
                          </w:rPr>
                        </w:pPr>
                        <w:r w:rsidRPr="003B5014">
                          <w:rPr>
                            <w:rFonts w:ascii="Verdana" w:eastAsia="Aptos" w:hAnsi="Verdana" w:cs="Aptos"/>
                            <w:noProof/>
                            <w:color w:val="000000"/>
                            <w:lang w:val="en-GB" w:eastAsia="en-GB"/>
                          </w:rPr>
                          <w:drawing>
                            <wp:inline distT="0" distB="0" distL="0" distR="0" wp14:anchorId="5E33F7D1" wp14:editId="0AB6FC7F">
                              <wp:extent cx="285750" cy="285750"/>
                              <wp:effectExtent l="0" t="0" r="0" b="0"/>
                              <wp:docPr id="468" name="Picture 2" descr="Facebook logo button">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 logo button"/>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72E60671" w14:textId="77777777" w:rsidR="003B5014" w:rsidRPr="003B5014" w:rsidRDefault="003B5014" w:rsidP="003B5014">
                        <w:pPr>
                          <w:spacing w:after="20" w:line="240" w:lineRule="auto"/>
                          <w:jc w:val="center"/>
                          <w:rPr>
                            <w:rFonts w:ascii="Verdana" w:eastAsia="Aptos" w:hAnsi="Verdana" w:cs="Aptos"/>
                            <w:color w:val="000000"/>
                            <w:lang w:val="en-GB"/>
                          </w:rPr>
                        </w:pPr>
                        <w:r w:rsidRPr="003B5014">
                          <w:rPr>
                            <w:rFonts w:ascii="Verdana" w:eastAsia="Aptos" w:hAnsi="Verdana" w:cs="Aptos"/>
                            <w:noProof/>
                            <w:color w:val="000000"/>
                            <w:lang w:val="en-GB" w:eastAsia="en-GB"/>
                          </w:rPr>
                          <w:drawing>
                            <wp:inline distT="0" distB="0" distL="0" distR="0" wp14:anchorId="2901595F" wp14:editId="33CE650F">
                              <wp:extent cx="285750" cy="285750"/>
                              <wp:effectExtent l="0" t="0" r="0" b="0"/>
                              <wp:docPr id="469" name="Picture 3">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7D9220D9" w14:textId="77777777" w:rsidR="003B5014" w:rsidRPr="003B5014" w:rsidRDefault="003B5014" w:rsidP="003B5014">
                        <w:pPr>
                          <w:spacing w:after="20" w:line="240" w:lineRule="auto"/>
                          <w:jc w:val="center"/>
                          <w:rPr>
                            <w:rFonts w:ascii="Verdana" w:eastAsia="Aptos" w:hAnsi="Verdana" w:cs="Aptos"/>
                            <w:color w:val="000000"/>
                            <w:lang w:val="en-GB"/>
                          </w:rPr>
                        </w:pPr>
                        <w:r w:rsidRPr="003B5014">
                          <w:rPr>
                            <w:rFonts w:ascii="Verdana" w:eastAsia="Aptos" w:hAnsi="Verdana" w:cs="Aptos"/>
                            <w:noProof/>
                            <w:color w:val="000000"/>
                            <w:lang w:val="en-GB" w:eastAsia="en-GB"/>
                          </w:rPr>
                          <w:drawing>
                            <wp:inline distT="0" distB="0" distL="0" distR="0" wp14:anchorId="1007B83C" wp14:editId="133389BA">
                              <wp:extent cx="285750" cy="285750"/>
                              <wp:effectExtent l="0" t="0" r="0" b="0"/>
                              <wp:docPr id="470" name="Picture 12" descr="LinkedIn logo button">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kedIn logo button"/>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6A031226" w14:textId="77777777" w:rsidR="003B5014" w:rsidRPr="003B5014" w:rsidRDefault="003B5014" w:rsidP="003B5014">
                        <w:pPr>
                          <w:spacing w:after="20" w:line="240" w:lineRule="auto"/>
                          <w:jc w:val="center"/>
                          <w:rPr>
                            <w:rFonts w:ascii="Verdana" w:eastAsia="Aptos" w:hAnsi="Verdana" w:cs="Aptos"/>
                            <w:color w:val="000000"/>
                            <w:lang w:val="en-GB"/>
                          </w:rPr>
                        </w:pPr>
                        <w:r w:rsidRPr="003B5014">
                          <w:rPr>
                            <w:rFonts w:ascii="Verdana" w:eastAsia="Aptos" w:hAnsi="Verdana" w:cs="Aptos"/>
                            <w:noProof/>
                            <w:color w:val="000000"/>
                            <w:lang w:val="en-GB" w:eastAsia="en-GB"/>
                          </w:rPr>
                          <w:drawing>
                            <wp:inline distT="0" distB="0" distL="0" distR="0" wp14:anchorId="3B375354" wp14:editId="54847E2E">
                              <wp:extent cx="285750" cy="285750"/>
                              <wp:effectExtent l="0" t="0" r="0" b="0"/>
                              <wp:docPr id="471" name="Picture 14">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r:link="rId27">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12DC3C9C" w14:textId="77777777" w:rsidR="003B5014" w:rsidRPr="003B5014" w:rsidRDefault="003B5014" w:rsidP="003B5014">
                        <w:pPr>
                          <w:spacing w:after="20" w:line="240" w:lineRule="auto"/>
                          <w:jc w:val="center"/>
                          <w:rPr>
                            <w:rFonts w:ascii="Verdana" w:eastAsia="Aptos" w:hAnsi="Verdana" w:cs="Aptos"/>
                            <w:color w:val="000000"/>
                            <w:lang w:val="en-GB" w:eastAsia="en-GB"/>
                          </w:rPr>
                        </w:pPr>
                        <w:r w:rsidRPr="003B5014">
                          <w:rPr>
                            <w:rFonts w:ascii="Verdana" w:eastAsia="Aptos" w:hAnsi="Verdana" w:cs="Aptos"/>
                            <w:noProof/>
                            <w:color w:val="000000"/>
                            <w:lang w:val="es-MX" w:eastAsia="es-MX"/>
                          </w:rPr>
                          <w:drawing>
                            <wp:inline distT="0" distB="0" distL="0" distR="0" wp14:anchorId="79E97B2E" wp14:editId="0D279710">
                              <wp:extent cx="285750" cy="285750"/>
                              <wp:effectExtent l="0" t="0" r="0" b="0"/>
                              <wp:docPr id="472" name="Picture 5">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tcPr>
                      <w:p w14:paraId="260DE95E" w14:textId="77777777" w:rsidR="003B5014" w:rsidRPr="003B5014" w:rsidRDefault="003B5014" w:rsidP="003B5014">
                        <w:pPr>
                          <w:spacing w:after="20" w:line="240" w:lineRule="auto"/>
                          <w:jc w:val="center"/>
                          <w:rPr>
                            <w:rFonts w:ascii="Verdana" w:eastAsia="Aptos" w:hAnsi="Verdana" w:cs="Aptos"/>
                            <w:color w:val="000000"/>
                            <w:lang w:val="en-GB"/>
                          </w:rPr>
                        </w:pPr>
                      </w:p>
                    </w:tc>
                  </w:tr>
                </w:tbl>
                <w:p w14:paraId="6B647942" w14:textId="77777777" w:rsidR="003B5014" w:rsidRPr="003B5014" w:rsidRDefault="003B5014" w:rsidP="003B5014">
                  <w:pPr>
                    <w:spacing w:after="0" w:line="240" w:lineRule="auto"/>
                    <w:jc w:val="center"/>
                    <w:rPr>
                      <w:rFonts w:ascii="Times New Roman" w:eastAsia="Times New Roman" w:hAnsi="Times New Roman" w:cs="Times New Roman"/>
                      <w:sz w:val="20"/>
                      <w:szCs w:val="20"/>
                    </w:rPr>
                  </w:pPr>
                </w:p>
              </w:tc>
            </w:tr>
          </w:tbl>
          <w:p w14:paraId="1DDF122F" w14:textId="77777777" w:rsidR="003B5014" w:rsidRPr="003B5014" w:rsidRDefault="003B5014" w:rsidP="003B5014">
            <w:pPr>
              <w:spacing w:after="0" w:line="240" w:lineRule="auto"/>
              <w:jc w:val="center"/>
              <w:rPr>
                <w:rFonts w:ascii="Times New Roman" w:eastAsia="Times New Roman" w:hAnsi="Times New Roman" w:cs="Times New Roman"/>
                <w:sz w:val="20"/>
                <w:szCs w:val="20"/>
              </w:rPr>
            </w:pPr>
          </w:p>
        </w:tc>
      </w:tr>
      <w:tr w:rsidR="003B5014" w:rsidRPr="003B5014" w14:paraId="2EB0A415"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3B5014" w:rsidRPr="003B5014" w14:paraId="570614E3" w14:textId="77777777">
              <w:trPr>
                <w:trHeight w:val="851"/>
                <w:jc w:val="center"/>
              </w:trPr>
              <w:tc>
                <w:tcPr>
                  <w:tcW w:w="7938" w:type="dxa"/>
                  <w:shd w:val="clear" w:color="auto" w:fill="FFFFFF"/>
                  <w:tcMar>
                    <w:top w:w="284" w:type="dxa"/>
                    <w:left w:w="454" w:type="dxa"/>
                    <w:bottom w:w="284" w:type="dxa"/>
                    <w:right w:w="454" w:type="dxa"/>
                  </w:tcMar>
                  <w:vAlign w:val="center"/>
                </w:tcPr>
                <w:p w14:paraId="764988D8" w14:textId="77777777" w:rsidR="003B5014" w:rsidRPr="003B5014" w:rsidRDefault="003B5014" w:rsidP="003B5014">
                  <w:pPr>
                    <w:spacing w:after="0" w:line="240" w:lineRule="auto"/>
                    <w:rPr>
                      <w:rFonts w:ascii="Calibri Light" w:eastAsia="Aptos" w:hAnsi="Calibri Light" w:cs="Calibri Light"/>
                      <w:color w:val="A6A6A6"/>
                      <w:sz w:val="14"/>
                      <w:szCs w:val="14"/>
                      <w:lang w:val="es-AR"/>
                    </w:rPr>
                  </w:pPr>
                  <w:r w:rsidRPr="003B5014">
                    <w:rPr>
                      <w:rFonts w:ascii="Calibri Light" w:eastAsia="Aptos" w:hAnsi="Calibri Light" w:cs="Calibri Light"/>
                      <w:color w:val="A6A6A6"/>
                      <w:sz w:val="14"/>
                      <w:szCs w:val="14"/>
                      <w:lang w:val="es-AR"/>
                    </w:rPr>
                    <w:lastRenderedPageBreak/>
                    <w:t xml:space="preserve">Deloitte se refiere a una o más de las firmas miembro de Deloitte Touche </w:t>
                  </w:r>
                  <w:proofErr w:type="spellStart"/>
                  <w:r w:rsidRPr="003B5014">
                    <w:rPr>
                      <w:rFonts w:ascii="Calibri Light" w:eastAsia="Aptos" w:hAnsi="Calibri Light" w:cs="Calibri Light"/>
                      <w:color w:val="A6A6A6"/>
                      <w:sz w:val="14"/>
                      <w:szCs w:val="14"/>
                      <w:lang w:val="es-AR"/>
                    </w:rPr>
                    <w:t>Tohmatsu</w:t>
                  </w:r>
                  <w:proofErr w:type="spellEnd"/>
                  <w:r w:rsidRPr="003B5014">
                    <w:rPr>
                      <w:rFonts w:ascii="Calibri Light" w:eastAsia="Aptos" w:hAnsi="Calibri Light" w:cs="Calibri Light"/>
                      <w:color w:val="A6A6A6"/>
                      <w:sz w:val="14"/>
                      <w:szCs w:val="14"/>
                      <w:lang w:val="es-AR"/>
                    </w:rPr>
                    <w:t xml:space="preserve"> </w:t>
                  </w:r>
                  <w:proofErr w:type="spellStart"/>
                  <w:r w:rsidRPr="003B5014">
                    <w:rPr>
                      <w:rFonts w:ascii="Calibri Light" w:eastAsia="Aptos" w:hAnsi="Calibri Light" w:cs="Calibri Light"/>
                      <w:color w:val="A6A6A6"/>
                      <w:sz w:val="14"/>
                      <w:szCs w:val="14"/>
                      <w:lang w:val="es-AR"/>
                    </w:rPr>
                    <w:t>Limited</w:t>
                  </w:r>
                  <w:proofErr w:type="spellEnd"/>
                  <w:r w:rsidRPr="003B5014">
                    <w:rPr>
                      <w:rFonts w:ascii="Calibri Light" w:eastAsia="Aptos" w:hAnsi="Calibri Light" w:cs="Calibri Light"/>
                      <w:color w:val="A6A6A6"/>
                      <w:sz w:val="14"/>
                      <w:szCs w:val="14"/>
                      <w:lang w:val="es-AR"/>
                    </w:rPr>
                    <w:t xml:space="preserve"> (“DTTL”), su red de firmas miembro y sus entidades relacionadas (en conjunto, la “compañía Deloitte”). DTTL (también denominada "Deloitte Global") y cada una de sus firmas miembro son entidades legalmente separadas e independientes, las cuales no pueden obligarse o comprometerse mutuamente con respecto a terceros. DTTL y cada una de sus firmas miembro y entidades relacionadas son responsables únicamente de sus propios actos y omisiones, y no de los de las demás. DTTL no presta servicios a clientes. Visite </w:t>
                  </w:r>
                  <w:hyperlink r:id="rId31" w:history="1">
                    <w:r w:rsidRPr="003B5014">
                      <w:rPr>
                        <w:rFonts w:ascii="Calibri Light" w:eastAsia="Aptos" w:hAnsi="Calibri Light" w:cs="Calibri Light"/>
                        <w:color w:val="3ABAEB"/>
                        <w:sz w:val="14"/>
                        <w:szCs w:val="14"/>
                        <w:u w:val="single"/>
                        <w:lang w:val="es-AR"/>
                      </w:rPr>
                      <w:t>www.deloitte.com/about</w:t>
                    </w:r>
                  </w:hyperlink>
                  <w:r w:rsidRPr="003B5014">
                    <w:rPr>
                      <w:rFonts w:ascii="Calibri Light" w:eastAsia="Aptos" w:hAnsi="Calibri Light" w:cs="Calibri Light"/>
                      <w:color w:val="A6A6A6"/>
                      <w:sz w:val="14"/>
                      <w:szCs w:val="14"/>
                      <w:lang w:val="es-AR"/>
                    </w:rPr>
                    <w:t xml:space="preserve"> para obtener más información.</w:t>
                  </w:r>
                </w:p>
                <w:p w14:paraId="7E13B044" w14:textId="77777777" w:rsidR="003B5014" w:rsidRPr="003B5014" w:rsidRDefault="003B5014" w:rsidP="003B5014">
                  <w:pPr>
                    <w:spacing w:after="0" w:line="240" w:lineRule="auto"/>
                    <w:rPr>
                      <w:rFonts w:ascii="Calibri Light" w:eastAsia="Aptos" w:hAnsi="Calibri Light" w:cs="Calibri Light"/>
                      <w:color w:val="A6A6A6"/>
                      <w:sz w:val="14"/>
                      <w:szCs w:val="14"/>
                      <w:lang w:val="es-AR"/>
                    </w:rPr>
                  </w:pPr>
                </w:p>
                <w:p w14:paraId="545E0CD3" w14:textId="77777777" w:rsidR="003B5014" w:rsidRPr="003B5014" w:rsidRDefault="003B5014" w:rsidP="003B5014">
                  <w:pPr>
                    <w:spacing w:after="0" w:line="240" w:lineRule="auto"/>
                    <w:rPr>
                      <w:rFonts w:ascii="Calibri Light" w:eastAsia="Aptos" w:hAnsi="Calibri Light" w:cs="Calibri Light"/>
                      <w:color w:val="A6A6A6"/>
                      <w:sz w:val="14"/>
                      <w:szCs w:val="14"/>
                      <w:lang w:val="es-AR"/>
                    </w:rPr>
                  </w:pPr>
                  <w:r w:rsidRPr="003B5014">
                    <w:rPr>
                      <w:rFonts w:ascii="Calibri Light" w:eastAsia="Aptos" w:hAnsi="Calibri Light" w:cs="Calibri Light"/>
                      <w:color w:val="A6A6A6"/>
                      <w:sz w:val="14"/>
                      <w:szCs w:val="14"/>
                      <w:lang w:val="es-AR"/>
                    </w:rPr>
                    <w:t xml:space="preserve">Deloitte proporciona los mejores servicios de auditoría y aseguramiento, fiscales y legales, de consultoría, de asesoramiento financiero y de asesoramiento sobre riesgos a casi el 90% de las empresas de la lista Fortune Global 500® y a miles de empresas privadas. Nuestros profesionales ofrecen resultados medibles y duraderos que contribuyen a reforzar la confianza del público en los mercados de capitales, permiten a los clientes transformarse y prosperar y marcan el camino hacia una economía más fuerte, una sociedad más equitativa y un mundo sostenible. Con una historia de más de 175 años, Deloitte se extiende por más de 150 países y territorios. Conozca cómo las más de 415,000 personas de Deloitte en todo el mundo tienen un impacto relevante en </w:t>
                  </w:r>
                  <w:hyperlink r:id="rId32" w:history="1">
                    <w:r w:rsidRPr="003B5014">
                      <w:rPr>
                        <w:rFonts w:ascii="Calibri Light" w:eastAsia="Aptos" w:hAnsi="Calibri Light" w:cs="Calibri Light"/>
                        <w:color w:val="3ABAEB"/>
                        <w:sz w:val="14"/>
                        <w:szCs w:val="14"/>
                        <w:u w:val="single"/>
                        <w:lang w:val="es-AR"/>
                      </w:rPr>
                      <w:t>www.deloitte.com</w:t>
                    </w:r>
                  </w:hyperlink>
                  <w:r w:rsidRPr="003B5014">
                    <w:rPr>
                      <w:rFonts w:ascii="Calibri Light" w:eastAsia="Aptos" w:hAnsi="Calibri Light" w:cs="Calibri Light"/>
                      <w:color w:val="A6A6A6"/>
                      <w:sz w:val="14"/>
                      <w:szCs w:val="14"/>
                      <w:lang w:val="es-AR"/>
                    </w:rPr>
                    <w:t>.</w:t>
                  </w:r>
                </w:p>
                <w:p w14:paraId="371ED8B0" w14:textId="77777777" w:rsidR="003B5014" w:rsidRPr="003B5014" w:rsidRDefault="003B5014" w:rsidP="003B5014">
                  <w:pPr>
                    <w:spacing w:after="0" w:line="240" w:lineRule="auto"/>
                    <w:rPr>
                      <w:rFonts w:ascii="Calibri Light" w:eastAsia="Aptos" w:hAnsi="Calibri Light" w:cs="Calibri Light"/>
                      <w:color w:val="A6A6A6"/>
                      <w:sz w:val="14"/>
                      <w:szCs w:val="14"/>
                      <w:lang w:val="es-AR"/>
                    </w:rPr>
                  </w:pPr>
                </w:p>
                <w:p w14:paraId="356BB034" w14:textId="77777777" w:rsidR="003B5014" w:rsidRPr="003B5014" w:rsidRDefault="003B5014" w:rsidP="003B5014">
                  <w:pPr>
                    <w:spacing w:after="0" w:line="240" w:lineRule="auto"/>
                    <w:rPr>
                      <w:rFonts w:ascii="Calibri Light" w:eastAsia="Aptos" w:hAnsi="Calibri Light" w:cs="Calibri Light"/>
                      <w:color w:val="A6A6A6"/>
                      <w:sz w:val="14"/>
                      <w:szCs w:val="14"/>
                      <w:lang w:val="es-AR"/>
                    </w:rPr>
                  </w:pPr>
                  <w:r w:rsidRPr="003B5014">
                    <w:rPr>
                      <w:rFonts w:ascii="Calibri Light" w:eastAsia="Aptos" w:hAnsi="Calibri Light" w:cs="Calibri Light"/>
                      <w:color w:val="A6A6A6"/>
                      <w:sz w:val="14"/>
                      <w:szCs w:val="14"/>
                      <w:lang w:val="es-AR"/>
                    </w:rPr>
                    <w:t>Tal y como se usa en este documento, Deloitte &amp; Co. S.A., la cual tiene el derecho legal exclusivo de involucrarse en, y limitan sus negocios a, la prestación de servicios de auditoría, consultoría, consultoría fiscal, asesoría legal, en riesgos y financiera respectivamente, así como otros servicios profesionales bajo el nombre de “Deloitte”.</w:t>
                  </w:r>
                </w:p>
                <w:p w14:paraId="7F5393AD" w14:textId="77777777" w:rsidR="003B5014" w:rsidRPr="003B5014" w:rsidRDefault="003B5014" w:rsidP="003B5014">
                  <w:pPr>
                    <w:spacing w:after="0" w:line="240" w:lineRule="auto"/>
                    <w:rPr>
                      <w:rFonts w:ascii="Calibri Light" w:eastAsia="Aptos" w:hAnsi="Calibri Light" w:cs="Calibri Light"/>
                      <w:color w:val="A6A6A6"/>
                      <w:sz w:val="14"/>
                      <w:szCs w:val="14"/>
                      <w:lang w:val="es-AR"/>
                    </w:rPr>
                  </w:pPr>
                </w:p>
                <w:p w14:paraId="44555D6B" w14:textId="77777777" w:rsidR="003B5014" w:rsidRPr="003B5014" w:rsidRDefault="003B5014" w:rsidP="003B5014">
                  <w:pPr>
                    <w:spacing w:after="0" w:line="240" w:lineRule="auto"/>
                    <w:rPr>
                      <w:rFonts w:ascii="Calibri Light" w:eastAsia="Aptos" w:hAnsi="Calibri Light" w:cs="Calibri Light"/>
                      <w:color w:val="A6A6A6"/>
                      <w:sz w:val="14"/>
                      <w:szCs w:val="14"/>
                      <w:lang w:val="es-AR"/>
                    </w:rPr>
                  </w:pPr>
                  <w:r w:rsidRPr="003B5014">
                    <w:rPr>
                      <w:rFonts w:ascii="Calibri Light" w:eastAsia="Aptos" w:hAnsi="Calibri Light" w:cs="Calibri Light"/>
                      <w:color w:val="A6A6A6"/>
                      <w:sz w:val="14"/>
                      <w:szCs w:val="14"/>
                      <w:lang w:val="es-AR"/>
                    </w:rPr>
                    <w:t xml:space="preserve">Esta publicación contiene únicamente información general, y ninguna de las firmas de Deloitte Touche </w:t>
                  </w:r>
                  <w:proofErr w:type="spellStart"/>
                  <w:r w:rsidRPr="003B5014">
                    <w:rPr>
                      <w:rFonts w:ascii="Calibri Light" w:eastAsia="Aptos" w:hAnsi="Calibri Light" w:cs="Calibri Light"/>
                      <w:color w:val="A6A6A6"/>
                      <w:sz w:val="14"/>
                      <w:szCs w:val="14"/>
                      <w:lang w:val="es-AR"/>
                    </w:rPr>
                    <w:t>Tohmatsu</w:t>
                  </w:r>
                  <w:proofErr w:type="spellEnd"/>
                  <w:r w:rsidRPr="003B5014">
                    <w:rPr>
                      <w:rFonts w:ascii="Calibri Light" w:eastAsia="Aptos" w:hAnsi="Calibri Light" w:cs="Calibri Light"/>
                      <w:color w:val="A6A6A6"/>
                      <w:sz w:val="14"/>
                      <w:szCs w:val="14"/>
                      <w:lang w:val="es-AR"/>
                    </w:rPr>
                    <w:t xml:space="preserve"> </w:t>
                  </w:r>
                  <w:proofErr w:type="spellStart"/>
                  <w:r w:rsidRPr="003B5014">
                    <w:rPr>
                      <w:rFonts w:ascii="Calibri Light" w:eastAsia="Aptos" w:hAnsi="Calibri Light" w:cs="Calibri Light"/>
                      <w:color w:val="A6A6A6"/>
                      <w:sz w:val="14"/>
                      <w:szCs w:val="14"/>
                      <w:lang w:val="es-AR"/>
                    </w:rPr>
                    <w:t>Limited</w:t>
                  </w:r>
                  <w:proofErr w:type="spellEnd"/>
                  <w:r w:rsidRPr="003B5014">
                    <w:rPr>
                      <w:rFonts w:ascii="Calibri Light" w:eastAsia="Aptos" w:hAnsi="Calibri Light" w:cs="Calibri Light"/>
                      <w:color w:val="A6A6A6"/>
                      <w:sz w:val="14"/>
                      <w:szCs w:val="14"/>
                      <w:lang w:val="es-AR"/>
                    </w:rPr>
                    <w:t xml:space="preserve"> ("DTTL"), su red global de firmas miembro o sus entidades relacionadas (en conjunto, la "compañía Deloitte") está, a través de esta publicación, prestando asesoramiento o servicios profesionales. Antes de tomar cualquier decisión o de emprender cualquier acción que pueda afectar a sus finanzas o a su negocio, debe consultar a un asesor profesional cualificado.</w:t>
                  </w:r>
                </w:p>
                <w:p w14:paraId="19ED983B" w14:textId="77777777" w:rsidR="003B5014" w:rsidRPr="003B5014" w:rsidRDefault="003B5014" w:rsidP="003B5014">
                  <w:pPr>
                    <w:spacing w:after="0" w:line="240" w:lineRule="auto"/>
                    <w:rPr>
                      <w:rFonts w:ascii="Calibri Light" w:eastAsia="Aptos" w:hAnsi="Calibri Light" w:cs="Calibri Light"/>
                      <w:color w:val="A6A6A6"/>
                      <w:sz w:val="14"/>
                      <w:szCs w:val="14"/>
                      <w:lang w:val="es-AR"/>
                    </w:rPr>
                  </w:pPr>
                </w:p>
                <w:p w14:paraId="4AF5D86A" w14:textId="77777777" w:rsidR="003B5014" w:rsidRPr="003B5014" w:rsidRDefault="003B5014" w:rsidP="003B5014">
                  <w:pPr>
                    <w:spacing w:after="0" w:line="240" w:lineRule="auto"/>
                    <w:rPr>
                      <w:rFonts w:ascii="Calibri Light" w:eastAsia="Aptos" w:hAnsi="Calibri Light" w:cs="Calibri Light"/>
                      <w:color w:val="A6A6A6"/>
                      <w:sz w:val="14"/>
                      <w:szCs w:val="14"/>
                      <w:lang w:val="es-AR"/>
                    </w:rPr>
                  </w:pPr>
                  <w:r w:rsidRPr="003B5014">
                    <w:rPr>
                      <w:rFonts w:ascii="Calibri Light" w:eastAsia="Aptos" w:hAnsi="Calibri Light" w:cs="Calibri Light"/>
                      <w:color w:val="A6A6A6"/>
                      <w:sz w:val="14"/>
                      <w:szCs w:val="14"/>
                      <w:lang w:val="es-AR"/>
                    </w:rPr>
                    <w:t>No se ofrece ninguna declaración, garantía o compromiso (expreso o implícito) en cuanto a la exactitud o integridad de la información contenida en esta publicación, y ninguna de los DTTL, sus firmas miembros, entidades relacionadas, empleados o agentes será responsable de cualquier pérdida o daño que surja directa o indirectamente en relación con cualquier persona que confíe en esta publicación. DTTL y cada una de sus firmas miembro y sus entidades relacionadas, son entidades legalmente separadas e independientes.</w:t>
                  </w:r>
                </w:p>
                <w:p w14:paraId="547C3133" w14:textId="77777777" w:rsidR="003B5014" w:rsidRPr="003B5014" w:rsidRDefault="003B5014" w:rsidP="003B5014">
                  <w:pPr>
                    <w:spacing w:after="0" w:line="240" w:lineRule="auto"/>
                    <w:rPr>
                      <w:rFonts w:ascii="Calibri Light" w:eastAsia="Aptos" w:hAnsi="Calibri Light" w:cs="Calibri Light"/>
                      <w:color w:val="A6A6A6"/>
                      <w:sz w:val="14"/>
                      <w:szCs w:val="14"/>
                      <w:lang w:val="es-AR"/>
                    </w:rPr>
                  </w:pPr>
                </w:p>
                <w:p w14:paraId="3B785170" w14:textId="77777777" w:rsidR="003B5014" w:rsidRPr="003B5014" w:rsidRDefault="003B5014" w:rsidP="003B5014">
                  <w:pPr>
                    <w:spacing w:after="0" w:line="240" w:lineRule="auto"/>
                    <w:rPr>
                      <w:rFonts w:ascii="Calibri Light" w:eastAsia="Aptos" w:hAnsi="Calibri Light" w:cs="Calibri Light"/>
                      <w:color w:val="A6A6A6"/>
                      <w:sz w:val="14"/>
                      <w:szCs w:val="14"/>
                      <w:lang w:val="es-AR"/>
                    </w:rPr>
                  </w:pPr>
                  <w:r w:rsidRPr="003B5014">
                    <w:rPr>
                      <w:rFonts w:ascii="Calibri Light" w:eastAsia="Aptos" w:hAnsi="Calibri Light" w:cs="Calibri Light"/>
                      <w:color w:val="A6A6A6"/>
                      <w:sz w:val="14"/>
                      <w:szCs w:val="14"/>
                      <w:lang w:val="es-AR"/>
                    </w:rPr>
                    <w:t>En cumplimiento con la Ley 25.326 de Protección de Datos personales, su Decreto 1558/2001 y sus modificativas (en adelante “Normativa Aplicable”), Deloitte &amp; Co. S.A., con domicilio en Florida 234, Piso 5, C.P. C1005AAF, Ciudad Autónoma de Buenos Aires, Argentina, le informa que utilizará sus datos personales aquí recabados con las siguientes finalidades (i) proveerle los productos y servicios que solicita o contrata con nosotros; (</w:t>
                  </w:r>
                  <w:proofErr w:type="spellStart"/>
                  <w:r w:rsidRPr="003B5014">
                    <w:rPr>
                      <w:rFonts w:ascii="Calibri Light" w:eastAsia="Aptos" w:hAnsi="Calibri Light" w:cs="Calibri Light"/>
                      <w:color w:val="A6A6A6"/>
                      <w:sz w:val="14"/>
                      <w:szCs w:val="14"/>
                      <w:lang w:val="es-AR"/>
                    </w:rPr>
                    <w:t>ii</w:t>
                  </w:r>
                  <w:proofErr w:type="spellEnd"/>
                  <w:r w:rsidRPr="003B5014">
                    <w:rPr>
                      <w:rFonts w:ascii="Calibri Light" w:eastAsia="Aptos" w:hAnsi="Calibri Light" w:cs="Calibri Light"/>
                      <w:color w:val="A6A6A6"/>
                      <w:sz w:val="14"/>
                      <w:szCs w:val="14"/>
                      <w:lang w:val="es-AR"/>
                    </w:rPr>
                    <w:t>) evaluar la calidad de nuestros servicios; y (</w:t>
                  </w:r>
                  <w:proofErr w:type="spellStart"/>
                  <w:r w:rsidRPr="003B5014">
                    <w:rPr>
                      <w:rFonts w:ascii="Calibri Light" w:eastAsia="Aptos" w:hAnsi="Calibri Light" w:cs="Calibri Light"/>
                      <w:color w:val="A6A6A6"/>
                      <w:sz w:val="14"/>
                      <w:szCs w:val="14"/>
                      <w:lang w:val="es-AR"/>
                    </w:rPr>
                    <w:t>iii</w:t>
                  </w:r>
                  <w:proofErr w:type="spellEnd"/>
                  <w:r w:rsidRPr="003B5014">
                    <w:rPr>
                      <w:rFonts w:ascii="Calibri Light" w:eastAsia="Aptos" w:hAnsi="Calibri Light" w:cs="Calibri Light"/>
                      <w:color w:val="A6A6A6"/>
                      <w:sz w:val="14"/>
                      <w:szCs w:val="14"/>
                      <w:lang w:val="es-AR"/>
                    </w:rPr>
                    <w:t>) contactarlo u organizar eventos con propósitos mercadotécnicos, publicitarios o de prospección comercial.</w:t>
                  </w:r>
                </w:p>
                <w:p w14:paraId="11D8FC59" w14:textId="77777777" w:rsidR="003B5014" w:rsidRPr="003B5014" w:rsidRDefault="003B5014" w:rsidP="003B5014">
                  <w:pPr>
                    <w:spacing w:after="0" w:line="240" w:lineRule="auto"/>
                    <w:rPr>
                      <w:rFonts w:ascii="Calibri Light" w:eastAsia="Aptos" w:hAnsi="Calibri Light" w:cs="Calibri Light"/>
                      <w:color w:val="A6A6A6"/>
                      <w:sz w:val="14"/>
                      <w:szCs w:val="14"/>
                      <w:lang w:val="es-AR"/>
                    </w:rPr>
                  </w:pPr>
                </w:p>
                <w:p w14:paraId="4C55A0D2" w14:textId="77777777" w:rsidR="003B5014" w:rsidRPr="003B5014" w:rsidRDefault="003B5014" w:rsidP="003B5014">
                  <w:pPr>
                    <w:spacing w:after="0" w:line="240" w:lineRule="auto"/>
                    <w:rPr>
                      <w:rFonts w:ascii="Calibri Light" w:eastAsia="Aptos" w:hAnsi="Calibri Light" w:cs="Calibri Light"/>
                      <w:color w:val="A6A6A6"/>
                      <w:sz w:val="14"/>
                      <w:szCs w:val="14"/>
                      <w:lang w:val="es-AR"/>
                    </w:rPr>
                  </w:pPr>
                  <w:r w:rsidRPr="003B5014">
                    <w:rPr>
                      <w:rFonts w:ascii="Calibri Light" w:eastAsia="Aptos" w:hAnsi="Calibri Light" w:cs="Calibri Light"/>
                      <w:color w:val="A6A6A6"/>
                      <w:sz w:val="14"/>
                      <w:szCs w:val="14"/>
                      <w:lang w:val="es-AR"/>
                    </w:rPr>
                    <w:t xml:space="preserve">Ud. presta su expreso consentimiento para que, los datos personales que hubiere </w:t>
                  </w:r>
                  <w:proofErr w:type="gramStart"/>
                  <w:r w:rsidRPr="003B5014">
                    <w:rPr>
                      <w:rFonts w:ascii="Calibri Light" w:eastAsia="Aptos" w:hAnsi="Calibri Light" w:cs="Calibri Light"/>
                      <w:color w:val="A6A6A6"/>
                      <w:sz w:val="14"/>
                      <w:szCs w:val="14"/>
                      <w:lang w:val="es-AR"/>
                    </w:rPr>
                    <w:t>aportado,</w:t>
                  </w:r>
                  <w:proofErr w:type="gramEnd"/>
                  <w:r w:rsidRPr="003B5014">
                    <w:rPr>
                      <w:rFonts w:ascii="Calibri Light" w:eastAsia="Aptos" w:hAnsi="Calibri Light" w:cs="Calibri Light"/>
                      <w:color w:val="A6A6A6"/>
                      <w:sz w:val="14"/>
                      <w:szCs w:val="14"/>
                      <w:lang w:val="es-AR"/>
                    </w:rPr>
                    <w:t xml:space="preserve"> sean comunicados/transferidos local o internacionalmente a (i) cualquiera de los miembros de Deloitte Touche </w:t>
                  </w:r>
                  <w:proofErr w:type="spellStart"/>
                  <w:r w:rsidRPr="003B5014">
                    <w:rPr>
                      <w:rFonts w:ascii="Calibri Light" w:eastAsia="Aptos" w:hAnsi="Calibri Light" w:cs="Calibri Light"/>
                      <w:color w:val="A6A6A6"/>
                      <w:sz w:val="14"/>
                      <w:szCs w:val="14"/>
                      <w:lang w:val="es-AR"/>
                    </w:rPr>
                    <w:t>Tohmatsu</w:t>
                  </w:r>
                  <w:proofErr w:type="spellEnd"/>
                  <w:r w:rsidRPr="003B5014">
                    <w:rPr>
                      <w:rFonts w:ascii="Calibri Light" w:eastAsia="Aptos" w:hAnsi="Calibri Light" w:cs="Calibri Light"/>
                      <w:color w:val="A6A6A6"/>
                      <w:sz w:val="14"/>
                      <w:szCs w:val="14"/>
                      <w:lang w:val="es-AR"/>
                    </w:rPr>
                    <w:t xml:space="preserve"> </w:t>
                  </w:r>
                  <w:proofErr w:type="spellStart"/>
                  <w:r w:rsidRPr="003B5014">
                    <w:rPr>
                      <w:rFonts w:ascii="Calibri Light" w:eastAsia="Aptos" w:hAnsi="Calibri Light" w:cs="Calibri Light"/>
                      <w:color w:val="A6A6A6"/>
                      <w:sz w:val="14"/>
                      <w:szCs w:val="14"/>
                      <w:lang w:val="es-AR"/>
                    </w:rPr>
                    <w:t>Limited</w:t>
                  </w:r>
                  <w:proofErr w:type="spellEnd"/>
                  <w:r w:rsidRPr="003B5014">
                    <w:rPr>
                      <w:rFonts w:ascii="Calibri Light" w:eastAsia="Aptos" w:hAnsi="Calibri Light" w:cs="Calibri Light"/>
                      <w:color w:val="A6A6A6"/>
                      <w:sz w:val="14"/>
                      <w:szCs w:val="14"/>
                      <w:lang w:val="es-AR"/>
                    </w:rPr>
                    <w:t xml:space="preserve"> (DTTL) y/o sociedades relacionadas, afiliadas, controladas, controlantes, filiales, representaciones o vinculadas de Deloitte y/o de DTTL o de los miembros de DTTL, y/o a (</w:t>
                  </w:r>
                  <w:proofErr w:type="spellStart"/>
                  <w:r w:rsidRPr="003B5014">
                    <w:rPr>
                      <w:rFonts w:ascii="Calibri Light" w:eastAsia="Aptos" w:hAnsi="Calibri Light" w:cs="Calibri Light"/>
                      <w:color w:val="A6A6A6"/>
                      <w:sz w:val="14"/>
                      <w:szCs w:val="14"/>
                      <w:lang w:val="es-AR"/>
                    </w:rPr>
                    <w:t>ii</w:t>
                  </w:r>
                  <w:proofErr w:type="spellEnd"/>
                  <w:r w:rsidRPr="003B5014">
                    <w:rPr>
                      <w:rFonts w:ascii="Calibri Light" w:eastAsia="Aptos" w:hAnsi="Calibri Light" w:cs="Calibri Light"/>
                      <w:color w:val="A6A6A6"/>
                      <w:sz w:val="14"/>
                      <w:szCs w:val="14"/>
                      <w:lang w:val="es-AR"/>
                    </w:rPr>
                    <w:t>) terceros proveedores de servicios de procesamiento y tratamiento de datos.</w:t>
                  </w:r>
                </w:p>
                <w:p w14:paraId="0C0784DD" w14:textId="77777777" w:rsidR="003B5014" w:rsidRPr="003B5014" w:rsidRDefault="003B5014" w:rsidP="003B5014">
                  <w:pPr>
                    <w:spacing w:after="0" w:line="240" w:lineRule="auto"/>
                    <w:rPr>
                      <w:rFonts w:ascii="Calibri Light" w:eastAsia="Aptos" w:hAnsi="Calibri Light" w:cs="Calibri Light"/>
                      <w:color w:val="A6A6A6"/>
                      <w:sz w:val="14"/>
                      <w:szCs w:val="14"/>
                      <w:lang w:val="es-AR"/>
                    </w:rPr>
                  </w:pPr>
                </w:p>
                <w:p w14:paraId="1780CD55" w14:textId="77777777" w:rsidR="003B5014" w:rsidRPr="003B5014" w:rsidRDefault="003B5014" w:rsidP="003B5014">
                  <w:pPr>
                    <w:spacing w:after="0" w:line="240" w:lineRule="auto"/>
                    <w:rPr>
                      <w:rFonts w:ascii="Calibri Light" w:eastAsia="Aptos" w:hAnsi="Calibri Light" w:cs="Calibri Light"/>
                      <w:color w:val="A6A6A6"/>
                      <w:sz w:val="14"/>
                      <w:szCs w:val="14"/>
                      <w:lang w:val="es-AR"/>
                    </w:rPr>
                  </w:pPr>
                  <w:r w:rsidRPr="003B5014">
                    <w:rPr>
                      <w:rFonts w:ascii="Calibri Light" w:eastAsia="Aptos" w:hAnsi="Calibri Light" w:cs="Calibri Light"/>
                      <w:color w:val="A6A6A6"/>
                      <w:sz w:val="14"/>
                      <w:szCs w:val="14"/>
                      <w:lang w:val="es-AR"/>
                    </w:rPr>
                    <w:t xml:space="preserve">En los términos permitidos por la Normativa Aplicable, usted podrá acceder, rectificar, actualizar, suprimir sus datos personales y oponerse al tratamiento de </w:t>
                  </w:r>
                  <w:proofErr w:type="gramStart"/>
                  <w:r w:rsidRPr="003B5014">
                    <w:rPr>
                      <w:rFonts w:ascii="Calibri Light" w:eastAsia="Aptos" w:hAnsi="Calibri Light" w:cs="Calibri Light"/>
                      <w:color w:val="A6A6A6"/>
                      <w:sz w:val="14"/>
                      <w:szCs w:val="14"/>
                      <w:lang w:val="es-AR"/>
                    </w:rPr>
                    <w:t>los mismos</w:t>
                  </w:r>
                  <w:proofErr w:type="gramEnd"/>
                  <w:r w:rsidRPr="003B5014">
                    <w:rPr>
                      <w:rFonts w:ascii="Calibri Light" w:eastAsia="Aptos" w:hAnsi="Calibri Light" w:cs="Calibri Light"/>
                      <w:color w:val="A6A6A6"/>
                      <w:sz w:val="14"/>
                      <w:szCs w:val="14"/>
                      <w:lang w:val="es-AR"/>
                    </w:rPr>
                    <w:t xml:space="preserve">, a través del correo electrónico </w:t>
                  </w:r>
                  <w:hyperlink r:id="rId33" w:history="1">
                    <w:r w:rsidRPr="003B5014">
                      <w:rPr>
                        <w:rFonts w:ascii="Calibri Light" w:eastAsia="Aptos" w:hAnsi="Calibri Light" w:cs="Calibri Light"/>
                        <w:color w:val="3ABAEB"/>
                        <w:sz w:val="14"/>
                        <w:szCs w:val="14"/>
                        <w:u w:val="single"/>
                        <w:lang w:val="es-AR"/>
                      </w:rPr>
                      <w:t>privacidad@deloittemx.com</w:t>
                    </w:r>
                  </w:hyperlink>
                  <w:r w:rsidRPr="003B5014">
                    <w:rPr>
                      <w:rFonts w:ascii="Calibri Light" w:eastAsia="Aptos" w:hAnsi="Calibri Light" w:cs="Calibri Light"/>
                      <w:color w:val="A6A6A6"/>
                      <w:sz w:val="14"/>
                      <w:szCs w:val="14"/>
                      <w:lang w:val="es-AR"/>
                    </w:rPr>
                    <w:t xml:space="preserve">. Asimismo, usted podrá ejercer su derecho al olvido, la portabilidad de sus datos personales, la revocación del consentimiento y a que no se tomen decisiones exclusivamente automatizadas por el mismo medio. Para obtener más información respecto del tratamiento de sus datos personales, lo invitamos a consultar nuestra Política de Privacidad en </w:t>
                  </w:r>
                  <w:hyperlink r:id="rId34" w:history="1">
                    <w:r w:rsidRPr="003B5014">
                      <w:rPr>
                        <w:rFonts w:ascii="Calibri Light" w:eastAsia="Aptos" w:hAnsi="Calibri Light" w:cs="Calibri Light"/>
                        <w:color w:val="3ABAEB"/>
                        <w:sz w:val="14"/>
                        <w:szCs w:val="14"/>
                        <w:u w:val="single"/>
                        <w:lang w:val="es-AR"/>
                      </w:rPr>
                      <w:t>https://www2.deloitte.com/ar/es.html</w:t>
                    </w:r>
                  </w:hyperlink>
                  <w:r w:rsidRPr="003B5014">
                    <w:rPr>
                      <w:rFonts w:ascii="Calibri Light" w:eastAsia="Aptos" w:hAnsi="Calibri Light" w:cs="Calibri Light"/>
                      <w:color w:val="A6A6A6"/>
                      <w:sz w:val="14"/>
                      <w:szCs w:val="14"/>
                      <w:lang w:val="es-AR"/>
                    </w:rPr>
                    <w:t>.</w:t>
                  </w:r>
                </w:p>
                <w:p w14:paraId="4351EE73" w14:textId="77777777" w:rsidR="003B5014" w:rsidRPr="003B5014" w:rsidRDefault="003B5014" w:rsidP="003B5014">
                  <w:pPr>
                    <w:spacing w:after="0" w:line="240" w:lineRule="auto"/>
                    <w:rPr>
                      <w:rFonts w:ascii="Calibri Light" w:eastAsia="Aptos" w:hAnsi="Calibri Light" w:cs="Calibri Light"/>
                      <w:color w:val="A6A6A6"/>
                      <w:sz w:val="14"/>
                      <w:szCs w:val="14"/>
                      <w:lang w:val="es-AR"/>
                    </w:rPr>
                  </w:pPr>
                </w:p>
                <w:p w14:paraId="393590F0" w14:textId="77777777" w:rsidR="003B5014" w:rsidRPr="003B5014" w:rsidRDefault="003B5014" w:rsidP="003B5014">
                  <w:pPr>
                    <w:spacing w:after="0" w:line="240" w:lineRule="auto"/>
                    <w:rPr>
                      <w:rFonts w:ascii="Calibri Light" w:eastAsia="Aptos" w:hAnsi="Calibri Light" w:cs="Calibri Light"/>
                      <w:color w:val="A6A6A6"/>
                      <w:sz w:val="14"/>
                      <w:szCs w:val="14"/>
                      <w:lang w:val="es-AR"/>
                    </w:rPr>
                  </w:pPr>
                  <w:r w:rsidRPr="003B5014">
                    <w:rPr>
                      <w:rFonts w:ascii="Calibri Light" w:eastAsia="Aptos" w:hAnsi="Calibri Light" w:cs="Calibri Light"/>
                      <w:color w:val="A6A6A6"/>
                      <w:sz w:val="14"/>
                      <w:szCs w:val="14"/>
                      <w:lang w:val="es-AR"/>
                    </w:rPr>
                    <w:t>© 2026 Deloitte &amp; Co. S.A.</w:t>
                  </w:r>
                </w:p>
              </w:tc>
            </w:tr>
          </w:tbl>
          <w:p w14:paraId="1F5C302B" w14:textId="77777777" w:rsidR="003B5014" w:rsidRPr="003B5014" w:rsidRDefault="003B5014" w:rsidP="003B5014">
            <w:pPr>
              <w:spacing w:after="0" w:line="240" w:lineRule="auto"/>
              <w:jc w:val="center"/>
              <w:rPr>
                <w:rFonts w:ascii="Times New Roman" w:eastAsia="Times New Roman" w:hAnsi="Times New Roman" w:cs="Times New Roman"/>
                <w:sz w:val="20"/>
                <w:szCs w:val="20"/>
              </w:rPr>
            </w:pPr>
          </w:p>
        </w:tc>
      </w:tr>
    </w:tbl>
    <w:p w14:paraId="6744E4F1" w14:textId="4ACD5A7B" w:rsidR="006D4890" w:rsidRPr="003B5014" w:rsidRDefault="006D4890">
      <w:pPr>
        <w:rPr>
          <w:sz w:val="24"/>
          <w:szCs w:val="24"/>
          <w:lang w:val="es-MX"/>
        </w:rPr>
      </w:pPr>
    </w:p>
    <w:sectPr w:rsidR="006D4890" w:rsidRPr="003B5014">
      <w:headerReference w:type="even" r:id="rId35"/>
      <w:headerReference w:type="default" r:id="rId36"/>
      <w:footerReference w:type="even" r:id="rId37"/>
      <w:footerReference w:type="default" r:id="rId38"/>
      <w:headerReference w:type="first" r:id="rId39"/>
      <w:footerReference w:type="firs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0207B" w14:textId="77777777" w:rsidR="009F3A40" w:rsidRDefault="009F3A40" w:rsidP="00961960">
      <w:pPr>
        <w:spacing w:after="0" w:line="240" w:lineRule="auto"/>
      </w:pPr>
      <w:r>
        <w:separator/>
      </w:r>
    </w:p>
  </w:endnote>
  <w:endnote w:type="continuationSeparator" w:id="0">
    <w:p w14:paraId="49CFB302" w14:textId="77777777" w:rsidR="009F3A40" w:rsidRDefault="009F3A40"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C1756"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4FADB"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E218"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255A1" w14:textId="77777777" w:rsidR="009F3A40" w:rsidRDefault="009F3A40" w:rsidP="00961960">
      <w:pPr>
        <w:spacing w:after="0" w:line="240" w:lineRule="auto"/>
      </w:pPr>
      <w:r>
        <w:separator/>
      </w:r>
    </w:p>
  </w:footnote>
  <w:footnote w:type="continuationSeparator" w:id="0">
    <w:p w14:paraId="52394F4C" w14:textId="77777777" w:rsidR="009F3A40" w:rsidRDefault="009F3A40"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51EDE"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3E92E"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ED6A3" w14:textId="77777777" w:rsidR="00961960" w:rsidRDefault="00961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71314"/>
    <w:multiLevelType w:val="hybridMultilevel"/>
    <w:tmpl w:val="4B7AF018"/>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start w:val="1"/>
      <w:numFmt w:val="bullet"/>
      <w:lvlText w:val=""/>
      <w:lvlJc w:val="left"/>
      <w:pPr>
        <w:ind w:left="2160" w:hanging="360"/>
      </w:pPr>
      <w:rPr>
        <w:rFonts w:ascii="Wingdings" w:hAnsi="Wingdings" w:hint="default"/>
      </w:rPr>
    </w:lvl>
    <w:lvl w:ilvl="3" w:tplc="580A0001">
      <w:start w:val="1"/>
      <w:numFmt w:val="bullet"/>
      <w:lvlText w:val=""/>
      <w:lvlJc w:val="left"/>
      <w:pPr>
        <w:ind w:left="2880" w:hanging="360"/>
      </w:pPr>
      <w:rPr>
        <w:rFonts w:ascii="Symbol" w:hAnsi="Symbol" w:hint="default"/>
      </w:rPr>
    </w:lvl>
    <w:lvl w:ilvl="4" w:tplc="580A0003">
      <w:start w:val="1"/>
      <w:numFmt w:val="bullet"/>
      <w:lvlText w:val="o"/>
      <w:lvlJc w:val="left"/>
      <w:pPr>
        <w:ind w:left="3600" w:hanging="360"/>
      </w:pPr>
      <w:rPr>
        <w:rFonts w:ascii="Courier New" w:hAnsi="Courier New" w:cs="Courier New" w:hint="default"/>
      </w:rPr>
    </w:lvl>
    <w:lvl w:ilvl="5" w:tplc="580A0005">
      <w:start w:val="1"/>
      <w:numFmt w:val="bullet"/>
      <w:lvlText w:val=""/>
      <w:lvlJc w:val="left"/>
      <w:pPr>
        <w:ind w:left="4320" w:hanging="360"/>
      </w:pPr>
      <w:rPr>
        <w:rFonts w:ascii="Wingdings" w:hAnsi="Wingdings" w:hint="default"/>
      </w:rPr>
    </w:lvl>
    <w:lvl w:ilvl="6" w:tplc="580A0001">
      <w:start w:val="1"/>
      <w:numFmt w:val="bullet"/>
      <w:lvlText w:val=""/>
      <w:lvlJc w:val="left"/>
      <w:pPr>
        <w:ind w:left="5040" w:hanging="360"/>
      </w:pPr>
      <w:rPr>
        <w:rFonts w:ascii="Symbol" w:hAnsi="Symbol" w:hint="default"/>
      </w:rPr>
    </w:lvl>
    <w:lvl w:ilvl="7" w:tplc="580A0003">
      <w:start w:val="1"/>
      <w:numFmt w:val="bullet"/>
      <w:lvlText w:val="o"/>
      <w:lvlJc w:val="left"/>
      <w:pPr>
        <w:ind w:left="5760" w:hanging="360"/>
      </w:pPr>
      <w:rPr>
        <w:rFonts w:ascii="Courier New" w:hAnsi="Courier New" w:cs="Courier New" w:hint="default"/>
      </w:rPr>
    </w:lvl>
    <w:lvl w:ilvl="8" w:tplc="580A0005">
      <w:start w:val="1"/>
      <w:numFmt w:val="bullet"/>
      <w:lvlText w:val=""/>
      <w:lvlJc w:val="left"/>
      <w:pPr>
        <w:ind w:left="6480" w:hanging="360"/>
      </w:pPr>
      <w:rPr>
        <w:rFonts w:ascii="Wingdings" w:hAnsi="Wingdings" w:hint="default"/>
      </w:rPr>
    </w:lvl>
  </w:abstractNum>
  <w:abstractNum w:abstractNumId="1" w15:restartNumberingAfterBreak="0">
    <w:nsid w:val="4C616F53"/>
    <w:multiLevelType w:val="hybridMultilevel"/>
    <w:tmpl w:val="0E8202A8"/>
    <w:lvl w:ilvl="0" w:tplc="5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158738431">
    <w:abstractNumId w:val="1"/>
    <w:lvlOverride w:ilvl="0"/>
    <w:lvlOverride w:ilvl="1"/>
    <w:lvlOverride w:ilvl="2"/>
    <w:lvlOverride w:ilvl="3"/>
    <w:lvlOverride w:ilvl="4"/>
    <w:lvlOverride w:ilvl="5"/>
    <w:lvlOverride w:ilvl="6"/>
    <w:lvlOverride w:ilvl="7"/>
    <w:lvlOverride w:ilvl="8"/>
  </w:num>
  <w:num w:numId="2" w16cid:durableId="179019965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014"/>
    <w:rsid w:val="003B5014"/>
    <w:rsid w:val="003F16FF"/>
    <w:rsid w:val="00587C56"/>
    <w:rsid w:val="006D4890"/>
    <w:rsid w:val="00761D15"/>
    <w:rsid w:val="007A475C"/>
    <w:rsid w:val="008036EB"/>
    <w:rsid w:val="0086573C"/>
    <w:rsid w:val="008F055C"/>
    <w:rsid w:val="00961960"/>
    <w:rsid w:val="009F3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3FC6C"/>
  <w15:chartTrackingRefBased/>
  <w15:docId w15:val="{EA53F8DD-B69A-401C-BB97-6FA911609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 w:type="character" w:styleId="Hyperlink">
    <w:name w:val="Hyperlink"/>
    <w:basedOn w:val="DefaultParagraphFont"/>
    <w:uiPriority w:val="99"/>
    <w:unhideWhenUsed/>
    <w:rsid w:val="003B5014"/>
    <w:rPr>
      <w:color w:val="467886" w:themeColor="hyperlink"/>
      <w:u w:val="single"/>
    </w:rPr>
  </w:style>
  <w:style w:type="character" w:styleId="UnresolvedMention">
    <w:name w:val="Unresolved Mention"/>
    <w:basedOn w:val="DefaultParagraphFont"/>
    <w:uiPriority w:val="99"/>
    <w:semiHidden/>
    <w:unhideWhenUsed/>
    <w:rsid w:val="003B50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itaxlegal@deloitte.com" TargetMode="External"/><Relationship Id="rId18" Type="http://schemas.openxmlformats.org/officeDocument/2006/relationships/image" Target="cid:image004.png@01DD07E9.64219600" TargetMode="External"/><Relationship Id="rId26" Type="http://schemas.openxmlformats.org/officeDocument/2006/relationships/image" Target="media/image7.png"/><Relationship Id="rId39" Type="http://schemas.openxmlformats.org/officeDocument/2006/relationships/header" Target="header3.xml"/><Relationship Id="rId21" Type="http://schemas.openxmlformats.org/officeDocument/2006/relationships/image" Target="cid:image005.jpg@01DD07E9.64219600" TargetMode="External"/><Relationship Id="rId34" Type="http://schemas.openxmlformats.org/officeDocument/2006/relationships/hyperlink" Target="https://www2.deloitte.com/ar/es.html" TargetMode="Externa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nam10.safelinks.protection.outlook.com/?url=https%3A%2F%2Fwww.facebook.com%2Fdeloitte&amp;data=05%7C02%7Cantoscano%40deloitte.com%7Cdce1c4d9b1a541c9090008ded619bb69%7C36da45f1dd2c4d1faf135abe46b99921%7C0%7C0%7C639183603297356106%7CUnknown%7CTWFpbGZsb3d8eyJFbXB0eU1hcGkiOnRydWUsIlYiOiIwLjAuMDAwMCIsIlAiOiJXaW4zMiIsIkFOIjoiTWFpbCIsIldUIjoyfQ%3D%3D%7C0%7C%7C%7C&amp;sdata=iPfEn1giMeOg05lScprSH%2FPHZO6IEQb5W5t%2BhKan6dc%3D&amp;reserved=0"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cid:image006.png@01DD07E9.64219600" TargetMode="External"/><Relationship Id="rId32" Type="http://schemas.openxmlformats.org/officeDocument/2006/relationships/hyperlink" Target="http://www.deloitte.com" TargetMode="External"/><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customXml" Target="../customXml/item5.xml"/><Relationship Id="rId5" Type="http://schemas.openxmlformats.org/officeDocument/2006/relationships/settings" Target="settings.xml"/><Relationship Id="rId15" Type="http://schemas.openxmlformats.org/officeDocument/2006/relationships/image" Target="cid:image003.png@01DD07E9.64219600" TargetMode="External"/><Relationship Id="rId23" Type="http://schemas.openxmlformats.org/officeDocument/2006/relationships/image" Target="media/image6.png"/><Relationship Id="rId28" Type="http://schemas.openxmlformats.org/officeDocument/2006/relationships/hyperlink" Target="https://nam10.safelinks.protection.outlook.com/?url=https%3A%2F%2Fwww.youtube.com%2Fchannel%2FUC7kV7N6crIrZkcCK4tpTSig&amp;data=05%7C02%7Cantoscano%40deloitte.com%7Cdce1c4d9b1a541c9090008ded619bb69%7C36da45f1dd2c4d1faf135abe46b99921%7C0%7C0%7C639183603297439103%7CUnknown%7CTWFpbGZsb3d8eyJFbXB0eU1hcGkiOnRydWUsIlYiOiIwLjAuMDAwMCIsIlAiOiJXaW4zMiIsIkFOIjoiTWFpbCIsIldUIjoyfQ%3D%3D%7C0%7C%7C%7C&amp;sdata=BZ36RQNIePqi3CVOxzUq2LHQrYmxmgQGyeY9TuIJS80%3D&amp;reserved=0" TargetMode="External"/><Relationship Id="rId36" Type="http://schemas.openxmlformats.org/officeDocument/2006/relationships/header" Target="header2.xml"/><Relationship Id="rId10" Type="http://schemas.openxmlformats.org/officeDocument/2006/relationships/image" Target="cid:image001.png@01DD07E9.64219600" TargetMode="External"/><Relationship Id="rId19" Type="http://schemas.openxmlformats.org/officeDocument/2006/relationships/hyperlink" Target="https://nam10.safelinks.protection.outlook.com/?url=https%3A%2F%2Ftwitter.com%2FDeloitte&amp;data=05%7C02%7Cantoscano%40deloitte.com%7Cdce1c4d9b1a541c9090008ded619bb69%7C36da45f1dd2c4d1faf135abe46b99921%7C0%7C0%7C639183603297384643%7CUnknown%7CTWFpbGZsb3d8eyJFbXB0eU1hcGkiOnRydWUsIlYiOiIwLjAuMDAwMCIsIlAiOiJXaW4zMiIsIkFOIjoiTWFpbCIsIldUIjoyfQ%3D%3D%7C0%7C%7C%7C&amp;sdata=JgnSmYSfqRuN1c0FLSHfz9G2Z%2F6LC9CE%2FWSNlhkapDw%3D&amp;reserved=0" TargetMode="External"/><Relationship Id="rId31" Type="http://schemas.openxmlformats.org/officeDocument/2006/relationships/hyperlink" Target="http://www.deloitte.com/about" TargetMode="External"/><Relationship Id="rId44" Type="http://schemas.openxmlformats.org/officeDocument/2006/relationships/customXml" Target="../customXml/item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https://nam10.safelinks.protection.outlook.com/?url=http%3A%2F%2Fwww.linkedin.com%2Fcompany%2Fdeloitte&amp;data=05%7C02%7Cantoscano%40deloitte.com%7Cdce1c4d9b1a541c9090008ded619bb69%7C36da45f1dd2c4d1faf135abe46b99921%7C0%7C0%7C639183603297405399%7CUnknown%7CTWFpbGZsb3d8eyJFbXB0eU1hcGkiOnRydWUsIlYiOiIwLjAuMDAwMCIsIlAiOiJXaW4zMiIsIkFOIjoiTWFpbCIsIldUIjoyfQ%3D%3D%7C0%7C%7C%7C&amp;sdata=ZaKdS46cJS94Ut7%2BePL%2FZxaaVE9OL6KlAwXqiClPNAs%3D&amp;reserved=0" TargetMode="External"/><Relationship Id="rId27" Type="http://schemas.openxmlformats.org/officeDocument/2006/relationships/image" Target="cid:image007.png@01DD07E9.64219600" TargetMode="External"/><Relationship Id="rId30" Type="http://schemas.openxmlformats.org/officeDocument/2006/relationships/image" Target="cid:image008.png@01DD07E9.64219600" TargetMode="External"/><Relationship Id="rId35" Type="http://schemas.openxmlformats.org/officeDocument/2006/relationships/header" Target="header1.xml"/><Relationship Id="rId43" Type="http://schemas.openxmlformats.org/officeDocument/2006/relationships/customXml" Target="../customXml/item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cid:image002.jpg@01DD07E9.64219600" TargetMode="External"/><Relationship Id="rId17" Type="http://schemas.openxmlformats.org/officeDocument/2006/relationships/image" Target="media/image4.png"/><Relationship Id="rId25" Type="http://schemas.openxmlformats.org/officeDocument/2006/relationships/hyperlink" Target="https://nam10.safelinks.protection.outlook.com/?url=https%3A%2F%2Fwww.instagram.com%2Fdeloitte%2F&amp;data=05%7C02%7Cantoscano%40deloitte.com%7Cdce1c4d9b1a541c9090008ded619bb69%7C36da45f1dd2c4d1faf135abe46b99921%7C0%7C0%7C639183603297422285%7CUnknown%7CTWFpbGZsb3d8eyJFbXB0eU1hcGkiOnRydWUsIlYiOiIwLjAuMDAwMCIsIlAiOiJXaW4zMiIsIkFOIjoiTWFpbCIsIldUIjoyfQ%3D%3D%7C0%7C%7C%7C&amp;sdata=TzKJ4ZC0Pz4rSdMawPPhGwDatxEpf7KkiBfIDgsucOg%3D&amp;reserved=0" TargetMode="External"/><Relationship Id="rId33" Type="http://schemas.openxmlformats.org/officeDocument/2006/relationships/hyperlink" Target="mailto:privacidad@deloittemx.com" TargetMode="External"/><Relationship Id="rId38" Type="http://schemas.openxmlformats.org/officeDocument/2006/relationships/footer" Target="footer2.xml"/><Relationship Id="rId20" Type="http://schemas.openxmlformats.org/officeDocument/2006/relationships/image" Target="media/image5.jpeg"/><Relationship Id="rId4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oscano\AppData\Local\Temp\Templafy\WordVsto\45vonyj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emplafyTemplateConfiguration><![CDATA[{"elementsMetadata":[],"transformationConfigurations":[],"templateName":"blankdocument","templateDescription":"","enableDocumentContentUpdater":false,"version":"2.0"}]]></TemplafyTemplateConfiguration>
</file>

<file path=customXml/item2.xml><?xml version="1.0" encoding="utf-8"?>
<TemplafyFormConfiguration><![CDATA[{"formFields":[],"formDataEntries":[]}]]></TemplafyFormConfiguration>
</file>

<file path=customXml/item3.xml><?xml version="1.0" encoding="utf-8"?>
<ct:contentTypeSchema xmlns:ct="http://schemas.microsoft.com/office/2006/metadata/contentType" xmlns:ma="http://schemas.microsoft.com/office/2006/metadata/properties/metaAttributes" ct:_="" ma:_="" ma:contentTypeName="KMI Document" ma:contentTypeID="0x010100B8ADFA7584DDBF4AAD44257180168E0C007390E0BB3DD1B1499804740715D4AFBF" ma:contentTypeVersion="" ma:contentTypeDescription="" ma:contentTypeScope="" ma:versionID="79a682f821a254f35048792761e50251">
  <xsd:schema xmlns:xsd="http://www.w3.org/2001/XMLSchema" xmlns:xs="http://www.w3.org/2001/XMLSchema" xmlns:p="http://schemas.microsoft.com/office/2006/metadata/properties" xmlns:ns2="54c02a4e-4f2a-4f4c-a1d7-7e423af7bf0e" xmlns:ns3="8e4c44b0-1876-4baa-89b3-bc74d2398f4d" targetNamespace="http://schemas.microsoft.com/office/2006/metadata/properties" ma:root="true" ma:fieldsID="6aa8949a19a5f5ee660ba285d7c4c17a" ns2:_="" ns3:_="">
    <xsd:import namespace="54c02a4e-4f2a-4f4c-a1d7-7e423af7bf0e"/>
    <xsd:import namespace="8e4c44b0-1876-4baa-89b3-bc74d2398f4d"/>
    <xsd:element name="properties">
      <xsd:complexType>
        <xsd:sequence>
          <xsd:element name="documentManagement">
            <xsd:complexType>
              <xsd:all>
                <xsd:element ref="ns2:h36ea57c07b940e79438865ab6b9d0af" minOccurs="0"/>
                <xsd:element ref="ns2:TaxCatchAll" minOccurs="0"/>
                <xsd:element ref="ns2:TaxCatchAllLabel" minOccurs="0"/>
                <xsd:element ref="ns2:p796a1425e8f4e9f9a9907e2f3e1cc89" minOccurs="0"/>
                <xsd:element ref="ns2:pe54903eea82489ebc221e6b158801c6" minOccurs="0"/>
                <xsd:element ref="ns2:e17b6a9154434647ba3de4a3a875036d" minOccurs="0"/>
                <xsd:element ref="ns2:gb0da28118314ee0a0dd18a007ff19c2" minOccurs="0"/>
                <xsd:element ref="ns2:Referencias" minOccurs="0"/>
                <xsd:element ref="ns2:l0478d21b078490484bb6e09bb97820c" minOccurs="0"/>
                <xsd:element ref="ns2:l7d852f5b4f94ef7b93ec308d95112d1" minOccurs="0"/>
                <xsd:element ref="ns3:Fech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c02a4e-4f2a-4f4c-a1d7-7e423af7bf0e" elementFormDefault="qualified">
    <xsd:import namespace="http://schemas.microsoft.com/office/2006/documentManagement/types"/>
    <xsd:import namespace="http://schemas.microsoft.com/office/infopath/2007/PartnerControls"/>
    <xsd:element name="h36ea57c07b940e79438865ab6b9d0af" ma:index="8" ma:taxonomy="true" ma:internalName="h36ea57c07b940e79438865ab6b9d0af" ma:taxonomyFieldName="A_x00f1_o" ma:displayName="Año" ma:default="" ma:fieldId="{136ea57c-07b9-40e7-9438-865ab6b9d0af}" ma:taxonomyMulti="true" ma:sspId="07ed5746-dda7-458e-bd38-936d3893630a" ma:termSetId="e7051366-16f7-4f4e-bdc7-90b10d42c569"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89a40e7-1807-4deb-9486-24a63c551507}" ma:internalName="TaxCatchAll" ma:showField="CatchAllData"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89a40e7-1807-4deb-9486-24a63c551507}" ma:internalName="TaxCatchAllLabel" ma:readOnly="true" ma:showField="CatchAllDataLabel"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p796a1425e8f4e9f9a9907e2f3e1cc89" ma:index="12" ma:taxonomy="true" ma:internalName="p796a1425e8f4e9f9a9907e2f3e1cc89" ma:taxonomyFieldName="Ley" ma:displayName="Ley" ma:default="" ma:fieldId="{9796a142-5e8f-4e9f-9a99-07e2f3e1cc89}" ma:taxonomyMulti="true" ma:sspId="07ed5746-dda7-458e-bd38-936d3893630a" ma:termSetId="d42c380e-cdd8-42b0-8851-a91b5131358d" ma:anchorId="00000000-0000-0000-0000-000000000000" ma:open="false" ma:isKeyword="false">
      <xsd:complexType>
        <xsd:sequence>
          <xsd:element ref="pc:Terms" minOccurs="0" maxOccurs="1"/>
        </xsd:sequence>
      </xsd:complexType>
    </xsd:element>
    <xsd:element name="pe54903eea82489ebc221e6b158801c6" ma:index="14" ma:taxonomy="true" ma:internalName="pe54903eea82489ebc221e6b158801c6" ma:taxonomyFieldName="L_x00ed_nea_x0020_de_x0020_servicio" ma:displayName="Línea de servicio" ma:default="" ma:fieldId="{9e54903e-ea82-489e-bc22-1e6b158801c6}" ma:sspId="07ed5746-dda7-458e-bd38-936d3893630a" ma:termSetId="714f3edd-5bcd-4c65-9424-2eb535e2106f" ma:anchorId="00000000-0000-0000-0000-000000000000" ma:open="false" ma:isKeyword="false">
      <xsd:complexType>
        <xsd:sequence>
          <xsd:element ref="pc:Terms" minOccurs="0" maxOccurs="1"/>
        </xsd:sequence>
      </xsd:complexType>
    </xsd:element>
    <xsd:element name="e17b6a9154434647ba3de4a3a875036d" ma:index="16" ma:taxonomy="true" ma:internalName="e17b6a9154434647ba3de4a3a875036d" ma:taxonomyFieldName="Palabras_x0020_Clave" ma:displayName="Palabras Clave" ma:default="" ma:fieldId="{e17b6a91-5443-4647-ba3d-e4a3a875036d}" ma:taxonomyMulti="true" ma:sspId="07ed5746-dda7-458e-bd38-936d3893630a" ma:termSetId="ad184e09-166c-4b31-90fb-ee2ec4e1be8f" ma:anchorId="00000000-0000-0000-0000-000000000000" ma:open="false" ma:isKeyword="false">
      <xsd:complexType>
        <xsd:sequence>
          <xsd:element ref="pc:Terms" minOccurs="0" maxOccurs="1"/>
        </xsd:sequence>
      </xsd:complexType>
    </xsd:element>
    <xsd:element name="gb0da28118314ee0a0dd18a007ff19c2" ma:index="18" nillable="true" ma:taxonomy="true" ma:internalName="gb0da28118314ee0a0dd18a007ff19c2" ma:taxonomyFieldName="Producto" ma:displayName="Producto" ma:default="" ma:fieldId="{0b0da281-1831-4ee0-a0dd-18a007ff19c2}" ma:sspId="07ed5746-dda7-458e-bd38-936d3893630a" ma:termSetId="e9dfdd26-f560-4650-8c58-c57195b7fc8a" ma:anchorId="00000000-0000-0000-0000-000000000000" ma:open="false" ma:isKeyword="false">
      <xsd:complexType>
        <xsd:sequence>
          <xsd:element ref="pc:Terms" minOccurs="0" maxOccurs="1"/>
        </xsd:sequence>
      </xsd:complexType>
    </xsd:element>
    <xsd:element name="Referencias" ma:index="20" nillable="true" ma:displayName="Referencias" ma:internalName="Referencias">
      <xsd:simpleType>
        <xsd:restriction base="dms:Unknown"/>
      </xsd:simpleType>
    </xsd:element>
    <xsd:element name="l0478d21b078490484bb6e09bb97820c" ma:index="21" ma:taxonomy="true" ma:internalName="l0478d21b078490484bb6e09bb97820c" ma:taxonomyFieldName="Subproducto" ma:displayName="Subproducto" ma:default="" ma:fieldId="{50478d21-b078-4904-84bb-6e09bb97820c}" ma:sspId="07ed5746-dda7-458e-bd38-936d3893630a" ma:termSetId="da9a8584-404d-4e74-87ec-665a962e6a99" ma:anchorId="00000000-0000-0000-0000-000000000000" ma:open="false" ma:isKeyword="false">
      <xsd:complexType>
        <xsd:sequence>
          <xsd:element ref="pc:Terms" minOccurs="0" maxOccurs="1"/>
        </xsd:sequence>
      </xsd:complexType>
    </xsd:element>
    <xsd:element name="l7d852f5b4f94ef7b93ec308d95112d1" ma:index="23" ma:taxonomy="true" ma:internalName="l7d852f5b4f94ef7b93ec308d95112d1" ma:taxonomyFieldName="Vigencia" ma:displayName="Vigencia" ma:default="" ma:fieldId="{57d852f5-b4f9-4ef7-b93e-c308d95112d1}" ma:sspId="07ed5746-dda7-458e-bd38-936d3893630a" ma:termSetId="ddd764e3-036a-4a70-a945-a72ed8ead41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e4c44b0-1876-4baa-89b3-bc74d2398f4d" elementFormDefault="qualified">
    <xsd:import namespace="http://schemas.microsoft.com/office/2006/documentManagement/types"/>
    <xsd:import namespace="http://schemas.microsoft.com/office/infopath/2007/PartnerControls"/>
    <xsd:element name="Fecha" ma:index="25" nillable="true" ma:displayName="Fecha" ma:format="DateOnly" ma:internalName="Fecha">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ias xmlns="54c02a4e-4f2a-4f4c-a1d7-7e423af7bf0e" xsi:nil="true"/>
    <TaxCatchAll xmlns="54c02a4e-4f2a-4f4c-a1d7-7e423af7bf0e"/>
    <p796a1425e8f4e9f9a9907e2f3e1cc89 xmlns="54c02a4e-4f2a-4f4c-a1d7-7e423af7bf0e">
      <Terms xmlns="http://schemas.microsoft.com/office/infopath/2007/PartnerControls"/>
    </p796a1425e8f4e9f9a9907e2f3e1cc89>
    <Fecha xmlns="8e4c44b0-1876-4baa-89b3-bc74d2398f4d" xsi:nil="true"/>
    <l0478d21b078490484bb6e09bb97820c xmlns="54c02a4e-4f2a-4f4c-a1d7-7e423af7bf0e">
      <Terms xmlns="http://schemas.microsoft.com/office/infopath/2007/PartnerControls"/>
    </l0478d21b078490484bb6e09bb97820c>
    <h36ea57c07b940e79438865ab6b9d0af xmlns="54c02a4e-4f2a-4f4c-a1d7-7e423af7bf0e">
      <Terms xmlns="http://schemas.microsoft.com/office/infopath/2007/PartnerControls"/>
    </h36ea57c07b940e79438865ab6b9d0af>
    <e17b6a9154434647ba3de4a3a875036d xmlns="54c02a4e-4f2a-4f4c-a1d7-7e423af7bf0e">
      <Terms xmlns="http://schemas.microsoft.com/office/infopath/2007/PartnerControls"/>
    </e17b6a9154434647ba3de4a3a875036d>
    <pe54903eea82489ebc221e6b158801c6 xmlns="54c02a4e-4f2a-4f4c-a1d7-7e423af7bf0e">
      <Terms xmlns="http://schemas.microsoft.com/office/infopath/2007/PartnerControls"/>
    </pe54903eea82489ebc221e6b158801c6>
    <l7d852f5b4f94ef7b93ec308d95112d1 xmlns="54c02a4e-4f2a-4f4c-a1d7-7e423af7bf0e">
      <Terms xmlns="http://schemas.microsoft.com/office/infopath/2007/PartnerControls"/>
    </l7d852f5b4f94ef7b93ec308d95112d1>
    <gb0da28118314ee0a0dd18a007ff19c2 xmlns="54c02a4e-4f2a-4f4c-a1d7-7e423af7bf0e">
      <Terms xmlns="http://schemas.microsoft.com/office/infopath/2007/PartnerControls"/>
    </gb0da28118314ee0a0dd18a007ff19c2>
  </documentManagement>
</p:properties>
</file>

<file path=customXml/itemProps1.xml><?xml version="1.0" encoding="utf-8"?>
<ds:datastoreItem xmlns:ds="http://schemas.openxmlformats.org/officeDocument/2006/customXml" ds:itemID="{F65CA0ED-96EF-4260-A2FA-3B6BF0118885}">
  <ds:schemaRefs/>
</ds:datastoreItem>
</file>

<file path=customXml/itemProps2.xml><?xml version="1.0" encoding="utf-8"?>
<ds:datastoreItem xmlns:ds="http://schemas.openxmlformats.org/officeDocument/2006/customXml" ds:itemID="{7076626C-638D-40B6-8763-B743F2C533E1}">
  <ds:schemaRefs/>
</ds:datastoreItem>
</file>

<file path=customXml/itemProps3.xml><?xml version="1.0" encoding="utf-8"?>
<ds:datastoreItem xmlns:ds="http://schemas.openxmlformats.org/officeDocument/2006/customXml" ds:itemID="{85375268-A296-4545-9428-7A37F389A227}"/>
</file>

<file path=customXml/itemProps4.xml><?xml version="1.0" encoding="utf-8"?>
<ds:datastoreItem xmlns:ds="http://schemas.openxmlformats.org/officeDocument/2006/customXml" ds:itemID="{BABC4A62-CE98-4AA1-8F80-E0EA8645E41E}"/>
</file>

<file path=customXml/itemProps5.xml><?xml version="1.0" encoding="utf-8"?>
<ds:datastoreItem xmlns:ds="http://schemas.openxmlformats.org/officeDocument/2006/customXml" ds:itemID="{96895759-0751-4B8C-9E85-0701CDED9E3D}"/>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45vonyjd.dotx</Template>
  <TotalTime>0</TotalTime>
  <Pages>4</Pages>
  <Words>1314</Words>
  <Characters>7492</Characters>
  <Application>Microsoft Office Word</Application>
  <DocSecurity>0</DocSecurity>
  <Lines>62</Lines>
  <Paragraphs>17</Paragraphs>
  <ScaleCrop>false</ScaleCrop>
  <Company/>
  <LinksUpToDate>false</LinksUpToDate>
  <CharactersWithSpaces>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Toscano, Andrea Judith</cp:lastModifiedBy>
  <cp:revision>1</cp:revision>
  <dcterms:created xsi:type="dcterms:W3CDTF">2026-07-06T12:34:00Z</dcterms:created>
  <dcterms:modified xsi:type="dcterms:W3CDTF">2026-07-06T12:36:00Z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1208620960147310515</vt:lpwstr>
  </property>
  <property fmtid="{D5CDD505-2E9C-101B-9397-08002B2CF9AE}" pid="5" name="TemplafyFromBlank">
    <vt:bool>true</vt:bool>
  </property>
  <property fmtid="{D5CDD505-2E9C-101B-9397-08002B2CF9AE}" pid="6" name="ContentTypeId">
    <vt:lpwstr>0x010100B8ADFA7584DDBF4AAD44257180168E0C007390E0BB3DD1B1499804740715D4AFBF</vt:lpwstr>
  </property>
</Properties>
</file>