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4374"/>
          <w:sz w:val="18"/>
        </w:rPr>
        <w:t>AUDITORÍA DE COBERTURA · ÁREA IMPUESTOS</w:t>
      </w:r>
    </w:p>
    <w:p>
      <w:pPr>
        <w:pStyle w:val="Title"/>
      </w:pPr>
      <w:r>
        <w:rPr>
          <w:color w:val="2A2420"/>
          <w:sz w:val="44"/>
        </w:rPr>
        <w:t>Boletines Oficiales — semana del 10 al 16/07/2026</w:t>
      </w:r>
    </w:p>
    <w:p>
      <w:r>
        <w:rPr>
          <w:color w:val="6B6155"/>
          <w:sz w:val="20"/>
        </w:rPr>
        <w:t>Comparación: novedades del staff vs. sistema  |  24 provincias relevadas  |  7 con discrepancia real</w:t>
      </w:r>
    </w:p>
    <w:p/>
    <w:p>
      <w:pPr>
        <w:pStyle w:val="Heading1"/>
      </w:pPr>
      <w:r>
        <w:t>1 · Por qué falló cada provincia</w:t>
      </w:r>
    </w:p>
    <w:p>
      <w:r>
        <w:rPr>
          <w:color w:val="6B6155"/>
        </w:rPr>
        <w:t>Solo se listan las provincias donde hubo una diferencia real entre lo que encontró el staff y lo que trajo el sistema. Las 17 restantes coincidieron sin novedades.</w:t>
      </w:r>
    </w:p>
    <w:tbl>
      <w:tblPr>
        <w:tblStyle w:val="TableGrid"/>
        <w:tblW w:type="auto" w:w="0"/>
        <w:tblLayout w:type="fixed"/>
        <w:tblLook w:firstColumn="1" w:firstRow="1" w:lastColumn="0" w:lastRow="0" w:noHBand="0" w:noVBand="1" w:val="04A0"/>
      </w:tblPr>
      <w:tblGrid>
        <w:gridCol w:w="3324"/>
        <w:gridCol w:w="3324"/>
        <w:gridCol w:w="3324"/>
      </w:tblGrid>
      <w:tr>
        <w:tc>
          <w:tcPr>
            <w:tcW w:type="dxa" w:w="1701"/>
            <w:shd w:fill="F2EDE3"/>
          </w:tcPr>
          <w:p>
            <w:r/>
            <w:r>
              <w:rPr>
                <w:b/>
                <w:color w:val="6B6155"/>
                <w:sz w:val="17"/>
              </w:rPr>
              <w:t>PROVINCIA</w:t>
            </w:r>
          </w:p>
        </w:tc>
        <w:tc>
          <w:tcPr>
            <w:tcW w:type="dxa" w:w="5669"/>
            <w:shd w:fill="F2EDE3"/>
          </w:tcPr>
          <w:p>
            <w:r/>
            <w:r>
              <w:rPr>
                <w:b/>
                <w:color w:val="6B6155"/>
                <w:sz w:val="17"/>
              </w:rPr>
              <w:t>CAUSA RAÍZ</w:t>
            </w:r>
          </w:p>
        </w:tc>
        <w:tc>
          <w:tcPr>
            <w:tcW w:type="dxa" w:w="1984"/>
            <w:shd w:fill="F2EDE3"/>
          </w:tcPr>
          <w:p>
            <w:r/>
            <w:r>
              <w:rPr>
                <w:b/>
                <w:color w:val="6B6155"/>
                <w:sz w:val="17"/>
              </w:rPr>
              <w:t>ESTADO</w:t>
            </w:r>
          </w:p>
        </w:tc>
      </w:tr>
      <w:tr>
        <w:tc>
          <w:tcPr>
            <w:tcW w:type="dxa" w:w="1701"/>
          </w:tcPr>
          <w:p>
            <w:r/>
            <w:r>
              <w:rPr>
                <w:sz w:val="19"/>
              </w:rPr>
              <w:t>CABA</w:t>
            </w:r>
          </w:p>
        </w:tc>
        <w:tc>
          <w:tcPr>
            <w:tcW w:type="dxa" w:w="5669"/>
          </w:tcPr>
          <w:p>
            <w:r/>
            <w:r>
              <w:rPr>
                <w:sz w:val="19"/>
              </w:rPr>
              <w:t>Los Decretos los emite el Jefe de Gobierno, no un Ministerio — el sumario no les asignaba organismo y se descartaban antes de mirar el contenido. Además, un offset fijo en el recorte de texto se auto-matcheaba con el propio encabezado en páginas con pie de página largo, dejando el bloque en ~110 caracteres sin contenido.</w:t>
            </w:r>
          </w:p>
        </w:tc>
        <w:tc>
          <w:tcPr>
            <w:tcW w:type="dxa" w:w="1984"/>
          </w:tcPr>
          <w:p>
            <w:r/>
            <w:r>
              <w:rPr>
                <w:sz w:val="19"/>
              </w:rPr>
              <w:t>Corregido</w:t>
            </w:r>
          </w:p>
        </w:tc>
      </w:tr>
      <w:tr>
        <w:tc>
          <w:tcPr>
            <w:tcW w:type="dxa" w:w="1701"/>
          </w:tcPr>
          <w:p>
            <w:r/>
            <w:r>
              <w:rPr>
                <w:sz w:val="19"/>
              </w:rPr>
              <w:t>Corrientes</w:t>
            </w:r>
          </w:p>
        </w:tc>
        <w:tc>
          <w:tcPr>
            <w:tcW w:type="dxa" w:w="5669"/>
          </w:tcPr>
          <w:p>
            <w:r/>
            <w:r>
              <w:rPr>
                <w:sz w:val="19"/>
              </w:rPr>
              <w:t>Bug de columnas (bleed) + año con punto de miles + sigla con puntos fusionaba decretos no relacionados en un solo bloque, mostrando números incorrectos.</w:t>
            </w:r>
          </w:p>
        </w:tc>
        <w:tc>
          <w:tcPr>
            <w:tcW w:type="dxa" w:w="1984"/>
          </w:tcPr>
          <w:p>
            <w:r/>
            <w:r>
              <w:rPr>
                <w:sz w:val="19"/>
              </w:rPr>
              <w:t>Corregido (sesión anterior)</w:t>
            </w:r>
          </w:p>
        </w:tc>
      </w:tr>
      <w:tr>
        <w:tc>
          <w:tcPr>
            <w:tcW w:type="dxa" w:w="1701"/>
          </w:tcPr>
          <w:p>
            <w:r/>
            <w:r>
              <w:rPr>
                <w:sz w:val="19"/>
              </w:rPr>
              <w:t>Jujuy</w:t>
            </w:r>
          </w:p>
        </w:tc>
        <w:tc>
          <w:tcPr>
            <w:tcW w:type="dxa" w:w="5669"/>
          </w:tcPr>
          <w:p>
            <w:r/>
            <w:r>
              <w:rPr>
                <w:sz w:val="19"/>
              </w:rPr>
              <w:t>La RG1761 que el staff sumó es del boletín del 17/07 — un día fuera de la semana 10-16/07 que se estaba auditando.</w:t>
            </w:r>
          </w:p>
        </w:tc>
        <w:tc>
          <w:tcPr>
            <w:tcW w:type="dxa" w:w="1984"/>
          </w:tcPr>
          <w:p>
            <w:r/>
            <w:r>
              <w:rPr>
                <w:sz w:val="19"/>
              </w:rPr>
              <w:t>No era un bug</w:t>
            </w:r>
          </w:p>
        </w:tc>
      </w:tr>
      <w:tr>
        <w:tc>
          <w:tcPr>
            <w:tcW w:type="dxa" w:w="1701"/>
          </w:tcPr>
          <w:p>
            <w:r/>
            <w:r>
              <w:rPr>
                <w:sz w:val="19"/>
              </w:rPr>
              <w:t>Mendoza</w:t>
            </w:r>
          </w:p>
        </w:tc>
        <w:tc>
          <w:tcPr>
            <w:tcW w:type="dxa" w:w="5669"/>
          </w:tcPr>
          <w:p>
            <w:r/>
            <w:r>
              <w:rPr>
                <w:sz w:val="19"/>
              </w:rPr>
              <w:t>Palabras clave demasiado genéricas ("contribuyente", "moratoria", "plan de pago") hacían entrar decretos de coparticipación municipal sin relación real con Impuestos. Reemplazada por la lista oficial del equipo.</w:t>
            </w:r>
          </w:p>
        </w:tc>
        <w:tc>
          <w:tcPr>
            <w:tcW w:type="dxa" w:w="1984"/>
          </w:tcPr>
          <w:p>
            <w:r/>
            <w:r>
              <w:rPr>
                <w:sz w:val="19"/>
              </w:rPr>
              <w:t>Corregido</w:t>
            </w:r>
          </w:p>
        </w:tc>
      </w:tr>
      <w:tr>
        <w:tc>
          <w:tcPr>
            <w:tcW w:type="dxa" w:w="1701"/>
          </w:tcPr>
          <w:p>
            <w:r/>
            <w:r>
              <w:rPr>
                <w:sz w:val="19"/>
              </w:rPr>
              <w:t>San Juan</w:t>
            </w:r>
          </w:p>
        </w:tc>
        <w:tc>
          <w:tcPr>
            <w:tcW w:type="dxa" w:w="5669"/>
          </w:tcPr>
          <w:p>
            <w:r/>
            <w:r>
              <w:rPr>
                <w:sz w:val="19"/>
              </w:rPr>
              <w:t>Cinco problemas apilados en la misma edición: el OCR se cortaba a mitad de página por un timeout muy corto (45s); el modo de agrupado de texto pegaba el membrete al encabezado de la norma, rompiendo la detección; el número de la resolución va estampado con un sello de tipografía distorsionada, ilegible a resolución normal; y la palabra "expediente" (usada por cualquier norma para citar su propio expediente) estaba en la lista de exclusión de edictos, descartando toda resolución real de la DGR.</w:t>
            </w:r>
          </w:p>
        </w:tc>
        <w:tc>
          <w:tcPr>
            <w:tcW w:type="dxa" w:w="1984"/>
          </w:tcPr>
          <w:p>
            <w:r/>
            <w:r>
              <w:rPr>
                <w:sz w:val="19"/>
              </w:rPr>
              <w:t>Corregido, parcial</w:t>
            </w:r>
          </w:p>
        </w:tc>
      </w:tr>
      <w:tr>
        <w:tc>
          <w:tcPr>
            <w:tcW w:type="dxa" w:w="1701"/>
          </w:tcPr>
          <w:p>
            <w:r/>
            <w:r>
              <w:rPr>
                <w:sz w:val="19"/>
              </w:rPr>
              <w:t>Santa Cruz</w:t>
            </w:r>
          </w:p>
        </w:tc>
        <w:tc>
          <w:tcPr>
            <w:tcW w:type="dxa" w:w="5669"/>
          </w:tcPr>
          <w:p>
            <w:r/>
            <w:r>
              <w:rPr>
                <w:sz w:val="19"/>
              </w:rPr>
              <w:t>Las Leyes las sanciona el Poder Legislativo, que nunca menciona "ASIP" — el único organismo reconocido por el filtro — así que quedaban afuera sin importar el contenido.</w:t>
            </w:r>
          </w:p>
        </w:tc>
        <w:tc>
          <w:tcPr>
            <w:tcW w:type="dxa" w:w="1984"/>
          </w:tcPr>
          <w:p>
            <w:r/>
            <w:r>
              <w:rPr>
                <w:sz w:val="19"/>
              </w:rPr>
              <w:t>Corregido</w:t>
            </w:r>
          </w:p>
        </w:tc>
      </w:tr>
      <w:tr>
        <w:tc>
          <w:tcPr>
            <w:tcW w:type="dxa" w:w="1701"/>
          </w:tcPr>
          <w:p>
            <w:r/>
            <w:r>
              <w:rPr>
                <w:sz w:val="19"/>
              </w:rPr>
              <w:t>Santa Fe</w:t>
            </w:r>
          </w:p>
        </w:tc>
        <w:tc>
          <w:tcPr>
            <w:tcW w:type="dxa" w:w="5669"/>
          </w:tcPr>
          <w:p>
            <w:r/>
            <w:r>
              <w:rPr>
                <w:sz w:val="19"/>
              </w:rPr>
              <w:t>El propio staff confirmó que la lógica del sistema era correcta (RG113 es un adelanto, no debía figurar esa semana).</w:t>
            </w:r>
          </w:p>
        </w:tc>
        <w:tc>
          <w:tcPr>
            <w:tcW w:type="dxa" w:w="1984"/>
          </w:tcPr>
          <w:p>
            <w:r/>
            <w:r>
              <w:rPr>
                <w:sz w:val="19"/>
              </w:rPr>
              <w:t>No era un bug</w:t>
            </w:r>
          </w:p>
        </w:tc>
      </w:tr>
      <w:tr>
        <w:tc>
          <w:tcPr>
            <w:tcW w:type="dxa" w:w="1701"/>
          </w:tcPr>
          <w:p>
            <w:r/>
            <w:r>
              <w:rPr>
                <w:sz w:val="19"/>
              </w:rPr>
              <w:t>Santiago del Estero</w:t>
            </w:r>
          </w:p>
        </w:tc>
        <w:tc>
          <w:tcPr>
            <w:tcW w:type="dxa" w:w="5669"/>
          </w:tcPr>
          <w:p>
            <w:r/>
            <w:r>
              <w:rPr>
                <w:sz w:val="19"/>
              </w:rPr>
              <w:t>El título y el cuerpo de la norma arrastraban ruido de encabezado/pie de página del PDF mezclado en el medio del texto, dificultando la lectura.</w:t>
            </w:r>
          </w:p>
        </w:tc>
        <w:tc>
          <w:tcPr>
            <w:tcW w:type="dxa" w:w="1984"/>
          </w:tcPr>
          <w:p>
            <w:r/>
            <w:r>
              <w:rPr>
                <w:sz w:val="19"/>
              </w:rPr>
              <w:t>Corregido (sesión anterior)</w:t>
            </w:r>
          </w:p>
        </w:tc>
      </w:tr>
      <w:tr>
        <w:tc>
          <w:tcPr>
            <w:tcW w:type="dxa" w:w="1701"/>
          </w:tcPr>
          <w:p>
            <w:r/>
            <w:r>
              <w:rPr>
                <w:sz w:val="19"/>
              </w:rPr>
              <w:t>Tierra del Fuego</w:t>
            </w:r>
          </w:p>
        </w:tc>
        <w:tc>
          <w:tcPr>
            <w:tcW w:type="dxa" w:w="5669"/>
          </w:tcPr>
          <w:p>
            <w:r/>
            <w:r>
              <w:rPr>
                <w:sz w:val="19"/>
              </w:rPr>
              <w:t>PDFs de hasta 400 MB tardaban horas en procesarse sin un corte temprano, forzando a cancelar la corrida manualmente. El límite de páginas para OCR además se aplicaba sobre TODO el documento, no solo sobre las páginas que necesitan OCR.</w:t>
            </w:r>
          </w:p>
        </w:tc>
        <w:tc>
          <w:tcPr>
            <w:tcW w:type="dxa" w:w="1984"/>
          </w:tcPr>
          <w:p>
            <w:r/>
            <w:r>
              <w:rPr>
                <w:sz w:val="19"/>
              </w:rPr>
              <w:t>Corregido; dada de baja del ciclo automático por el momento</w:t>
            </w:r>
          </w:p>
        </w:tc>
      </w:tr>
    </w:tbl>
    <w:p/>
    <w:p>
      <w:pPr>
        <w:spacing w:after="240"/>
      </w:pPr>
      <w:r>
        <w:rPr>
          <w:b/>
        </w:rPr>
        <w:t xml:space="preserve">San Juan, nota: </w:t>
      </w:r>
      <w:r>
        <w:t>la recuperación del número de sello no es perfecta — en la prueba real recuperó "207" en vez de "1207" (se perdió el primer dígito). El contenido y el organismo se detectan bien; el número puede necesitar una revisión manual puntual cuando la edición tiene esta calidad de escaneo.</w:t>
      </w:r>
    </w:p>
    <w:p>
      <w:pPr>
        <w:pStyle w:val="Heading1"/>
      </w:pPr>
      <w:r>
        <w:t>2 · Comparativo por provincia — corrida real del 22/07</w:t>
      </w:r>
    </w:p>
    <w:p>
      <w:r>
        <w:rPr>
          <w:color w:val="6B6155"/>
        </w:rPr>
        <w:t>Lo que reportó el staff manualmente frente al reporte maestro que se corrió esta semana (22/07, 15:48hs), con los fixes que se aplicaron después de revisarlo.</w:t>
      </w:r>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1701"/>
            <w:shd w:fill="F2EDE3"/>
          </w:tcPr>
          <w:p>
            <w:r/>
            <w:r>
              <w:rPr>
                <w:b/>
                <w:color w:val="6B6155"/>
                <w:sz w:val="17"/>
              </w:rPr>
              <w:t>PROVINCIA</w:t>
            </w:r>
          </w:p>
        </w:tc>
        <w:tc>
          <w:tcPr>
            <w:tcW w:type="dxa" w:w="2835"/>
            <w:shd w:fill="F2EDE3"/>
          </w:tcPr>
          <w:p>
            <w:r/>
            <w:r>
              <w:rPr>
                <w:b/>
                <w:color w:val="6B6155"/>
                <w:sz w:val="17"/>
              </w:rPr>
              <w:t>REPORTÓ EL STAFF</w:t>
            </w:r>
          </w:p>
        </w:tc>
        <w:tc>
          <w:tcPr>
            <w:tcW w:type="dxa" w:w="3685"/>
            <w:shd w:fill="F2EDE3"/>
          </w:tcPr>
          <w:p>
            <w:r/>
            <w:r>
              <w:rPr>
                <w:b/>
                <w:color w:val="6B6155"/>
                <w:sz w:val="17"/>
              </w:rPr>
              <w:t>REPORTE DEL 22/07</w:t>
            </w:r>
          </w:p>
        </w:tc>
        <w:tc>
          <w:tcPr>
            <w:tcW w:type="dxa" w:w="1417"/>
            <w:shd w:fill="F2EDE3"/>
          </w:tcPr>
          <w:p>
            <w:r/>
            <w:r>
              <w:rPr>
                <w:b/>
                <w:color w:val="6B6155"/>
                <w:sz w:val="17"/>
              </w:rPr>
              <w:t>ESTADO</w:t>
            </w:r>
          </w:p>
        </w:tc>
      </w:tr>
      <w:tr>
        <w:tc>
          <w:tcPr>
            <w:tcW w:type="dxa" w:w="1701"/>
          </w:tcPr>
          <w:p>
            <w:r/>
            <w:r>
              <w:rPr>
                <w:sz w:val="19"/>
              </w:rPr>
              <w:t>Buenos Aires</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CABA</w:t>
            </w:r>
          </w:p>
        </w:tc>
        <w:tc>
          <w:tcPr>
            <w:tcW w:type="dxa" w:w="2835"/>
          </w:tcPr>
          <w:p>
            <w:r/>
            <w:r>
              <w:rPr>
                <w:sz w:val="19"/>
              </w:rPr>
              <w:t>Decreto 248, Resolución 250</w:t>
            </w:r>
          </w:p>
        </w:tc>
        <w:tc>
          <w:tcPr>
            <w:tcW w:type="dxa" w:w="3685"/>
          </w:tcPr>
          <w:p>
            <w:r/>
            <w:r>
              <w:rPr>
                <w:sz w:val="19"/>
              </w:rPr>
              <w:t>Decreto 248, Resolución 250, Resolución 254</w:t>
            </w:r>
          </w:p>
        </w:tc>
        <w:tc>
          <w:tcPr>
            <w:tcW w:type="dxa" w:w="1417"/>
          </w:tcPr>
          <w:p>
            <w:r/>
            <w:r>
              <w:rPr>
                <w:sz w:val="19"/>
              </w:rPr>
              <w:t>Sí</w:t>
            </w:r>
          </w:p>
        </w:tc>
      </w:tr>
      <w:tr>
        <w:tc>
          <w:tcPr>
            <w:tcW w:type="dxa" w:w="1701"/>
          </w:tcPr>
          <w:p>
            <w:r/>
            <w:r>
              <w:rPr>
                <w:sz w:val="19"/>
              </w:rPr>
              <w:t>Catamarca</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Chaco</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Chubut</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Córdoba</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Corrientes</w:t>
            </w:r>
          </w:p>
        </w:tc>
        <w:tc>
          <w:tcPr>
            <w:tcW w:type="dxa" w:w="2835"/>
          </w:tcPr>
          <w:p>
            <w:r/>
            <w:r>
              <w:rPr>
                <w:sz w:val="19"/>
              </w:rPr>
              <w:t>Decreto 303</w:t>
            </w:r>
          </w:p>
        </w:tc>
        <w:tc>
          <w:tcPr>
            <w:tcW w:type="dxa" w:w="3685"/>
          </w:tcPr>
          <w:p>
            <w:r/>
            <w:r>
              <w:rPr>
                <w:sz w:val="19"/>
              </w:rPr>
              <w:t>Resolución General (D.G.R.) N°303</w:t>
            </w:r>
          </w:p>
        </w:tc>
        <w:tc>
          <w:tcPr>
            <w:tcW w:type="dxa" w:w="1417"/>
          </w:tcPr>
          <w:p>
            <w:r/>
            <w:r>
              <w:rPr>
                <w:sz w:val="19"/>
              </w:rPr>
              <w:t>Sí</w:t>
            </w:r>
          </w:p>
        </w:tc>
      </w:tr>
      <w:tr>
        <w:tc>
          <w:tcPr>
            <w:tcW w:type="dxa" w:w="1701"/>
          </w:tcPr>
          <w:p>
            <w:r/>
            <w:r>
              <w:rPr>
                <w:sz w:val="19"/>
              </w:rPr>
              <w:t>Entre Ríos</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Formosa</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Jujuy</w:t>
            </w:r>
          </w:p>
        </w:tc>
        <w:tc>
          <w:tcPr>
            <w:tcW w:type="dxa" w:w="2835"/>
          </w:tcPr>
          <w:p>
            <w:r/>
            <w:r>
              <w:rPr>
                <w:sz w:val="19"/>
              </w:rPr>
              <w:t>RG1760 (RG1761 es de otra semana)</w:t>
            </w:r>
          </w:p>
        </w:tc>
        <w:tc>
          <w:tcPr>
            <w:tcW w:type="dxa" w:w="3685"/>
          </w:tcPr>
          <w:p>
            <w:r/>
            <w:r>
              <w:rPr>
                <w:sz w:val="19"/>
              </w:rPr>
              <w:t>RG1760</w:t>
            </w:r>
          </w:p>
        </w:tc>
        <w:tc>
          <w:tcPr>
            <w:tcW w:type="dxa" w:w="1417"/>
          </w:tcPr>
          <w:p>
            <w:r/>
            <w:r>
              <w:rPr>
                <w:sz w:val="19"/>
              </w:rPr>
              <w:t>Sí</w:t>
            </w:r>
          </w:p>
        </w:tc>
      </w:tr>
      <w:tr>
        <w:tc>
          <w:tcPr>
            <w:tcW w:type="dxa" w:w="1701"/>
          </w:tcPr>
          <w:p>
            <w:r/>
            <w:r>
              <w:rPr>
                <w:sz w:val="19"/>
              </w:rPr>
              <w:t>La Pampa</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La Rioja</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Mendoza</w:t>
            </w:r>
          </w:p>
        </w:tc>
        <w:tc>
          <w:tcPr>
            <w:tcW w:type="dxa" w:w="2835"/>
          </w:tcPr>
          <w:p>
            <w:r/>
            <w:r>
              <w:rPr>
                <w:sz w:val="19"/>
              </w:rPr>
              <w:t>Resolución 95</w:t>
            </w:r>
          </w:p>
        </w:tc>
        <w:tc>
          <w:tcPr>
            <w:tcW w:type="dxa" w:w="3685"/>
          </w:tcPr>
          <w:p>
            <w:r/>
            <w:r>
              <w:rPr>
                <w:sz w:val="19"/>
              </w:rPr>
              <w:t>Resolución 95, Decreto 1279, Resolución 150, Decreto 1033 (lista oficial de keywords, más amplia a propósito)</w:t>
            </w:r>
          </w:p>
        </w:tc>
        <w:tc>
          <w:tcPr>
            <w:tcW w:type="dxa" w:w="1417"/>
          </w:tcPr>
          <w:p>
            <w:r/>
            <w:r>
              <w:rPr>
                <w:sz w:val="19"/>
              </w:rPr>
              <w:t>Sí</w:t>
            </w:r>
          </w:p>
        </w:tc>
      </w:tr>
      <w:tr>
        <w:tc>
          <w:tcPr>
            <w:tcW w:type="dxa" w:w="1701"/>
          </w:tcPr>
          <w:p>
            <w:r/>
            <w:r>
              <w:rPr>
                <w:sz w:val="19"/>
              </w:rPr>
              <w:t>Misiones</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Neuquén</w:t>
            </w:r>
          </w:p>
        </w:tc>
        <w:tc>
          <w:tcPr>
            <w:tcW w:type="dxa" w:w="2835"/>
          </w:tcPr>
          <w:p>
            <w:r/>
            <w:r>
              <w:rPr>
                <w:sz w:val="19"/>
              </w:rPr>
              <w:t>Sin novedades</w:t>
            </w:r>
          </w:p>
        </w:tc>
        <w:tc>
          <w:tcPr>
            <w:tcW w:type="dxa" w:w="3685"/>
          </w:tcPr>
          <w:p>
            <w:r/>
            <w:r>
              <w:rPr>
                <w:sz w:val="19"/>
              </w:rPr>
              <w:t>Sin reporte (la provincia entera no corrió)</w:t>
            </w:r>
          </w:p>
        </w:tc>
        <w:tc>
          <w:tcPr>
            <w:tcW w:type="dxa" w:w="1417"/>
          </w:tcPr>
          <w:p>
            <w:r/>
            <w:r>
              <w:rPr>
                <w:sz w:val="19"/>
              </w:rPr>
              <w:t>Sin explicar</w:t>
            </w:r>
          </w:p>
        </w:tc>
      </w:tr>
      <w:tr>
        <w:tc>
          <w:tcPr>
            <w:tcW w:type="dxa" w:w="1701"/>
          </w:tcPr>
          <w:p>
            <w:r/>
            <w:r>
              <w:rPr>
                <w:sz w:val="19"/>
              </w:rPr>
              <w:t>Río Negro</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Salta</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San Juan</w:t>
            </w:r>
          </w:p>
        </w:tc>
        <w:tc>
          <w:tcPr>
            <w:tcW w:type="dxa" w:w="2835"/>
          </w:tcPr>
          <w:p>
            <w:r/>
            <w:r>
              <w:rPr>
                <w:sz w:val="19"/>
              </w:rPr>
              <w:t>Resolución 1207-DGR-2026</w:t>
            </w:r>
          </w:p>
        </w:tc>
        <w:tc>
          <w:tcPr>
            <w:tcW w:type="dxa" w:w="3685"/>
          </w:tcPr>
          <w:p>
            <w:r/>
            <w:r>
              <w:rPr>
                <w:sz w:val="19"/>
              </w:rPr>
              <w:t>Resolución "207"-DGR-2026 (número parcial)</w:t>
            </w:r>
          </w:p>
        </w:tc>
        <w:tc>
          <w:tcPr>
            <w:tcW w:type="dxa" w:w="1417"/>
          </w:tcPr>
          <w:p>
            <w:r/>
            <w:r>
              <w:rPr>
                <w:sz w:val="19"/>
              </w:rPr>
              <w:t>Parcial</w:t>
            </w:r>
          </w:p>
        </w:tc>
      </w:tr>
      <w:tr>
        <w:tc>
          <w:tcPr>
            <w:tcW w:type="dxa" w:w="1701"/>
          </w:tcPr>
          <w:p>
            <w:r/>
            <w:r>
              <w:rPr>
                <w:sz w:val="19"/>
              </w:rPr>
              <w:t>San Luis</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r>
        <w:tc>
          <w:tcPr>
            <w:tcW w:type="dxa" w:w="1701"/>
          </w:tcPr>
          <w:p>
            <w:r/>
            <w:r>
              <w:rPr>
                <w:sz w:val="19"/>
              </w:rPr>
              <w:t>Santa Cruz</w:t>
            </w:r>
          </w:p>
        </w:tc>
        <w:tc>
          <w:tcPr>
            <w:tcW w:type="dxa" w:w="2835"/>
          </w:tcPr>
          <w:p>
            <w:r/>
            <w:r>
              <w:rPr>
                <w:sz w:val="19"/>
              </w:rPr>
              <w:t>Ley 4011</w:t>
            </w:r>
          </w:p>
        </w:tc>
        <w:tc>
          <w:tcPr>
            <w:tcW w:type="dxa" w:w="3685"/>
          </w:tcPr>
          <w:p>
            <w:r/>
            <w:r>
              <w:rPr>
                <w:sz w:val="19"/>
              </w:rPr>
              <w:t>0 en esta corrida (el mínimo de scoring ya se corrigió; faltan keywords — ver nota abajo)</w:t>
            </w:r>
          </w:p>
        </w:tc>
        <w:tc>
          <w:tcPr>
            <w:tcW w:type="dxa" w:w="1417"/>
          </w:tcPr>
          <w:p>
            <w:r/>
            <w:r>
              <w:rPr>
                <w:sz w:val="19"/>
              </w:rPr>
              <w:t>A confirmar con contadores</w:t>
            </w:r>
          </w:p>
        </w:tc>
      </w:tr>
      <w:tr>
        <w:tc>
          <w:tcPr>
            <w:tcW w:type="dxa" w:w="1701"/>
          </w:tcPr>
          <w:p>
            <w:r/>
            <w:r>
              <w:rPr>
                <w:sz w:val="19"/>
              </w:rPr>
              <w:t>Santa Fe</w:t>
            </w:r>
          </w:p>
        </w:tc>
        <w:tc>
          <w:tcPr>
            <w:tcW w:type="dxa" w:w="2835"/>
          </w:tcPr>
          <w:p>
            <w:r/>
            <w:r>
              <w:rPr>
                <w:sz w:val="19"/>
              </w:rPr>
              <w:t>RG113 no debía figurar (adelanto)</w:t>
            </w:r>
          </w:p>
        </w:tc>
        <w:tc>
          <w:tcPr>
            <w:tcW w:type="dxa" w:w="3685"/>
          </w:tcPr>
          <w:p>
            <w:r/>
            <w:r>
              <w:rPr>
                <w:sz w:val="19"/>
              </w:rPr>
              <w:t>Sin novedades (Decreto 1436 ya no figura)</w:t>
            </w:r>
          </w:p>
        </w:tc>
        <w:tc>
          <w:tcPr>
            <w:tcW w:type="dxa" w:w="1417"/>
          </w:tcPr>
          <w:p>
            <w:r/>
            <w:r>
              <w:rPr>
                <w:sz w:val="19"/>
              </w:rPr>
              <w:t>Sí</w:t>
            </w:r>
          </w:p>
        </w:tc>
      </w:tr>
      <w:tr>
        <w:tc>
          <w:tcPr>
            <w:tcW w:type="dxa" w:w="1701"/>
          </w:tcPr>
          <w:p>
            <w:r/>
            <w:r>
              <w:rPr>
                <w:sz w:val="19"/>
              </w:rPr>
              <w:t>Santiago del Estero</w:t>
            </w:r>
          </w:p>
        </w:tc>
        <w:tc>
          <w:tcPr>
            <w:tcW w:type="dxa" w:w="2835"/>
          </w:tcPr>
          <w:p>
            <w:r/>
            <w:r>
              <w:rPr>
                <w:sz w:val="19"/>
              </w:rPr>
              <w:t>Sin novedades esa semana</w:t>
            </w:r>
          </w:p>
        </w:tc>
        <w:tc>
          <w:tcPr>
            <w:tcW w:type="dxa" w:w="3685"/>
          </w:tcPr>
          <w:p>
            <w:r/>
            <w:r>
              <w:rPr>
                <w:sz w:val="19"/>
              </w:rPr>
              <w:t>Decreto 2026-1170 (título limpio, contenido real de DGR sobre Ingresos Brutos)</w:t>
            </w:r>
          </w:p>
        </w:tc>
        <w:tc>
          <w:tcPr>
            <w:tcW w:type="dxa" w:w="1417"/>
          </w:tcPr>
          <w:p>
            <w:r/>
            <w:r>
              <w:rPr>
                <w:sz w:val="19"/>
              </w:rPr>
              <w:t>A confirmar con staff</w:t>
            </w:r>
          </w:p>
        </w:tc>
      </w:tr>
      <w:tr>
        <w:tc>
          <w:tcPr>
            <w:tcW w:type="dxa" w:w="1701"/>
          </w:tcPr>
          <w:p>
            <w:r/>
            <w:r>
              <w:rPr>
                <w:sz w:val="19"/>
              </w:rPr>
              <w:t>Tierra del Fuego</w:t>
            </w:r>
          </w:p>
        </w:tc>
        <w:tc>
          <w:tcPr>
            <w:tcW w:type="dxa" w:w="2835"/>
          </w:tcPr>
          <w:p>
            <w:r/>
            <w:r>
              <w:rPr>
                <w:sz w:val="19"/>
              </w:rPr>
              <w:t>Sin reporte esa corrida</w:t>
            </w:r>
          </w:p>
        </w:tc>
        <w:tc>
          <w:tcPr>
            <w:tcW w:type="dxa" w:w="3685"/>
          </w:tcPr>
          <w:p>
            <w:r/>
            <w:r>
              <w:rPr>
                <w:sz w:val="19"/>
              </w:rPr>
              <w:t>Sin reporte (causa encontrada — dada de baja del ciclo, ver nota abajo)</w:t>
            </w:r>
          </w:p>
        </w:tc>
        <w:tc>
          <w:tcPr>
            <w:tcW w:type="dxa" w:w="1417"/>
          </w:tcPr>
          <w:p>
            <w:r/>
            <w:r>
              <w:rPr>
                <w:sz w:val="19"/>
              </w:rPr>
              <w:t>Dada de baja</w:t>
            </w:r>
          </w:p>
        </w:tc>
      </w:tr>
      <w:tr>
        <w:tc>
          <w:tcPr>
            <w:tcW w:type="dxa" w:w="1701"/>
          </w:tcPr>
          <w:p>
            <w:r/>
            <w:r>
              <w:rPr>
                <w:sz w:val="19"/>
              </w:rPr>
              <w:t>Tucumán</w:t>
            </w:r>
          </w:p>
        </w:tc>
        <w:tc>
          <w:tcPr>
            <w:tcW w:type="dxa" w:w="2835"/>
          </w:tcPr>
          <w:p>
            <w:r/>
            <w:r>
              <w:rPr>
                <w:sz w:val="19"/>
              </w:rPr>
              <w:t>Sin novedades</w:t>
            </w:r>
          </w:p>
        </w:tc>
        <w:tc>
          <w:tcPr>
            <w:tcW w:type="dxa" w:w="3685"/>
          </w:tcPr>
          <w:p>
            <w:r/>
            <w:r>
              <w:rPr>
                <w:sz w:val="19"/>
              </w:rPr>
              <w:t>Sin novedades</w:t>
            </w:r>
          </w:p>
        </w:tc>
        <w:tc>
          <w:tcPr>
            <w:tcW w:type="dxa" w:w="1417"/>
          </w:tcPr>
          <w:p>
            <w:r/>
            <w:r>
              <w:rPr>
                <w:sz w:val="19"/>
              </w:rPr>
              <w:t>Sí</w:t>
            </w:r>
          </w:p>
        </w:tc>
      </w:tr>
    </w:tbl>
    <w:p/>
    <w:p>
      <w:pPr>
        <w:pStyle w:val="Heading1"/>
      </w:pPr>
      <w:r>
        <w:t>3 · Hallazgos de la corrida del 22/07</w:t>
      </w:r>
    </w:p>
    <w:p>
      <w:r>
        <w:rPr>
          <w:color w:val="6B6155"/>
        </w:rPr>
        <w:t>Todo lo de abajo se encontró revisando este reporte puntual. Salvo donde se indica lo contrario, ya está aplicado en el código.</w:t>
      </w:r>
    </w:p>
    <w:tbl>
      <w:tblPr>
        <w:tblStyle w:val="TableGrid"/>
        <w:tblW w:type="auto" w:w="0"/>
        <w:tblLayout w:type="fixed"/>
        <w:tblLook w:firstColumn="1" w:firstRow="1" w:lastColumn="0" w:lastRow="0" w:noHBand="0" w:noVBand="1" w:val="04A0"/>
      </w:tblPr>
      <w:tblGrid>
        <w:gridCol w:w="3324"/>
        <w:gridCol w:w="3324"/>
        <w:gridCol w:w="3324"/>
      </w:tblGrid>
      <w:tr>
        <w:tc>
          <w:tcPr>
            <w:tcW w:type="dxa" w:w="1701"/>
            <w:shd w:fill="F2EDE3"/>
          </w:tcPr>
          <w:p>
            <w:r/>
            <w:r>
              <w:rPr>
                <w:b/>
                <w:color w:val="6B6155"/>
                <w:sz w:val="17"/>
              </w:rPr>
              <w:t>PROVINCIA</w:t>
            </w:r>
          </w:p>
        </w:tc>
        <w:tc>
          <w:tcPr>
            <w:tcW w:type="dxa" w:w="6236"/>
            <w:shd w:fill="F2EDE3"/>
          </w:tcPr>
          <w:p>
            <w:r/>
            <w:r>
              <w:rPr>
                <w:b/>
                <w:color w:val="6B6155"/>
                <w:sz w:val="17"/>
              </w:rPr>
              <w:t>QUÉ SE ENCONTRÓ</w:t>
            </w:r>
          </w:p>
        </w:tc>
        <w:tc>
          <w:tcPr>
            <w:tcW w:type="dxa" w:w="1417"/>
            <w:shd w:fill="F2EDE3"/>
          </w:tcPr>
          <w:p>
            <w:r/>
            <w:r>
              <w:rPr>
                <w:b/>
                <w:color w:val="6B6155"/>
                <w:sz w:val="17"/>
              </w:rPr>
              <w:t>ESTADO</w:t>
            </w:r>
          </w:p>
        </w:tc>
      </w:tr>
      <w:tr>
        <w:tc>
          <w:tcPr>
            <w:tcW w:type="dxa" w:w="1701"/>
          </w:tcPr>
          <w:p>
            <w:r/>
            <w:r>
              <w:rPr>
                <w:sz w:val="19"/>
              </w:rPr>
              <w:t>Tierra del Fuego</w:t>
            </w:r>
          </w:p>
        </w:tc>
        <w:tc>
          <w:tcPr>
            <w:tcW w:type="dxa" w:w="6236"/>
          </w:tcPr>
          <w:p>
            <w:r/>
            <w:r>
              <w:rPr>
                <w:sz w:val="19"/>
              </w:rPr>
              <w:t>El límite de 60 páginas para OCR se aplicaba sobre TODAS las páginas del PDF antes de procesar ninguna, no solo sobre las que necesitan OCR. Un boletín de más de 60 páginas perdía por completo todo lo que estuviera después de la página 60, aunque esas páginas tuvieran texto nativo rápido de leer. Se corrigió el bug, pero un boletín real de 118 páginas igual necesitó las 60 de OCR completas y no llegó a cubrir todo el documento (~59 minutos, una sola edición). Se dio de baja del ciclo automático completo hasta revisarlo con más tiempo; sigue disponible para correr manualmente por archivo.</w:t>
            </w:r>
          </w:p>
        </w:tc>
        <w:tc>
          <w:tcPr>
            <w:tcW w:type="dxa" w:w="1417"/>
          </w:tcPr>
          <w:p>
            <w:r/>
            <w:r>
              <w:rPr>
                <w:sz w:val="19"/>
              </w:rPr>
              <w:t>Dada de baja del ciclo</w:t>
            </w:r>
          </w:p>
        </w:tc>
      </w:tr>
      <w:tr>
        <w:tc>
          <w:tcPr>
            <w:tcW w:type="dxa" w:w="1701"/>
          </w:tcPr>
          <w:p>
            <w:r/>
            <w:r>
              <w:rPr>
                <w:sz w:val="19"/>
              </w:rPr>
              <w:t>Santa Cruz</w:t>
            </w:r>
          </w:p>
        </w:tc>
        <w:tc>
          <w:tcPr>
            <w:tcW w:type="dxa" w:w="6236"/>
          </w:tcPr>
          <w:p>
            <w:r/>
            <w:r>
              <w:rPr>
                <w:sz w:val="19"/>
              </w:rPr>
              <w:t>La Ley 4011 solo matcheaba una palabra clave ("impuestos"). El texto real de la Ley también menciona "exención de tributos provinciales" y "desgravación impositiva", que hoy NO están en la lista de palabras clave de Santa Cruz — a propósito no se agregaron sin confirmar primero con el equipo. Queda pendiente esa consulta (ver nota abajo).</w:t>
            </w:r>
          </w:p>
        </w:tc>
        <w:tc>
          <w:tcPr>
            <w:tcW w:type="dxa" w:w="1417"/>
          </w:tcPr>
          <w:p>
            <w:r/>
            <w:r>
              <w:rPr>
                <w:sz w:val="19"/>
              </w:rPr>
              <w:t>A confirmar con contadores</w:t>
            </w:r>
          </w:p>
        </w:tc>
      </w:tr>
      <w:tr>
        <w:tc>
          <w:tcPr>
            <w:tcW w:type="dxa" w:w="1701"/>
          </w:tcPr>
          <w:p>
            <w:r/>
            <w:r>
              <w:rPr>
                <w:sz w:val="19"/>
              </w:rPr>
              <w:t>Neuquén</w:t>
            </w:r>
          </w:p>
        </w:tc>
        <w:tc>
          <w:tcPr>
            <w:tcW w:type="dxa" w:w="6236"/>
          </w:tcPr>
          <w:p>
            <w:r/>
            <w:r>
              <w:rPr>
                <w:sz w:val="19"/>
              </w:rPr>
              <w:t>La provincia entera no generó reporte. El script corre sin errores contra el PDF cacheado localmente, así que no es un bug de código evidente — puede haber sido una falla puntual de red o descarga durante esa corrida en particular.</w:t>
            </w:r>
          </w:p>
        </w:tc>
        <w:tc>
          <w:tcPr>
            <w:tcW w:type="dxa" w:w="1417"/>
          </w:tcPr>
          <w:p>
            <w:r/>
            <w:r>
              <w:rPr>
                <w:sz w:val="19"/>
              </w:rPr>
              <w:t>Sin explicar — a monitorear</w:t>
            </w:r>
          </w:p>
        </w:tc>
      </w:tr>
      <w:tr>
        <w:tc>
          <w:tcPr>
            <w:tcW w:type="dxa" w:w="1701"/>
          </w:tcPr>
          <w:p>
            <w:r/>
            <w:r>
              <w:rPr>
                <w:sz w:val="19"/>
              </w:rPr>
              <w:t>Todas</w:t>
            </w:r>
          </w:p>
        </w:tc>
        <w:tc>
          <w:tcPr>
            <w:tcW w:type="dxa" w:w="6236"/>
          </w:tcPr>
          <w:p>
            <w:r/>
            <w:r>
              <w:rPr>
                <w:sz w:val="19"/>
              </w:rPr>
              <w:t>Se probó bajar el mínimo absoluto de scoring de 2 a 1 palabra clave (la Ley 4011 de Santa Cruz quedaba afuera con score 1), pero se decidió mantenerlo en 2: con 1 entraba demasiado ruido, bloques con una sola palabra clave suelta de pasada sin relación real con Impuestos.</w:t>
            </w:r>
          </w:p>
        </w:tc>
        <w:tc>
          <w:tcPr>
            <w:tcW w:type="dxa" w:w="1417"/>
          </w:tcPr>
          <w:p>
            <w:r/>
            <w:r>
              <w:rPr>
                <w:sz w:val="19"/>
              </w:rPr>
              <w:t>Se mantiene en 2</w:t>
            </w:r>
          </w:p>
        </w:tc>
      </w:tr>
    </w:tbl>
    <w:p/>
    <w:p>
      <w:r>
        <w:rPr>
          <w:b/>
          <w:color w:val="2E4374"/>
        </w:rPr>
        <w:t xml:space="preserve">Santa Cruz, para preguntar al equipo: </w:t>
      </w:r>
      <w:r>
        <w:t>¿"exención"/"desgravación de tributos provinciales" e "incentivo industrial" cuentan como novedad de Impuestos, o son casos de promoción industrial que no les interesa ver en el reporte semanal? De la respuesta depende si se agregan esas palabras clave.</w:t>
      </w:r>
    </w:p>
    <w:p/>
    <w:p>
      <w:r>
        <w:rPr>
          <w:i/>
          <w:color w:val="6B6155"/>
          <w:sz w:val="17"/>
        </w:rPr>
        <w:t>Generado a partir del reporte maestro del 22/07/2026 (15:48hs) y pruebas contra boletines reales cacheados — semana 10/07 al 16/07/2026.</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