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6AF53" w14:textId="1E15CC49" w:rsidR="0066385E" w:rsidRDefault="00214E81" w:rsidP="0066385E">
      <w:pPr>
        <w:jc w:val="both"/>
      </w:pPr>
      <w:r>
        <w:rPr>
          <w:b/>
          <w:bCs/>
          <w:color w:val="FF0000"/>
        </w:rPr>
        <w:t>PASIVOS CON VINCULADAS DEL EXTERIOR</w:t>
      </w:r>
    </w:p>
    <w:p w14:paraId="42F93290" w14:textId="1A4AAC24" w:rsidR="00F330FC" w:rsidRDefault="00F330FC" w:rsidP="005C3831">
      <w:pPr>
        <w:jc w:val="both"/>
      </w:pPr>
      <w:r>
        <w:rPr>
          <w:b/>
          <w:bCs/>
          <w:color w:val="0070C0"/>
          <w:u w:val="single"/>
        </w:rPr>
        <w:t>Fuente Argentina y Fuente Extranjera</w:t>
      </w:r>
    </w:p>
    <w:p w14:paraId="3B9D5224" w14:textId="75911E52" w:rsidR="00F864D0" w:rsidRDefault="00214E81" w:rsidP="005C3831">
      <w:pPr>
        <w:jc w:val="both"/>
      </w:pPr>
      <w:r>
        <w:t xml:space="preserve">Como premisa, cabe recordar el tratamiento de las ganancias de fuente argentina y las de fuente </w:t>
      </w:r>
      <w:r w:rsidR="00C66FBD">
        <w:t>extranjera</w:t>
      </w:r>
      <w:r w:rsidR="00F330FC">
        <w:t>, considerando como de fuente argentina (artículo 5) los relacionados a bienes situados o utilizados económicamente en Argentina, los que surjan de actos que produzcan beneficios en el territorio, y los hechos ocurridos en el mismo</w:t>
      </w:r>
      <w:r w:rsidR="001873A7">
        <w:t>.</w:t>
      </w:r>
    </w:p>
    <w:p w14:paraId="55D913ED" w14:textId="019A1645" w:rsidR="001873A7" w:rsidRPr="001873A7" w:rsidRDefault="001873A7" w:rsidP="001873A7">
      <w:pPr>
        <w:ind w:left="426"/>
        <w:jc w:val="both"/>
        <w:rPr>
          <w:rFonts w:ascii="Times New Roman" w:hAnsi="Times New Roman" w:cs="Times New Roman"/>
          <w:i/>
          <w:iCs/>
        </w:rPr>
      </w:pPr>
      <w:r w:rsidRPr="001873A7">
        <w:rPr>
          <w:rFonts w:ascii="Times New Roman" w:hAnsi="Times New Roman" w:cs="Times New Roman"/>
          <w:i/>
          <w:iCs/>
        </w:rPr>
        <w:t xml:space="preserve">Art. 5 </w:t>
      </w:r>
      <w:r>
        <w:rPr>
          <w:rFonts w:ascii="Times New Roman" w:hAnsi="Times New Roman" w:cs="Times New Roman"/>
          <w:i/>
          <w:iCs/>
        </w:rPr>
        <w:t>– LIG.</w:t>
      </w:r>
      <w:r w:rsidRPr="001873A7">
        <w:rPr>
          <w:rFonts w:ascii="Times New Roman" w:hAnsi="Times New Roman" w:cs="Times New Roman"/>
          <w:i/>
          <w:iCs/>
        </w:rPr>
        <w:t xml:space="preserve"> En general, y sin perjuicio de las disposiciones especiales de los artículos siguientes, son ganancias de fuente argentina aquellas que provienen de bienes situados, colocados o utilizados económicamente en la República, de la realización en el territorio de la Nación de cualquier acto o actividad susceptible de producir beneficios, o de hechos ocurridos dentro del límite de la misma, sin tener en cuenta nacionalidad, domicilio o residencia del titular o de las partes que intervengan en las operaciones, ni el lugar de celebración de los contratos.</w:t>
      </w:r>
    </w:p>
    <w:p w14:paraId="685E6E8F" w14:textId="3D252A6B" w:rsidR="00F330FC" w:rsidRDefault="00F330FC" w:rsidP="005C3831">
      <w:pPr>
        <w:jc w:val="both"/>
      </w:pPr>
      <w:r>
        <w:t>Si estos se realizasen en el extranjero, serían de fuente extranjera (artículo 124).</w:t>
      </w:r>
      <w:r w:rsidR="00995A94">
        <w:t xml:space="preserve"> </w:t>
      </w:r>
      <w:r>
        <w:t>Independientemente de la nacionalidad, domicilio o residencia del titular o de quienes intervengan, ni del lugar de celebración del contrato.</w:t>
      </w:r>
    </w:p>
    <w:p w14:paraId="0851D4D2" w14:textId="020C9C2A" w:rsidR="001873A7" w:rsidRPr="001873A7" w:rsidRDefault="001873A7" w:rsidP="001873A7">
      <w:pPr>
        <w:ind w:left="426"/>
        <w:jc w:val="both"/>
        <w:rPr>
          <w:rFonts w:ascii="Times New Roman" w:hAnsi="Times New Roman" w:cs="Times New Roman"/>
          <w:i/>
          <w:iCs/>
        </w:rPr>
      </w:pPr>
      <w:r w:rsidRPr="001873A7">
        <w:rPr>
          <w:rFonts w:ascii="Times New Roman" w:hAnsi="Times New Roman" w:cs="Times New Roman"/>
          <w:i/>
          <w:iCs/>
        </w:rPr>
        <w:t xml:space="preserve">Art. 124 </w:t>
      </w:r>
      <w:r w:rsidRPr="001873A7">
        <w:rPr>
          <w:rFonts w:ascii="Times New Roman" w:hAnsi="Times New Roman" w:cs="Times New Roman"/>
          <w:i/>
          <w:iCs/>
        </w:rPr>
        <w:t>– LIG.</w:t>
      </w:r>
      <w:r w:rsidRPr="001873A7">
        <w:rPr>
          <w:rFonts w:ascii="Times New Roman" w:hAnsi="Times New Roman" w:cs="Times New Roman"/>
          <w:i/>
          <w:iCs/>
        </w:rPr>
        <w:t xml:space="preserve"> Son ganancias de fuente extranjera las comprendidas en el artículo 2, que provengan de bienes situados, colocados o utilizados económicamente en el exterior, de la realización en el extranjero de cualquier acto o actividad susceptible de producir un beneficio o de hechos ocurridos fuera del territorio nacional, excepto los tipificados expresamente como de fuente argentina y las originadas por la venta en el exterior de bienes exportados en forma definitiva del país para ser enajenados en el extranjero, que constituyen ganancias de la última fuente mencionada.</w:t>
      </w:r>
    </w:p>
    <w:p w14:paraId="157E6D0B" w14:textId="0FFE1977" w:rsidR="00F330FC" w:rsidRDefault="00F330FC" w:rsidP="00F330FC">
      <w:pPr>
        <w:jc w:val="both"/>
      </w:pPr>
      <w:r>
        <w:rPr>
          <w:b/>
          <w:bCs/>
          <w:color w:val="0070C0"/>
          <w:u w:val="single"/>
        </w:rPr>
        <w:t>Sujetos Vinculados</w:t>
      </w:r>
    </w:p>
    <w:p w14:paraId="30A0C6B3" w14:textId="73E2161F" w:rsidR="00F330FC" w:rsidRDefault="00F330FC" w:rsidP="00F330FC">
      <w:pPr>
        <w:jc w:val="both"/>
      </w:pPr>
      <w:r>
        <w:t>Debemos considerar la vinculación económica que exista entre los sujetos, la que podrá realizarse de manera directa o indirecta sobre tareas de dirección o control (</w:t>
      </w:r>
      <w:r w:rsidRPr="00DD39F3">
        <w:rPr>
          <w:b/>
          <w:bCs/>
          <w:color w:val="002060"/>
        </w:rPr>
        <w:t>artículo 18 LIG</w:t>
      </w:r>
      <w:r>
        <w:t>).</w:t>
      </w:r>
      <w:r w:rsidR="00995A94" w:rsidRPr="00995A94">
        <w:t xml:space="preserve"> </w:t>
      </w:r>
      <w:r w:rsidR="00995A94">
        <w:t>Esto podrá suceder por la participación en el capital o por sus influencias funcionales, sean de origen contractual o no, teniendo cierto poder de decisión para poder orientar o definir las actividades del ente controlado y/o vinculado.</w:t>
      </w:r>
    </w:p>
    <w:p w14:paraId="67E1DCA3" w14:textId="29879A6D" w:rsidR="00995A94" w:rsidRPr="00995A94" w:rsidRDefault="00995A94" w:rsidP="00995A94">
      <w:pPr>
        <w:ind w:left="426"/>
        <w:jc w:val="both"/>
        <w:rPr>
          <w:rFonts w:ascii="Times New Roman" w:hAnsi="Times New Roman" w:cs="Times New Roman"/>
          <w:i/>
          <w:iCs/>
        </w:rPr>
      </w:pPr>
      <w:r w:rsidRPr="00995A94">
        <w:rPr>
          <w:rFonts w:ascii="Times New Roman" w:hAnsi="Times New Roman" w:cs="Times New Roman"/>
          <w:i/>
          <w:iCs/>
        </w:rPr>
        <w:t xml:space="preserve">Art. 18 </w:t>
      </w:r>
      <w:r w:rsidR="001873A7">
        <w:rPr>
          <w:rFonts w:ascii="Times New Roman" w:hAnsi="Times New Roman" w:cs="Times New Roman"/>
          <w:i/>
          <w:iCs/>
        </w:rPr>
        <w:t>– LIG.</w:t>
      </w:r>
      <w:r w:rsidRPr="00995A94">
        <w:rPr>
          <w:rFonts w:ascii="Times New Roman" w:hAnsi="Times New Roman" w:cs="Times New Roman"/>
          <w:i/>
          <w:iCs/>
        </w:rPr>
        <w:t xml:space="preserve"> A los fines previstos en esta ley, la vinculación quedará configurada cuando un sujeto y personas u otro tipo de entidades o establecimientos, fideicomisos o figuras equivalentes, con quien aquel realice transacciones, estén sujetos de manera directa o indirecta a la dirección o control de las mismas personas humanas o jurídicas o estas, sea por su participación en el capital, su grado de acreencias, sus influencias funcionales o de cualquier otra índole, contractuales o no, tengan poder de decisión para orientar o definir la o las actividades de las mencionadas sociedades, establecimientos u otro tipo de entidades.</w:t>
      </w:r>
    </w:p>
    <w:p w14:paraId="74F0C5BA" w14:textId="17964DE2" w:rsidR="00995A94" w:rsidRPr="00995A94" w:rsidRDefault="00995A94" w:rsidP="00995A94">
      <w:pPr>
        <w:ind w:left="426"/>
        <w:jc w:val="both"/>
        <w:rPr>
          <w:rFonts w:ascii="Times New Roman" w:hAnsi="Times New Roman" w:cs="Times New Roman"/>
          <w:i/>
          <w:iCs/>
        </w:rPr>
      </w:pPr>
      <w:r w:rsidRPr="00995A94">
        <w:rPr>
          <w:rFonts w:ascii="Times New Roman" w:hAnsi="Times New Roman" w:cs="Times New Roman"/>
          <w:i/>
          <w:iCs/>
        </w:rPr>
        <w:t>La reglamentación podrá establecer los supuestos de vinculación a los que alude el párrafo precedente.</w:t>
      </w:r>
    </w:p>
    <w:p w14:paraId="2493ADAF" w14:textId="52901202" w:rsidR="00F330FC" w:rsidRDefault="00F330FC" w:rsidP="00F330FC">
      <w:pPr>
        <w:jc w:val="both"/>
      </w:pPr>
      <w:r>
        <w:t xml:space="preserve">En agregado, el </w:t>
      </w:r>
      <w:r w:rsidRPr="00DD39F3">
        <w:rPr>
          <w:b/>
          <w:bCs/>
          <w:color w:val="002060"/>
        </w:rPr>
        <w:t xml:space="preserve">artículo 14 </w:t>
      </w:r>
      <w:r w:rsidR="00DD39F3" w:rsidRPr="00DD39F3">
        <w:rPr>
          <w:b/>
          <w:bCs/>
          <w:color w:val="002060"/>
        </w:rPr>
        <w:t>DR</w:t>
      </w:r>
      <w:r w:rsidR="00DD39F3">
        <w:t xml:space="preserve"> </w:t>
      </w:r>
      <w:r>
        <w:t>marca circunstancias que darán a entender que existe vinculación entre los sujetos, siendo cuando un sujeto</w:t>
      </w:r>
      <w:r w:rsidR="00DD39F3">
        <w:t xml:space="preserve"> respecto de otro:</w:t>
      </w:r>
    </w:p>
    <w:p w14:paraId="1542A1E6" w14:textId="75E9A360" w:rsidR="00F330FC" w:rsidRDefault="00DD39F3" w:rsidP="00DD39F3">
      <w:pPr>
        <w:pStyle w:val="ListParagraph"/>
        <w:numPr>
          <w:ilvl w:val="0"/>
          <w:numId w:val="8"/>
        </w:numPr>
        <w:jc w:val="both"/>
      </w:pPr>
      <w:r w:rsidRPr="00DD39F3">
        <w:t>Se posea la totalidad o parte mayoritaria del capital.</w:t>
      </w:r>
    </w:p>
    <w:p w14:paraId="4A4B9DBE" w14:textId="4F5AB711" w:rsidR="00DD39F3" w:rsidRDefault="00DD39F3" w:rsidP="00DD39F3">
      <w:pPr>
        <w:pStyle w:val="ListParagraph"/>
        <w:numPr>
          <w:ilvl w:val="0"/>
          <w:numId w:val="8"/>
        </w:numPr>
        <w:jc w:val="both"/>
      </w:pPr>
      <w:r w:rsidRPr="00DD39F3">
        <w:lastRenderedPageBreak/>
        <w:t>Se ejerza influencia significativa.</w:t>
      </w:r>
    </w:p>
    <w:p w14:paraId="11337CA0" w14:textId="654E30F8" w:rsidR="00DD39F3" w:rsidRDefault="00DD39F3" w:rsidP="00DD39F3">
      <w:pPr>
        <w:pStyle w:val="ListParagraph"/>
        <w:numPr>
          <w:ilvl w:val="0"/>
          <w:numId w:val="8"/>
        </w:numPr>
        <w:jc w:val="both"/>
      </w:pPr>
      <w:r w:rsidRPr="00DD39F3">
        <w:t>Posea los votos necesarios para formar la voluntad social o prevalecer en la asamblea de accionistas o socios.</w:t>
      </w:r>
    </w:p>
    <w:p w14:paraId="2447302D" w14:textId="5BAD85E4" w:rsidR="00DD39F3" w:rsidRDefault="00DD39F3" w:rsidP="00DD39F3">
      <w:pPr>
        <w:pStyle w:val="ListParagraph"/>
        <w:numPr>
          <w:ilvl w:val="0"/>
          <w:numId w:val="8"/>
        </w:numPr>
        <w:jc w:val="both"/>
      </w:pPr>
      <w:r w:rsidRPr="00DD39F3">
        <w:t>Posean directores, funcionarios o administradores comunes.</w:t>
      </w:r>
    </w:p>
    <w:p w14:paraId="4190EF00" w14:textId="53AA963E" w:rsidR="00DD39F3" w:rsidRDefault="00DD39F3" w:rsidP="00DD39F3">
      <w:pPr>
        <w:pStyle w:val="ListParagraph"/>
        <w:numPr>
          <w:ilvl w:val="0"/>
          <w:numId w:val="8"/>
        </w:numPr>
        <w:jc w:val="both"/>
      </w:pPr>
      <w:r w:rsidRPr="00DD39F3">
        <w:t>Goce de exclusividad como agente, distribuidor o concesionario para la compraventa de bienes, servicios o derechos.</w:t>
      </w:r>
    </w:p>
    <w:p w14:paraId="3D1B8823" w14:textId="7F053268" w:rsidR="00DD39F3" w:rsidRDefault="00DD39F3" w:rsidP="00DD39F3">
      <w:pPr>
        <w:pStyle w:val="ListParagraph"/>
        <w:numPr>
          <w:ilvl w:val="0"/>
          <w:numId w:val="8"/>
        </w:numPr>
        <w:jc w:val="both"/>
      </w:pPr>
      <w:r w:rsidRPr="00DD39F3">
        <w:t>Acuerde cláusulas contractuales que asumen el carácter de preferenciales.</w:t>
      </w:r>
    </w:p>
    <w:p w14:paraId="778B793D" w14:textId="66FE5B75" w:rsidR="00DD39F3" w:rsidRDefault="00DD39F3" w:rsidP="00DD39F3">
      <w:pPr>
        <w:pStyle w:val="ListParagraph"/>
        <w:numPr>
          <w:ilvl w:val="0"/>
          <w:numId w:val="8"/>
        </w:numPr>
        <w:jc w:val="both"/>
      </w:pPr>
      <w:r w:rsidRPr="00DD39F3">
        <w:t>Participe significativamente en la fijación de las políticas empresariales.</w:t>
      </w:r>
    </w:p>
    <w:p w14:paraId="71ED0ED8" w14:textId="1AD9C4E7" w:rsidR="006848F5" w:rsidRPr="006848F5" w:rsidRDefault="00DD39F3" w:rsidP="005C3831">
      <w:pPr>
        <w:pStyle w:val="ListParagraph"/>
        <w:numPr>
          <w:ilvl w:val="0"/>
          <w:numId w:val="8"/>
        </w:numPr>
        <w:jc w:val="both"/>
      </w:pPr>
      <w:r w:rsidRPr="00DD39F3">
        <w:t>Sea único o principal proveedor o cliente.</w:t>
      </w:r>
    </w:p>
    <w:p w14:paraId="1FB9C73C" w14:textId="77777777" w:rsidR="00BA0F07" w:rsidRDefault="00BA0F07" w:rsidP="005C3831">
      <w:pPr>
        <w:jc w:val="both"/>
        <w:rPr>
          <w:b/>
          <w:bCs/>
          <w:color w:val="FF0000"/>
        </w:rPr>
      </w:pPr>
    </w:p>
    <w:p w14:paraId="1DA13BFE" w14:textId="38890682" w:rsidR="006848F5" w:rsidRPr="006848F5" w:rsidRDefault="00C971DC" w:rsidP="005C3831">
      <w:pPr>
        <w:jc w:val="both"/>
      </w:pPr>
      <w:r>
        <w:rPr>
          <w:b/>
          <w:bCs/>
          <w:color w:val="FF0000"/>
        </w:rPr>
        <w:t>AJUSTES</w:t>
      </w:r>
      <w:r w:rsidR="00DA706E">
        <w:rPr>
          <w:b/>
          <w:bCs/>
          <w:color w:val="FF0000"/>
        </w:rPr>
        <w:t xml:space="preserve"> </w:t>
      </w:r>
      <w:r w:rsidR="00BA0F07">
        <w:rPr>
          <w:b/>
          <w:bCs/>
          <w:color w:val="FF0000"/>
        </w:rPr>
        <w:t>(ASPECTOS GENERALES)</w:t>
      </w:r>
    </w:p>
    <w:p w14:paraId="2246B27D" w14:textId="77777777" w:rsidR="00BA0F07" w:rsidRPr="00BA0F07" w:rsidRDefault="00BA0F07" w:rsidP="00BA0F07">
      <w:pPr>
        <w:ind w:left="426"/>
        <w:jc w:val="both"/>
        <w:rPr>
          <w:rFonts w:ascii="Times New Roman" w:hAnsi="Times New Roman" w:cs="Times New Roman"/>
          <w:i/>
          <w:iCs/>
        </w:rPr>
      </w:pPr>
      <w:r w:rsidRPr="00BA0F07">
        <w:rPr>
          <w:rFonts w:ascii="Times New Roman" w:hAnsi="Times New Roman" w:cs="Times New Roman"/>
          <w:i/>
          <w:iCs/>
        </w:rPr>
        <w:t>Art. 24 - (...) Los contribuyentes imputarán sus ganancias al año fiscal, de acuerdo con las siguientes normas:</w:t>
      </w:r>
    </w:p>
    <w:p w14:paraId="0D3A1704" w14:textId="77777777" w:rsidR="00BA0F07" w:rsidRPr="00BA0F07" w:rsidRDefault="00BA0F07" w:rsidP="00BA0F07">
      <w:pPr>
        <w:ind w:left="426"/>
        <w:jc w:val="both"/>
        <w:rPr>
          <w:rFonts w:ascii="Times New Roman" w:hAnsi="Times New Roman" w:cs="Times New Roman"/>
          <w:i/>
          <w:iCs/>
        </w:rPr>
      </w:pPr>
      <w:r w:rsidRPr="00BA0F07">
        <w:rPr>
          <w:rFonts w:ascii="Times New Roman" w:hAnsi="Times New Roman" w:cs="Times New Roman"/>
          <w:i/>
          <w:iCs/>
        </w:rPr>
        <w:t>b) Las demás ganancias se imputarán al año fiscal en que hubiesen sido percibidas, excepto las correspondientes a la primera categoría que se imputarán por el método de lo devengado.</w:t>
      </w:r>
    </w:p>
    <w:p w14:paraId="0891B160" w14:textId="77777777" w:rsidR="00BA0F07" w:rsidRPr="00BA0F07" w:rsidRDefault="00BA0F07" w:rsidP="00BA0F07">
      <w:pPr>
        <w:ind w:left="426"/>
        <w:jc w:val="both"/>
        <w:rPr>
          <w:rFonts w:ascii="Times New Roman" w:hAnsi="Times New Roman" w:cs="Times New Roman"/>
          <w:i/>
          <w:iCs/>
        </w:rPr>
      </w:pPr>
      <w:r w:rsidRPr="00BA0F07">
        <w:rPr>
          <w:rFonts w:ascii="Times New Roman" w:hAnsi="Times New Roman" w:cs="Times New Roman"/>
          <w:i/>
          <w:iCs/>
        </w:rPr>
        <w:t>(...)</w:t>
      </w:r>
    </w:p>
    <w:p w14:paraId="584E56D6" w14:textId="77777777" w:rsidR="00BA0F07" w:rsidRPr="00BA0F07" w:rsidRDefault="00BA0F07" w:rsidP="00BA0F07">
      <w:pPr>
        <w:ind w:left="426"/>
        <w:jc w:val="both"/>
        <w:rPr>
          <w:rFonts w:ascii="Times New Roman" w:hAnsi="Times New Roman" w:cs="Times New Roman"/>
          <w:i/>
          <w:iCs/>
        </w:rPr>
      </w:pPr>
      <w:r w:rsidRPr="00BA0F07">
        <w:rPr>
          <w:rFonts w:ascii="Times New Roman" w:hAnsi="Times New Roman" w:cs="Times New Roman"/>
          <w:i/>
          <w:iCs/>
        </w:rPr>
        <w:t>Cuando corresponda la imputación de acuerdo con su devengamiento, la misma deberá efectuarse en función del tiempo, siempre que se trate de intereses estipulados o presuntos -excepto los producidos por los valores mobiliarios-, alquileres y otros de características similares.</w:t>
      </w:r>
    </w:p>
    <w:p w14:paraId="50663AF7" w14:textId="77777777" w:rsidR="00BA0F07" w:rsidRPr="00BA0F07" w:rsidRDefault="00BA0F07" w:rsidP="00BA0F07">
      <w:pPr>
        <w:ind w:left="426"/>
        <w:jc w:val="both"/>
        <w:rPr>
          <w:rFonts w:ascii="Times New Roman" w:hAnsi="Times New Roman" w:cs="Times New Roman"/>
          <w:i/>
          <w:iCs/>
        </w:rPr>
      </w:pPr>
      <w:r w:rsidRPr="00BA0F07">
        <w:rPr>
          <w:rFonts w:ascii="Times New Roman" w:hAnsi="Times New Roman" w:cs="Times New Roman"/>
          <w:i/>
          <w:iCs/>
        </w:rPr>
        <w:t>(...)</w:t>
      </w:r>
    </w:p>
    <w:p w14:paraId="7CF0ECCB" w14:textId="77777777" w:rsidR="00BA0F07" w:rsidRPr="00BA0F07" w:rsidRDefault="00BA0F07" w:rsidP="00BA0F07">
      <w:pPr>
        <w:ind w:left="426"/>
        <w:jc w:val="both"/>
        <w:rPr>
          <w:rFonts w:ascii="Times New Roman" w:hAnsi="Times New Roman" w:cs="Times New Roman"/>
          <w:i/>
          <w:iCs/>
        </w:rPr>
      </w:pPr>
      <w:r w:rsidRPr="00BA0F07">
        <w:rPr>
          <w:rFonts w:ascii="Times New Roman" w:hAnsi="Times New Roman" w:cs="Times New Roman"/>
          <w:i/>
          <w:iCs/>
        </w:rPr>
        <w:t>Cuando corresponda imputar las ganancias de acuerdo con su percepción, se considerarán percibidas y los gastos se considerarán pagados, cuando se cobren o abonen en efectivo o en especie y, además, en los casos en que, estando disponibles, se han acreditado en la cuenta del titular o, con la autorización o conformidad expresa o tácita del mismo, se han reinvertido, acumulado, capitalizado, puesto en reserva o en un fondo de amortización o de seguro, cualquiera sea su denominación, o dispuesto de ellos en otra forma.</w:t>
      </w:r>
    </w:p>
    <w:p w14:paraId="41B92A7F" w14:textId="77777777" w:rsidR="00BA0F07" w:rsidRPr="00BA0F07" w:rsidRDefault="00BA0F07" w:rsidP="00BA0F07">
      <w:pPr>
        <w:ind w:left="426"/>
        <w:jc w:val="both"/>
        <w:rPr>
          <w:rFonts w:ascii="Times New Roman" w:hAnsi="Times New Roman" w:cs="Times New Roman"/>
          <w:i/>
          <w:iCs/>
        </w:rPr>
      </w:pPr>
      <w:r w:rsidRPr="00BA0F07">
        <w:rPr>
          <w:rFonts w:ascii="Times New Roman" w:hAnsi="Times New Roman" w:cs="Times New Roman"/>
          <w:i/>
          <w:iCs/>
        </w:rPr>
        <w:t>(...)</w:t>
      </w:r>
    </w:p>
    <w:p w14:paraId="77A022A0" w14:textId="77777777" w:rsidR="00BA0F07" w:rsidRPr="00BA0F07" w:rsidRDefault="00BA0F07" w:rsidP="00BA0F07">
      <w:pPr>
        <w:ind w:left="426"/>
        <w:jc w:val="both"/>
        <w:rPr>
          <w:rFonts w:ascii="Times New Roman" w:hAnsi="Times New Roman" w:cs="Times New Roman"/>
          <w:i/>
          <w:iCs/>
        </w:rPr>
      </w:pPr>
      <w:r w:rsidRPr="00BA0F07">
        <w:rPr>
          <w:rFonts w:ascii="Times New Roman" w:hAnsi="Times New Roman" w:cs="Times New Roman"/>
          <w:i/>
          <w:iCs/>
        </w:rPr>
        <w:t>Tratándose de erogaciones efectuadas por empresas locales que resulten ganancias de fuente argentina para personas o entes del extranjero con los que dichas empresas se encuentren vinculadas o para personas o entes ubicados, constituidos, radicados o domiciliados en jurisdicciones no cooperantes o de baja o nula tributación, la imputación al balance impositivo solo podrá efectuarse cuando se paguen o configure alguno de los casos previstos en el sexto párrafo de este artículo o, en su defecto, si alguna de las circunstancias mencionadas se configura dentro del plazo previsto para la presentación de la declaración jurada en la que se haya devengado la respectiva erogación.</w:t>
      </w:r>
    </w:p>
    <w:p w14:paraId="2D7C1F4F" w14:textId="77777777" w:rsidR="00BA0F07" w:rsidRPr="00BA0F07" w:rsidRDefault="00BA0F07" w:rsidP="00BA0F07">
      <w:pPr>
        <w:ind w:left="426"/>
        <w:jc w:val="both"/>
        <w:rPr>
          <w:rFonts w:ascii="Times New Roman" w:hAnsi="Times New Roman" w:cs="Times New Roman"/>
          <w:i/>
          <w:iCs/>
        </w:rPr>
      </w:pPr>
      <w:r w:rsidRPr="00BA0F07">
        <w:rPr>
          <w:rFonts w:ascii="Times New Roman" w:hAnsi="Times New Roman" w:cs="Times New Roman"/>
          <w:i/>
          <w:iCs/>
        </w:rPr>
        <w:t>Impugnación del Gasto</w:t>
      </w:r>
    </w:p>
    <w:p w14:paraId="5C0CB5B6" w14:textId="0DC9E6F4" w:rsidR="00BA0F07" w:rsidRPr="00BA0F07" w:rsidRDefault="00BA0F07" w:rsidP="00BA0F07">
      <w:pPr>
        <w:ind w:left="426"/>
        <w:jc w:val="both"/>
        <w:rPr>
          <w:rFonts w:ascii="Times New Roman" w:hAnsi="Times New Roman" w:cs="Times New Roman"/>
          <w:i/>
          <w:iCs/>
        </w:rPr>
      </w:pPr>
      <w:r w:rsidRPr="00BA0F07">
        <w:rPr>
          <w:rFonts w:ascii="Times New Roman" w:hAnsi="Times New Roman" w:cs="Times New Roman"/>
          <w:i/>
          <w:iCs/>
        </w:rPr>
        <w:t>Art. 43 - Cuando el contribuyente no haya dado cumplimiento a su obligación de retener el impuesto de conformidad con las normas vigentes, la Administración Federal de Ingresos Públicos podrá, a los efectos del balance impositivo del contribuyente, impugnar el gasto efectuado por este.</w:t>
      </w:r>
    </w:p>
    <w:p w14:paraId="5AD62984" w14:textId="3FE3196E" w:rsidR="00F864D0" w:rsidRDefault="00F330FC" w:rsidP="005C3831">
      <w:pPr>
        <w:jc w:val="both"/>
      </w:pPr>
      <w:r>
        <w:rPr>
          <w:b/>
          <w:bCs/>
          <w:color w:val="0070C0"/>
          <w:u w:val="single"/>
        </w:rPr>
        <w:lastRenderedPageBreak/>
        <w:t xml:space="preserve">Pasivos </w:t>
      </w:r>
      <w:r w:rsidR="00995A94">
        <w:rPr>
          <w:b/>
          <w:bCs/>
          <w:color w:val="0070C0"/>
          <w:u w:val="single"/>
        </w:rPr>
        <w:t>por Servicios</w:t>
      </w:r>
      <w:r w:rsidR="006848F5">
        <w:rPr>
          <w:b/>
          <w:bCs/>
          <w:color w:val="0070C0"/>
          <w:u w:val="single"/>
        </w:rPr>
        <w:t xml:space="preserve"> con Vinculadas del Exterior</w:t>
      </w:r>
    </w:p>
    <w:p w14:paraId="4D4DFF6C" w14:textId="7E130651" w:rsidR="00F864D0" w:rsidRDefault="00F330FC" w:rsidP="005C3831">
      <w:pPr>
        <w:jc w:val="both"/>
      </w:pPr>
      <w:r>
        <w:t>Se tratarán de créditos generados por la prestación de servicios, intereses o regalías realizados por una empresa vinculada al ente que se encuentra registrada en el exterior.</w:t>
      </w:r>
    </w:p>
    <w:p w14:paraId="7AADD861" w14:textId="67FB9A96" w:rsidR="00F330FC" w:rsidRDefault="00F330FC" w:rsidP="005C3831">
      <w:pPr>
        <w:jc w:val="both"/>
      </w:pPr>
      <w:r>
        <w:t>Esta prestación de servicios, que genera una erogación por parte del ente loca</w:t>
      </w:r>
      <w:r w:rsidR="00D228EF">
        <w:t>l</w:t>
      </w:r>
      <w:r>
        <w:t>, generará una ganancia de fuente argentina en cabeza del ente extranjero.</w:t>
      </w:r>
    </w:p>
    <w:p w14:paraId="1C48829A" w14:textId="26D83052" w:rsidR="006848F5" w:rsidRPr="00DD39F3" w:rsidRDefault="006848F5" w:rsidP="005C3831">
      <w:pPr>
        <w:jc w:val="both"/>
        <w:rPr>
          <w:b/>
          <w:bCs/>
        </w:rPr>
      </w:pPr>
      <w:r>
        <w:rPr>
          <w:b/>
          <w:bCs/>
        </w:rPr>
        <w:t>En principio, este tipo de pasivos no serán deducibles. Se deducirán</w:t>
      </w:r>
      <w:r w:rsidR="00F330FC" w:rsidRPr="00DD39F3">
        <w:rPr>
          <w:b/>
          <w:bCs/>
        </w:rPr>
        <w:t xml:space="preserve"> solo cuando se paguen o, en su defecto, si el pago se configura dentro del plazo previsto para la presentación de la </w:t>
      </w:r>
      <w:r w:rsidR="00DD39F3">
        <w:rPr>
          <w:b/>
          <w:bCs/>
        </w:rPr>
        <w:t>DDJJ</w:t>
      </w:r>
      <w:r w:rsidR="00F330FC" w:rsidRPr="00DD39F3">
        <w:rPr>
          <w:b/>
          <w:bCs/>
        </w:rPr>
        <w:t xml:space="preserve"> en la que se devengue.</w:t>
      </w:r>
    </w:p>
    <w:p w14:paraId="5B306829" w14:textId="15858F9C" w:rsidR="00995A94" w:rsidRDefault="00995A94" w:rsidP="00995A94">
      <w:pPr>
        <w:jc w:val="both"/>
      </w:pPr>
      <w:r>
        <w:rPr>
          <w:b/>
          <w:bCs/>
          <w:color w:val="0070C0"/>
          <w:u w:val="single"/>
        </w:rPr>
        <w:t>Pasivos por Adquisición de Bienes</w:t>
      </w:r>
      <w:r w:rsidR="00DA706E">
        <w:rPr>
          <w:b/>
          <w:bCs/>
          <w:color w:val="0070C0"/>
          <w:u w:val="single"/>
        </w:rPr>
        <w:t xml:space="preserve"> (Comerciales)</w:t>
      </w:r>
      <w:r w:rsidR="006848F5">
        <w:rPr>
          <w:b/>
          <w:bCs/>
          <w:color w:val="0070C0"/>
          <w:u w:val="single"/>
        </w:rPr>
        <w:t xml:space="preserve"> con Vinculadas del Exterior</w:t>
      </w:r>
      <w:r w:rsidR="00DA706E">
        <w:rPr>
          <w:b/>
          <w:bCs/>
          <w:color w:val="0070C0"/>
          <w:u w:val="single"/>
        </w:rPr>
        <w:t xml:space="preserve"> </w:t>
      </w:r>
    </w:p>
    <w:p w14:paraId="399C806B" w14:textId="7A2F39AD" w:rsidR="006848F5" w:rsidRDefault="00F330FC" w:rsidP="005C3831">
      <w:pPr>
        <w:jc w:val="both"/>
      </w:pPr>
      <w:r>
        <w:t>Sigue el mismo principio, generando una ganancia de fuente argentina al ente del exterior. Pero no aplicará la limitación en cuanto su imputación impositiv</w:t>
      </w:r>
      <w:r w:rsidR="00DD39F3">
        <w:t xml:space="preserve">a, </w:t>
      </w:r>
      <w:r w:rsidR="00DD39F3" w:rsidRPr="00DD39F3">
        <w:rPr>
          <w:b/>
          <w:bCs/>
        </w:rPr>
        <w:t>son deducibles íntegramente</w:t>
      </w:r>
      <w:r w:rsidR="00DD39F3">
        <w:t>.</w:t>
      </w:r>
    </w:p>
    <w:p w14:paraId="3B58660A" w14:textId="6E35803D" w:rsidR="00DA706E" w:rsidRDefault="00DA706E" w:rsidP="00DA706E">
      <w:pPr>
        <w:jc w:val="both"/>
      </w:pPr>
      <w:r>
        <w:rPr>
          <w:b/>
          <w:bCs/>
          <w:color w:val="0070C0"/>
          <w:u w:val="single"/>
        </w:rPr>
        <w:t>Asesoramiento Técnico-Financiero provisto a Vinculadas del Exterior</w:t>
      </w:r>
    </w:p>
    <w:p w14:paraId="494F70FD" w14:textId="77777777" w:rsidR="00DA706E" w:rsidRDefault="00DA706E" w:rsidP="00DA706E">
      <w:pPr>
        <w:jc w:val="both"/>
      </w:pPr>
      <w:r w:rsidRPr="00DD39F3">
        <w:t>La Resolución (INTI) 13/1987 define que el término asesoramiento técnico comprende aquellos servicios de asistencia técnica, ingeniería o consultoría brindados conforme a las reglas del arte, que se cumplan bajo la forma de locación de obra intelectual o locación de servicios, se paguen en forma proporcional a la duración o monto del trabajo realizado y en los que el proveedor asuma una obligación de brindar prestaciones específicas determinadas.</w:t>
      </w:r>
      <w:r>
        <w:t xml:space="preserve"> </w:t>
      </w:r>
    </w:p>
    <w:p w14:paraId="07AE6E35" w14:textId="77777777" w:rsidR="00DA706E" w:rsidRDefault="00DA706E" w:rsidP="00DA706E">
      <w:pPr>
        <w:jc w:val="both"/>
      </w:pPr>
      <w:r>
        <w:t xml:space="preserve">Estos serán de fuente argentina (artículo 13 LIG), y </w:t>
      </w:r>
      <w:r w:rsidRPr="00DD39F3">
        <w:rPr>
          <w:b/>
          <w:bCs/>
        </w:rPr>
        <w:t>no serán deducibles los montos que excedan los límites dispuestos por el artículo 228 del DR</w:t>
      </w:r>
      <w:r>
        <w:t xml:space="preserve"> (artículo 92, inc. E, LIG).</w:t>
      </w:r>
    </w:p>
    <w:p w14:paraId="49C6A7FE" w14:textId="77777777" w:rsidR="00DA706E" w:rsidRDefault="00DA706E" w:rsidP="00DA706E">
      <w:pPr>
        <w:pStyle w:val="ListParagraph"/>
        <w:numPr>
          <w:ilvl w:val="0"/>
          <w:numId w:val="9"/>
        </w:numPr>
        <w:jc w:val="both"/>
      </w:pPr>
      <w:r>
        <w:t>El 3% de las ventas o ingresos que se tomen como base contractual para la retribución del asesoramiento.</w:t>
      </w:r>
    </w:p>
    <w:p w14:paraId="652792B6" w14:textId="77777777" w:rsidR="00DA706E" w:rsidRDefault="00DA706E" w:rsidP="00DA706E">
      <w:pPr>
        <w:pStyle w:val="ListParagraph"/>
        <w:numPr>
          <w:ilvl w:val="0"/>
          <w:numId w:val="9"/>
        </w:numPr>
        <w:jc w:val="both"/>
      </w:pPr>
      <w:r>
        <w:t>El 5% del monto de la inversión efectivamente realizada con motivo de asesoramiento.</w:t>
      </w:r>
    </w:p>
    <w:p w14:paraId="3A344F59" w14:textId="77777777" w:rsidR="00DA706E" w:rsidRDefault="00DA706E" w:rsidP="00DA706E">
      <w:pPr>
        <w:jc w:val="both"/>
      </w:pPr>
      <w:r>
        <w:t xml:space="preserve">Surge del Fallo </w:t>
      </w:r>
      <w:proofErr w:type="spellStart"/>
      <w:r w:rsidRPr="00DD39F3">
        <w:t>SuperCanal</w:t>
      </w:r>
      <w:proofErr w:type="spellEnd"/>
      <w:r w:rsidRPr="00DD39F3">
        <w:t xml:space="preserve"> Holding SA - TFN - Sala B </w:t>
      </w:r>
      <w:r>
        <w:t>(</w:t>
      </w:r>
      <w:r w:rsidRPr="00DD39F3">
        <w:t>28/6/2006</w:t>
      </w:r>
      <w:r>
        <w:t xml:space="preserve">) que se producirá cuando exista </w:t>
      </w:r>
      <w:r w:rsidRPr="000E7DF4">
        <w:rPr>
          <w:i/>
          <w:iCs/>
        </w:rPr>
        <w:t>“una ayuda técnica, una instrucción o un asesoramiento para obtener la ganancia, esto es, un aporte o una asistencia técnica no retribuida como regalía”</w:t>
      </w:r>
      <w:r>
        <w:t>.</w:t>
      </w:r>
    </w:p>
    <w:p w14:paraId="4CD2501E" w14:textId="40384A22" w:rsidR="00DA706E" w:rsidRDefault="00DA706E" w:rsidP="005C3831">
      <w:pPr>
        <w:jc w:val="both"/>
      </w:pPr>
      <w:r>
        <w:t xml:space="preserve">Se sostiene en la realidad económica, misma que permite al ente extranjero generar un beneficio aprovechando el desarrollo de la actividad local del ente, lo que da con una ganancia gravada. </w:t>
      </w:r>
    </w:p>
    <w:p w14:paraId="6E1D9A5A" w14:textId="356A8D64" w:rsidR="002A626A" w:rsidRDefault="00DA706E" w:rsidP="002A626A">
      <w:pPr>
        <w:jc w:val="both"/>
      </w:pPr>
      <w:r>
        <w:rPr>
          <w:b/>
          <w:bCs/>
          <w:color w:val="0070C0"/>
          <w:u w:val="single"/>
        </w:rPr>
        <w:t>IV. Pasivos</w:t>
      </w:r>
      <w:r w:rsidR="002A626A">
        <w:rPr>
          <w:b/>
          <w:bCs/>
          <w:color w:val="0070C0"/>
          <w:u w:val="single"/>
        </w:rPr>
        <w:t xml:space="preserve"> Financier</w:t>
      </w:r>
      <w:r>
        <w:rPr>
          <w:b/>
          <w:bCs/>
          <w:color w:val="0070C0"/>
          <w:u w:val="single"/>
        </w:rPr>
        <w:t>o</w:t>
      </w:r>
      <w:r w:rsidR="002A626A">
        <w:rPr>
          <w:b/>
          <w:bCs/>
          <w:color w:val="0070C0"/>
          <w:u w:val="single"/>
        </w:rPr>
        <w:t>s</w:t>
      </w:r>
      <w:r>
        <w:rPr>
          <w:b/>
          <w:bCs/>
          <w:color w:val="0070C0"/>
          <w:u w:val="single"/>
        </w:rPr>
        <w:t xml:space="preserve"> (Préstamos)</w:t>
      </w:r>
      <w:r w:rsidR="006848F5">
        <w:rPr>
          <w:b/>
          <w:bCs/>
          <w:color w:val="0070C0"/>
          <w:u w:val="single"/>
        </w:rPr>
        <w:t xml:space="preserve"> con Vinculadas del Exterior</w:t>
      </w:r>
    </w:p>
    <w:p w14:paraId="7C8355A4" w14:textId="77777777" w:rsidR="00BA0F07" w:rsidRPr="00BA0F07" w:rsidRDefault="00BA0F07" w:rsidP="00BA0F07">
      <w:pPr>
        <w:ind w:left="426"/>
        <w:jc w:val="both"/>
        <w:rPr>
          <w:rFonts w:ascii="Times New Roman" w:hAnsi="Times New Roman" w:cs="Times New Roman"/>
          <w:i/>
          <w:iCs/>
        </w:rPr>
      </w:pPr>
      <w:r w:rsidRPr="00BA0F07">
        <w:rPr>
          <w:rFonts w:ascii="Times New Roman" w:hAnsi="Times New Roman" w:cs="Times New Roman"/>
          <w:i/>
          <w:iCs/>
        </w:rPr>
        <w:t>Deducciones Admitidas</w:t>
      </w:r>
    </w:p>
    <w:p w14:paraId="557980FE" w14:textId="77777777" w:rsidR="00BA0F07" w:rsidRPr="00BA0F07" w:rsidRDefault="00BA0F07" w:rsidP="00BA0F07">
      <w:pPr>
        <w:ind w:left="426"/>
        <w:jc w:val="both"/>
        <w:rPr>
          <w:rFonts w:ascii="Times New Roman" w:hAnsi="Times New Roman" w:cs="Times New Roman"/>
          <w:i/>
          <w:iCs/>
        </w:rPr>
      </w:pPr>
      <w:r w:rsidRPr="00BA0F07">
        <w:rPr>
          <w:rFonts w:ascii="Times New Roman" w:hAnsi="Times New Roman" w:cs="Times New Roman"/>
          <w:i/>
          <w:iCs/>
        </w:rPr>
        <w:t>Art. 85 - De la ganancia del año fiscal, cualquiera fuese la fuente de ganancia y con las limitaciones contenidas en esta ley, se podrá deducir:</w:t>
      </w:r>
    </w:p>
    <w:p w14:paraId="31567966" w14:textId="77777777" w:rsidR="00BA0F07" w:rsidRPr="00BA0F07" w:rsidRDefault="00BA0F07" w:rsidP="00BA0F07">
      <w:pPr>
        <w:ind w:left="426"/>
        <w:jc w:val="both"/>
        <w:rPr>
          <w:rFonts w:ascii="Times New Roman" w:hAnsi="Times New Roman" w:cs="Times New Roman"/>
          <w:i/>
          <w:iCs/>
        </w:rPr>
      </w:pPr>
      <w:r w:rsidRPr="00BA0F07">
        <w:rPr>
          <w:rFonts w:ascii="Times New Roman" w:hAnsi="Times New Roman" w:cs="Times New Roman"/>
          <w:i/>
          <w:iCs/>
        </w:rPr>
        <w:t xml:space="preserve">a) Los intereses de deudas, sus respectivas actualizaciones y los gastos originados por la constitución, renovación y cancelación de </w:t>
      </w:r>
      <w:proofErr w:type="gramStart"/>
      <w:r w:rsidRPr="00BA0F07">
        <w:rPr>
          <w:rFonts w:ascii="Times New Roman" w:hAnsi="Times New Roman" w:cs="Times New Roman"/>
          <w:i/>
          <w:iCs/>
        </w:rPr>
        <w:t>las mismas</w:t>
      </w:r>
      <w:proofErr w:type="gramEnd"/>
      <w:r w:rsidRPr="00BA0F07">
        <w:rPr>
          <w:rFonts w:ascii="Times New Roman" w:hAnsi="Times New Roman" w:cs="Times New Roman"/>
          <w:i/>
          <w:iCs/>
        </w:rPr>
        <w:t>.</w:t>
      </w:r>
    </w:p>
    <w:p w14:paraId="5D7C11D3" w14:textId="77777777" w:rsidR="00BA0F07" w:rsidRPr="00BA0F07" w:rsidRDefault="00BA0F07" w:rsidP="00BA0F07">
      <w:pPr>
        <w:ind w:left="426"/>
        <w:jc w:val="both"/>
        <w:rPr>
          <w:rFonts w:ascii="Times New Roman" w:hAnsi="Times New Roman" w:cs="Times New Roman"/>
          <w:i/>
          <w:iCs/>
        </w:rPr>
      </w:pPr>
      <w:r w:rsidRPr="00BA0F07">
        <w:rPr>
          <w:rFonts w:ascii="Times New Roman" w:hAnsi="Times New Roman" w:cs="Times New Roman"/>
          <w:i/>
          <w:iCs/>
        </w:rPr>
        <w:t>(...)</w:t>
      </w:r>
    </w:p>
    <w:p w14:paraId="427ADF88" w14:textId="22AE41B7" w:rsidR="00BA0F07" w:rsidRPr="00BA0F07" w:rsidRDefault="00BA0F07" w:rsidP="00BA0F07">
      <w:pPr>
        <w:ind w:left="426"/>
        <w:jc w:val="both"/>
        <w:rPr>
          <w:rFonts w:ascii="Times New Roman" w:hAnsi="Times New Roman" w:cs="Times New Roman"/>
          <w:i/>
          <w:iCs/>
        </w:rPr>
      </w:pPr>
      <w:r w:rsidRPr="00BA0F07">
        <w:rPr>
          <w:rFonts w:ascii="Times New Roman" w:hAnsi="Times New Roman" w:cs="Times New Roman"/>
          <w:i/>
          <w:iCs/>
        </w:rPr>
        <w:lastRenderedPageBreak/>
        <w:t xml:space="preserve">En el caso de los sujetos comprendidos en el artículo 53, los intereses de deudas de carácter financiero -excluyéndose, en consecuencia, las deudas generadas por adquisiciones de </w:t>
      </w:r>
      <w:proofErr w:type="spellStart"/>
      <w:r w:rsidRPr="00BA0F07">
        <w:rPr>
          <w:rFonts w:ascii="Times New Roman" w:hAnsi="Times New Roman" w:cs="Times New Roman"/>
          <w:i/>
          <w:iCs/>
        </w:rPr>
        <w:t>bienes,locaciones</w:t>
      </w:r>
      <w:proofErr w:type="spellEnd"/>
      <w:r w:rsidRPr="00BA0F07">
        <w:rPr>
          <w:rFonts w:ascii="Times New Roman" w:hAnsi="Times New Roman" w:cs="Times New Roman"/>
          <w:i/>
          <w:iCs/>
        </w:rPr>
        <w:t xml:space="preserve"> y prestaciones de servicios relacionados con el giro del negocio- contraídos con </w:t>
      </w:r>
      <w:proofErr w:type="spellStart"/>
      <w:r w:rsidRPr="00BA0F07">
        <w:rPr>
          <w:rFonts w:ascii="Times New Roman" w:hAnsi="Times New Roman" w:cs="Times New Roman"/>
          <w:i/>
          <w:iCs/>
        </w:rPr>
        <w:t>sujetos,residentes</w:t>
      </w:r>
      <w:proofErr w:type="spellEnd"/>
      <w:r w:rsidRPr="00BA0F07">
        <w:rPr>
          <w:rFonts w:ascii="Times New Roman" w:hAnsi="Times New Roman" w:cs="Times New Roman"/>
          <w:i/>
          <w:iCs/>
        </w:rPr>
        <w:t xml:space="preserve"> o no en la República Argentina, vinculados en los términos del artículo 18 de esta ley, serán deducibles del balance impositivo al que corresponda su imputación, no pudiendo superar </w:t>
      </w:r>
      <w:proofErr w:type="spellStart"/>
      <w:r w:rsidRPr="00BA0F07">
        <w:rPr>
          <w:rFonts w:ascii="Times New Roman" w:hAnsi="Times New Roman" w:cs="Times New Roman"/>
          <w:i/>
          <w:iCs/>
        </w:rPr>
        <w:t>taldeducción</w:t>
      </w:r>
      <w:proofErr w:type="spellEnd"/>
      <w:r w:rsidRPr="00BA0F07">
        <w:rPr>
          <w:rFonts w:ascii="Times New Roman" w:hAnsi="Times New Roman" w:cs="Times New Roman"/>
          <w:i/>
          <w:iCs/>
        </w:rPr>
        <w:t xml:space="preserve"> el monto anual que al respecto establezca el Poder Ejecutivo Nacional o el equivalente </w:t>
      </w:r>
      <w:proofErr w:type="spellStart"/>
      <w:r w:rsidRPr="00BA0F07">
        <w:rPr>
          <w:rFonts w:ascii="Times New Roman" w:hAnsi="Times New Roman" w:cs="Times New Roman"/>
          <w:i/>
          <w:iCs/>
        </w:rPr>
        <w:t>altreinta</w:t>
      </w:r>
      <w:proofErr w:type="spellEnd"/>
      <w:r w:rsidRPr="00BA0F07">
        <w:rPr>
          <w:rFonts w:ascii="Times New Roman" w:hAnsi="Times New Roman" w:cs="Times New Roman"/>
          <w:i/>
          <w:iCs/>
        </w:rPr>
        <w:t xml:space="preserve"> por ciento (30%) de la ganancia neta del ejercicio que resulte antes de deducir tanto los intereses a los que alude este párrafo como las amortizaciones previstas en esta ley, el que resulte mayor.</w:t>
      </w:r>
    </w:p>
    <w:p w14:paraId="2E7CCEC5" w14:textId="121BDFE0" w:rsidR="00BA0F07" w:rsidRPr="00BA0F07" w:rsidRDefault="00BA0F07" w:rsidP="00BA0F07">
      <w:pPr>
        <w:ind w:left="426"/>
        <w:jc w:val="both"/>
        <w:rPr>
          <w:rFonts w:ascii="Times New Roman" w:hAnsi="Times New Roman" w:cs="Times New Roman"/>
          <w:i/>
          <w:iCs/>
        </w:rPr>
      </w:pPr>
      <w:r w:rsidRPr="00BA0F07">
        <w:rPr>
          <w:rFonts w:ascii="Times New Roman" w:hAnsi="Times New Roman" w:cs="Times New Roman"/>
          <w:i/>
          <w:iCs/>
        </w:rPr>
        <w:t>Al límite aplicable a que se refiere el párrafo anterior se le podrá adicionar el excedente que se haya acumulado en los tres (3) ejercicios fiscales inmediatos anteriores, por resultar inferior -en cualquiera de dichos períodos- el monto de los intereses efectivamente deducidos respecto del límite aplicable, en la medida que dicho excedente no hubiera sido aplicado con anterioridad conforme el procedimiento dispuesto en este párrafo.</w:t>
      </w:r>
    </w:p>
    <w:p w14:paraId="14C960D8" w14:textId="52685869" w:rsidR="00BA0F07" w:rsidRPr="00BA0F07" w:rsidRDefault="00BA0F07" w:rsidP="00BA0F07">
      <w:pPr>
        <w:ind w:left="426"/>
        <w:jc w:val="both"/>
        <w:rPr>
          <w:rFonts w:ascii="Times New Roman" w:hAnsi="Times New Roman" w:cs="Times New Roman"/>
          <w:i/>
          <w:iCs/>
        </w:rPr>
      </w:pPr>
      <w:r w:rsidRPr="00BA0F07">
        <w:rPr>
          <w:rFonts w:ascii="Times New Roman" w:hAnsi="Times New Roman" w:cs="Times New Roman"/>
          <w:i/>
          <w:iCs/>
        </w:rPr>
        <w:t>Los intereses que, de acuerdo con lo dispuesto en los párrafos precedentes, no hubieran podido deducirse, podrán adicionarse a aquellos correspondientes a los cinco (5) ejercicios fiscales inmediatos siguientes, quedando sujetos al mecanismo de limitación allí previsto.</w:t>
      </w:r>
    </w:p>
    <w:p w14:paraId="0C94EB34" w14:textId="173052E1" w:rsidR="00BA0F07" w:rsidRPr="00BA0F07" w:rsidRDefault="00BA0F07" w:rsidP="00BA0F07">
      <w:pPr>
        <w:ind w:left="426"/>
        <w:jc w:val="both"/>
        <w:rPr>
          <w:rFonts w:ascii="Times New Roman" w:hAnsi="Times New Roman" w:cs="Times New Roman"/>
          <w:i/>
          <w:iCs/>
        </w:rPr>
      </w:pPr>
      <w:r w:rsidRPr="00BA0F07">
        <w:rPr>
          <w:rFonts w:ascii="Times New Roman" w:hAnsi="Times New Roman" w:cs="Times New Roman"/>
          <w:i/>
          <w:iCs/>
        </w:rPr>
        <w:t xml:space="preserve">Lo dispuesto en el cuarto párrafo del presente inciso no </w:t>
      </w:r>
      <w:proofErr w:type="gramStart"/>
      <w:r w:rsidRPr="00BA0F07">
        <w:rPr>
          <w:rFonts w:ascii="Times New Roman" w:hAnsi="Times New Roman" w:cs="Times New Roman"/>
          <w:i/>
          <w:iCs/>
        </w:rPr>
        <w:t>será de aplicación</w:t>
      </w:r>
      <w:proofErr w:type="gramEnd"/>
      <w:r w:rsidRPr="00BA0F07">
        <w:rPr>
          <w:rFonts w:ascii="Times New Roman" w:hAnsi="Times New Roman" w:cs="Times New Roman"/>
          <w:i/>
          <w:iCs/>
        </w:rPr>
        <w:t xml:space="preserve"> en los siguientes supuestos:</w:t>
      </w:r>
    </w:p>
    <w:p w14:paraId="480FEE3A" w14:textId="77777777" w:rsidR="00BA0F07" w:rsidRPr="00BA0F07" w:rsidRDefault="00BA0F07" w:rsidP="00BA0F07">
      <w:pPr>
        <w:ind w:left="426"/>
        <w:jc w:val="both"/>
        <w:rPr>
          <w:rFonts w:ascii="Times New Roman" w:hAnsi="Times New Roman" w:cs="Times New Roman"/>
          <w:i/>
          <w:iCs/>
        </w:rPr>
      </w:pPr>
      <w:r w:rsidRPr="00BA0F07">
        <w:rPr>
          <w:rFonts w:ascii="Times New Roman" w:hAnsi="Times New Roman" w:cs="Times New Roman"/>
          <w:i/>
          <w:iCs/>
        </w:rPr>
        <w:t>1. para las entidades regidas por la ley 21526 y sus modificaciones;</w:t>
      </w:r>
    </w:p>
    <w:p w14:paraId="2632F3B9" w14:textId="77777777" w:rsidR="00BA0F07" w:rsidRPr="00BA0F07" w:rsidRDefault="00BA0F07" w:rsidP="00BA0F07">
      <w:pPr>
        <w:ind w:left="426"/>
        <w:jc w:val="both"/>
        <w:rPr>
          <w:rFonts w:ascii="Times New Roman" w:hAnsi="Times New Roman" w:cs="Times New Roman"/>
          <w:i/>
          <w:iCs/>
        </w:rPr>
      </w:pPr>
      <w:r w:rsidRPr="00BA0F07">
        <w:rPr>
          <w:rFonts w:ascii="Times New Roman" w:hAnsi="Times New Roman" w:cs="Times New Roman"/>
          <w:i/>
          <w:iCs/>
        </w:rPr>
        <w:t>2. para los fideicomisos financieros constituidos conforme a las disposiciones de los artículos 1690 a 1692 del Código Civil y Comercial de la Nación;</w:t>
      </w:r>
    </w:p>
    <w:p w14:paraId="0BBCD315" w14:textId="77777777" w:rsidR="00BA0F07" w:rsidRPr="00BA0F07" w:rsidRDefault="00BA0F07" w:rsidP="00BA0F07">
      <w:pPr>
        <w:ind w:left="426"/>
        <w:jc w:val="both"/>
        <w:rPr>
          <w:rFonts w:ascii="Times New Roman" w:hAnsi="Times New Roman" w:cs="Times New Roman"/>
          <w:i/>
          <w:iCs/>
        </w:rPr>
      </w:pPr>
      <w:r w:rsidRPr="00BA0F07">
        <w:rPr>
          <w:rFonts w:ascii="Times New Roman" w:hAnsi="Times New Roman" w:cs="Times New Roman"/>
          <w:i/>
          <w:iCs/>
        </w:rPr>
        <w:t xml:space="preserve">3. para las empresas que tengan por objeto principal la celebración de contratos de leasing </w:t>
      </w:r>
      <w:proofErr w:type="spellStart"/>
      <w:r w:rsidRPr="00BA0F07">
        <w:rPr>
          <w:rFonts w:ascii="Times New Roman" w:hAnsi="Times New Roman" w:cs="Times New Roman"/>
          <w:i/>
          <w:iCs/>
        </w:rPr>
        <w:t>enlos</w:t>
      </w:r>
      <w:proofErr w:type="spellEnd"/>
      <w:r w:rsidRPr="00BA0F07">
        <w:rPr>
          <w:rFonts w:ascii="Times New Roman" w:hAnsi="Times New Roman" w:cs="Times New Roman"/>
          <w:i/>
          <w:iCs/>
        </w:rPr>
        <w:t xml:space="preserve"> términos, condiciones y requisitos establecidos por los artículos 1227 y siguientes del </w:t>
      </w:r>
      <w:proofErr w:type="spellStart"/>
      <w:r w:rsidRPr="00BA0F07">
        <w:rPr>
          <w:rFonts w:ascii="Times New Roman" w:hAnsi="Times New Roman" w:cs="Times New Roman"/>
          <w:i/>
          <w:iCs/>
        </w:rPr>
        <w:t>CódigoCivil</w:t>
      </w:r>
      <w:proofErr w:type="spellEnd"/>
      <w:r w:rsidRPr="00BA0F07">
        <w:rPr>
          <w:rFonts w:ascii="Times New Roman" w:hAnsi="Times New Roman" w:cs="Times New Roman"/>
          <w:i/>
          <w:iCs/>
        </w:rPr>
        <w:t xml:space="preserve"> y Comercial de la Nación y en forma secundaria realicen exclusivamente actividades financieras;</w:t>
      </w:r>
    </w:p>
    <w:p w14:paraId="65FA7C0E" w14:textId="77777777" w:rsidR="00BA0F07" w:rsidRPr="00BA0F07" w:rsidRDefault="00BA0F07" w:rsidP="00BA0F07">
      <w:pPr>
        <w:ind w:left="426"/>
        <w:jc w:val="both"/>
        <w:rPr>
          <w:rFonts w:ascii="Times New Roman" w:hAnsi="Times New Roman" w:cs="Times New Roman"/>
          <w:i/>
          <w:iCs/>
        </w:rPr>
      </w:pPr>
      <w:r w:rsidRPr="00BA0F07">
        <w:rPr>
          <w:rFonts w:ascii="Times New Roman" w:hAnsi="Times New Roman" w:cs="Times New Roman"/>
          <w:i/>
          <w:iCs/>
        </w:rPr>
        <w:t>4. por el monto de los intereses que no exceda el importe de los intereses activos;</w:t>
      </w:r>
    </w:p>
    <w:p w14:paraId="55762477" w14:textId="77777777" w:rsidR="00BA0F07" w:rsidRPr="00BA0F07" w:rsidRDefault="00BA0F07" w:rsidP="00BA0F07">
      <w:pPr>
        <w:ind w:left="426"/>
        <w:jc w:val="both"/>
        <w:rPr>
          <w:rFonts w:ascii="Times New Roman" w:hAnsi="Times New Roman" w:cs="Times New Roman"/>
          <w:i/>
          <w:iCs/>
        </w:rPr>
      </w:pPr>
      <w:r w:rsidRPr="00BA0F07">
        <w:rPr>
          <w:rFonts w:ascii="Times New Roman" w:hAnsi="Times New Roman" w:cs="Times New Roman"/>
          <w:i/>
          <w:iCs/>
        </w:rPr>
        <w:t xml:space="preserve">5. cuando se demuestre fehacientemente que, para un ejercicio fiscal, la relación entre los intereses sujetos a la limitación del cuarto párrafo de este inciso y la ganancia neta a la que allí se alude, resulta inferior o igual al ratio que, en ese ejercicio fiscal, el grupo económico al cual el sujeto en cuestión pertenece posee por pasivos contraídos con acreedores independientes y su ganancia neta, determinada de manera análoga a lo allí dispuesto, según los requisitos que establezca </w:t>
      </w:r>
      <w:proofErr w:type="spellStart"/>
      <w:r w:rsidRPr="00BA0F07">
        <w:rPr>
          <w:rFonts w:ascii="Times New Roman" w:hAnsi="Times New Roman" w:cs="Times New Roman"/>
          <w:i/>
          <w:iCs/>
        </w:rPr>
        <w:t>lareglamentación</w:t>
      </w:r>
      <w:proofErr w:type="spellEnd"/>
      <w:r w:rsidRPr="00BA0F07">
        <w:rPr>
          <w:rFonts w:ascii="Times New Roman" w:hAnsi="Times New Roman" w:cs="Times New Roman"/>
          <w:i/>
          <w:iCs/>
        </w:rPr>
        <w:t>; o</w:t>
      </w:r>
    </w:p>
    <w:p w14:paraId="304EE92E" w14:textId="33E82FAC" w:rsidR="00BA0F07" w:rsidRPr="00BA0F07" w:rsidRDefault="00BA0F07" w:rsidP="00BA0F07">
      <w:pPr>
        <w:ind w:left="426"/>
        <w:jc w:val="both"/>
        <w:rPr>
          <w:rFonts w:ascii="Times New Roman" w:hAnsi="Times New Roman" w:cs="Times New Roman"/>
          <w:i/>
          <w:iCs/>
        </w:rPr>
      </w:pPr>
      <w:r w:rsidRPr="00BA0F07">
        <w:rPr>
          <w:rFonts w:ascii="Times New Roman" w:hAnsi="Times New Roman" w:cs="Times New Roman"/>
          <w:i/>
          <w:iCs/>
        </w:rPr>
        <w:t>6. cuando se demuestre fehacientemente, conforme lo disponga la reglamentación, que el beneficiario de los intereses a los que alude dicho cuarto párrafo hubiera tributado efectivamente el impuesto respecto de tales rentas, con arreglo a lo dispuesto en esta ley.</w:t>
      </w:r>
    </w:p>
    <w:p w14:paraId="6420450D" w14:textId="6D799A38" w:rsidR="00BA0F07" w:rsidRPr="00BA0F07" w:rsidRDefault="00BA0F07" w:rsidP="00BA0F07">
      <w:pPr>
        <w:ind w:left="426"/>
        <w:jc w:val="both"/>
        <w:rPr>
          <w:rFonts w:ascii="Times New Roman" w:hAnsi="Times New Roman" w:cs="Times New Roman"/>
          <w:i/>
          <w:iCs/>
        </w:rPr>
      </w:pPr>
      <w:r w:rsidRPr="00BA0F07">
        <w:rPr>
          <w:rFonts w:ascii="Times New Roman" w:hAnsi="Times New Roman" w:cs="Times New Roman"/>
          <w:i/>
          <w:iCs/>
        </w:rPr>
        <w:t>Los intereses quedarán sujetos, en el momento del pago, a las normas de retención vigentes dictadas por la Administración Federal de Ingresos Públicos, con independencia de que resulten o no deducibles.</w:t>
      </w:r>
    </w:p>
    <w:p w14:paraId="4505F28B" w14:textId="77777777" w:rsidR="00BA0F07" w:rsidRPr="00BA0F07" w:rsidRDefault="00BA0F07" w:rsidP="00BA0F07">
      <w:pPr>
        <w:ind w:left="426"/>
        <w:jc w:val="both"/>
        <w:rPr>
          <w:rFonts w:ascii="Times New Roman" w:hAnsi="Times New Roman" w:cs="Times New Roman"/>
          <w:i/>
          <w:iCs/>
        </w:rPr>
      </w:pPr>
      <w:r w:rsidRPr="00BA0F07">
        <w:rPr>
          <w:rFonts w:ascii="Times New Roman" w:hAnsi="Times New Roman" w:cs="Times New Roman"/>
          <w:i/>
          <w:iCs/>
        </w:rPr>
        <w:t>A los fines previstos en los párrafos cuarto a séptimo de este inciso, el término “</w:t>
      </w:r>
      <w:proofErr w:type="spellStart"/>
      <w:proofErr w:type="gramStart"/>
      <w:r w:rsidRPr="00BA0F07">
        <w:rPr>
          <w:rFonts w:ascii="Times New Roman" w:hAnsi="Times New Roman" w:cs="Times New Roman"/>
          <w:i/>
          <w:iCs/>
        </w:rPr>
        <w:t>intereses”comprende</w:t>
      </w:r>
      <w:proofErr w:type="spellEnd"/>
      <w:proofErr w:type="gramEnd"/>
      <w:r w:rsidRPr="00BA0F07">
        <w:rPr>
          <w:rFonts w:ascii="Times New Roman" w:hAnsi="Times New Roman" w:cs="Times New Roman"/>
          <w:i/>
          <w:iCs/>
        </w:rPr>
        <w:t xml:space="preserve">, asimismo, las diferencias de cambio y, en su caso, actualizaciones, generadas por los pasivos que los originan, en la medida en que no resulte de aplicación el procedimiento previsto en </w:t>
      </w:r>
      <w:proofErr w:type="spellStart"/>
      <w:r w:rsidRPr="00BA0F07">
        <w:rPr>
          <w:rFonts w:ascii="Times New Roman" w:hAnsi="Times New Roman" w:cs="Times New Roman"/>
          <w:i/>
          <w:iCs/>
        </w:rPr>
        <w:t>elartículo</w:t>
      </w:r>
      <w:proofErr w:type="spellEnd"/>
      <w:r w:rsidRPr="00BA0F07">
        <w:rPr>
          <w:rFonts w:ascii="Times New Roman" w:hAnsi="Times New Roman" w:cs="Times New Roman"/>
          <w:i/>
          <w:iCs/>
        </w:rPr>
        <w:t xml:space="preserve"> 106 de esta ley, conforme lo dispuesto en su segundo párrafo. (...)</w:t>
      </w:r>
    </w:p>
    <w:p w14:paraId="3925A021" w14:textId="77777777" w:rsidR="00BA0F07" w:rsidRDefault="00BA0F07" w:rsidP="002A626A">
      <w:pPr>
        <w:jc w:val="both"/>
      </w:pPr>
    </w:p>
    <w:p w14:paraId="00B74EAF" w14:textId="351D1E71" w:rsidR="002A626A" w:rsidRDefault="002A626A" w:rsidP="002A626A">
      <w:pPr>
        <w:jc w:val="both"/>
      </w:pPr>
      <w:r>
        <w:t>De acuerdo con el artículo 85 a</w:t>
      </w:r>
      <w:r w:rsidR="006848F5">
        <w:t>)</w:t>
      </w:r>
      <w:r>
        <w:t xml:space="preserve">, </w:t>
      </w:r>
      <w:r w:rsidR="006848F5">
        <w:rPr>
          <w:b/>
          <w:bCs/>
        </w:rPr>
        <w:t>son deducibles</w:t>
      </w:r>
      <w:r w:rsidRPr="00754A44">
        <w:rPr>
          <w:b/>
          <w:bCs/>
        </w:rPr>
        <w:t xml:space="preserve"> los intereses y gastos de deuda, actualizaciones y gastos originados por la constitución, renovación y cancelación</w:t>
      </w:r>
      <w:r w:rsidR="006848F5">
        <w:rPr>
          <w:b/>
          <w:bCs/>
        </w:rPr>
        <w:t>; incluye las diferencias de cambio contabilizados por estos conceptos.</w:t>
      </w:r>
    </w:p>
    <w:p w14:paraId="135236EA" w14:textId="24785246" w:rsidR="002A626A" w:rsidRDefault="002A626A" w:rsidP="002A626A">
      <w:pPr>
        <w:jc w:val="both"/>
      </w:pPr>
      <w:r>
        <w:t>Se deducirán en el PF al que corresponda su imputación, salvo que se traten de las originadas por servicios y</w:t>
      </w:r>
      <w:r w:rsidR="0025198E">
        <w:t>/o</w:t>
      </w:r>
      <w:r>
        <w:t xml:space="preserve"> adquisición de bienes.</w:t>
      </w:r>
    </w:p>
    <w:p w14:paraId="54117058" w14:textId="14EF7E50" w:rsidR="002A626A" w:rsidRDefault="0025198E" w:rsidP="002A626A">
      <w:pPr>
        <w:jc w:val="both"/>
      </w:pPr>
      <w:r>
        <w:t>El límite para deducir</w:t>
      </w:r>
      <w:r w:rsidR="002A626A">
        <w:t xml:space="preserve"> será el monto anual que establezca el </w:t>
      </w:r>
      <w:r w:rsidR="006848F5">
        <w:t>Poder Ejecutivo</w:t>
      </w:r>
      <w:r w:rsidR="002A626A">
        <w:t xml:space="preserve"> o el equivalente al 30% de la ganancia neta del ejercicio previo a deducir los intereses y amortizaciones.</w:t>
      </w:r>
    </w:p>
    <w:p w14:paraId="3C0FD44C" w14:textId="77777777" w:rsidR="002A626A" w:rsidRPr="00E1776A" w:rsidRDefault="002A626A" w:rsidP="006848F5">
      <w:pPr>
        <w:pStyle w:val="ListParagraph"/>
        <w:numPr>
          <w:ilvl w:val="0"/>
          <w:numId w:val="12"/>
        </w:numPr>
        <w:jc w:val="both"/>
      </w:pPr>
      <w:r w:rsidRPr="006848F5">
        <w:rPr>
          <w:b/>
          <w:bCs/>
        </w:rPr>
        <w:t>ART. 192 D.R. -</w:t>
      </w:r>
      <w:r w:rsidRPr="00E1776A">
        <w:t xml:space="preserve"> A los fines de lo dispuesto en el cuarto párrafo del inciso a) del artículo 85 de la ley, </w:t>
      </w:r>
      <w:r w:rsidRPr="006848F5">
        <w:rPr>
          <w:b/>
          <w:bCs/>
        </w:rPr>
        <w:t>el monto anual a considerar por intereses es de $ 1.000.000.</w:t>
      </w:r>
      <w:r w:rsidRPr="00E1776A">
        <w:t xml:space="preserve"> </w:t>
      </w:r>
    </w:p>
    <w:p w14:paraId="46502E31" w14:textId="77777777" w:rsidR="002A626A" w:rsidRPr="00E1776A" w:rsidRDefault="002A626A" w:rsidP="006848F5">
      <w:pPr>
        <w:pStyle w:val="ListParagraph"/>
        <w:numPr>
          <w:ilvl w:val="0"/>
          <w:numId w:val="12"/>
        </w:numPr>
        <w:jc w:val="both"/>
      </w:pPr>
      <w:r w:rsidRPr="006848F5">
        <w:rPr>
          <w:b/>
          <w:bCs/>
        </w:rPr>
        <w:t xml:space="preserve">ART. 193 D.R. - Cuando la realidad económica indique que una deuda financiera ha sido encubierta, los intereses generados por esa deuda también deberán incluirse en la limitación </w:t>
      </w:r>
      <w:r w:rsidRPr="00E1776A">
        <w:t>prevista en el cuarto párrafo del inciso a) del artículo 85 de la ley.</w:t>
      </w:r>
    </w:p>
    <w:p w14:paraId="0D08EBB0" w14:textId="77777777" w:rsidR="002A626A" w:rsidRDefault="002A626A" w:rsidP="006848F5">
      <w:pPr>
        <w:pStyle w:val="ListParagraph"/>
        <w:numPr>
          <w:ilvl w:val="0"/>
          <w:numId w:val="12"/>
        </w:numPr>
        <w:jc w:val="both"/>
      </w:pPr>
      <w:r w:rsidRPr="00E1776A">
        <w:t xml:space="preserve">ART. 194 D.R. - La limitación contenida en el cuarto párrafo del inciso a) del artículo 85 de la ley aplica con respecto a los intereses, actualizaciones y diferencias de cambio devengados en el primer ejercicio iniciado a partir del </w:t>
      </w:r>
      <w:r>
        <w:t>01/01/</w:t>
      </w:r>
      <w:r w:rsidRPr="00E1776A">
        <w:t>2018, aunque se tratara de pasivos financieros existentes al cierre del ejercicio inmediato anterior a aquel.</w:t>
      </w:r>
    </w:p>
    <w:p w14:paraId="2A468945" w14:textId="77777777" w:rsidR="002A626A" w:rsidRDefault="002A626A" w:rsidP="002A626A">
      <w:pPr>
        <w:jc w:val="both"/>
      </w:pPr>
      <w:r w:rsidRPr="006848F5">
        <w:rPr>
          <w:b/>
          <w:bCs/>
        </w:rPr>
        <w:t>Se le podrá adicionar el excedente que se haya acumulado en los 3 ejercicios fiscales inmediatos anteriores,</w:t>
      </w:r>
      <w:r w:rsidRPr="00E1776A">
        <w:t xml:space="preserve"> por resultar inferior -en cualquiera de dichos períodos- el monto de los intereses efectivamente deducidos respecto del límite aplicable, en la medida que dicho excedente no hubiera sido aplicado con anterioridad.</w:t>
      </w:r>
    </w:p>
    <w:p w14:paraId="799EC3C1" w14:textId="3F8F0EBF" w:rsidR="00851EDB" w:rsidRDefault="002A626A" w:rsidP="00BA0F07">
      <w:pPr>
        <w:jc w:val="both"/>
      </w:pPr>
      <w:r w:rsidRPr="006848F5">
        <w:rPr>
          <w:b/>
          <w:bCs/>
        </w:rPr>
        <w:t xml:space="preserve">Los intereses que no hubieran podido deducirse, podrán adicionarse a aquellos correspondientes a los </w:t>
      </w:r>
      <w:r w:rsidR="00946871">
        <w:rPr>
          <w:b/>
          <w:bCs/>
        </w:rPr>
        <w:t>5</w:t>
      </w:r>
      <w:r w:rsidRPr="006848F5">
        <w:rPr>
          <w:b/>
          <w:bCs/>
        </w:rPr>
        <w:t xml:space="preserve"> ejercicios fiscales inmediatos siguientes.</w:t>
      </w:r>
    </w:p>
    <w:p w14:paraId="2122465E" w14:textId="77777777" w:rsidR="00851EDB" w:rsidRPr="00851EDB" w:rsidRDefault="00851EDB" w:rsidP="00851EDB">
      <w:pPr>
        <w:jc w:val="both"/>
      </w:pPr>
    </w:p>
    <w:sectPr w:rsidR="00851EDB" w:rsidRPr="00851EDB" w:rsidSect="000127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1407A"/>
    <w:multiLevelType w:val="hybridMultilevel"/>
    <w:tmpl w:val="ABDCAA6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 w15:restartNumberingAfterBreak="0">
    <w:nsid w:val="03D24033"/>
    <w:multiLevelType w:val="hybridMultilevel"/>
    <w:tmpl w:val="27A0675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 w15:restartNumberingAfterBreak="0">
    <w:nsid w:val="04EE4DCD"/>
    <w:multiLevelType w:val="hybridMultilevel"/>
    <w:tmpl w:val="FA9A705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 w15:restartNumberingAfterBreak="0">
    <w:nsid w:val="1F41335B"/>
    <w:multiLevelType w:val="hybridMultilevel"/>
    <w:tmpl w:val="ADF4E49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 w15:restartNumberingAfterBreak="0">
    <w:nsid w:val="30F27611"/>
    <w:multiLevelType w:val="hybridMultilevel"/>
    <w:tmpl w:val="6840F848"/>
    <w:lvl w:ilvl="0" w:tplc="E13C64AC">
      <w:start w:val="3"/>
      <w:numFmt w:val="bullet"/>
      <w:lvlText w:val="-"/>
      <w:lvlJc w:val="left"/>
      <w:pPr>
        <w:ind w:left="720" w:hanging="360"/>
      </w:pPr>
      <w:rPr>
        <w:rFonts w:ascii="Aptos" w:eastAsiaTheme="minorHAnsi" w:hAnsi="Aptos" w:cstheme="minorBidi"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 w15:restartNumberingAfterBreak="0">
    <w:nsid w:val="3FD8114D"/>
    <w:multiLevelType w:val="hybridMultilevel"/>
    <w:tmpl w:val="C2EAFC2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6" w15:restartNumberingAfterBreak="0">
    <w:nsid w:val="3FFF5705"/>
    <w:multiLevelType w:val="hybridMultilevel"/>
    <w:tmpl w:val="4772654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 w15:restartNumberingAfterBreak="0">
    <w:nsid w:val="459D6332"/>
    <w:multiLevelType w:val="hybridMultilevel"/>
    <w:tmpl w:val="9D9844C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 w15:restartNumberingAfterBreak="0">
    <w:nsid w:val="58D11988"/>
    <w:multiLevelType w:val="hybridMultilevel"/>
    <w:tmpl w:val="502C1BB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9" w15:restartNumberingAfterBreak="0">
    <w:nsid w:val="5FFF15B2"/>
    <w:multiLevelType w:val="hybridMultilevel"/>
    <w:tmpl w:val="F142FDF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0" w15:restartNumberingAfterBreak="0">
    <w:nsid w:val="655A6820"/>
    <w:multiLevelType w:val="hybridMultilevel"/>
    <w:tmpl w:val="AEFA2E3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1" w15:restartNumberingAfterBreak="0">
    <w:nsid w:val="70717219"/>
    <w:multiLevelType w:val="hybridMultilevel"/>
    <w:tmpl w:val="96A6CEE4"/>
    <w:lvl w:ilvl="0" w:tplc="E13C64AC">
      <w:start w:val="3"/>
      <w:numFmt w:val="bullet"/>
      <w:lvlText w:val="-"/>
      <w:lvlJc w:val="left"/>
      <w:pPr>
        <w:ind w:left="720" w:hanging="360"/>
      </w:pPr>
      <w:rPr>
        <w:rFonts w:ascii="Aptos" w:eastAsiaTheme="minorHAnsi" w:hAnsi="Aptos" w:cstheme="minorBidi"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1944993835">
    <w:abstractNumId w:val="1"/>
  </w:num>
  <w:num w:numId="2" w16cid:durableId="2038039467">
    <w:abstractNumId w:val="10"/>
  </w:num>
  <w:num w:numId="3" w16cid:durableId="614875183">
    <w:abstractNumId w:val="0"/>
  </w:num>
  <w:num w:numId="4" w16cid:durableId="1631203997">
    <w:abstractNumId w:val="9"/>
  </w:num>
  <w:num w:numId="5" w16cid:durableId="536088047">
    <w:abstractNumId w:val="7"/>
  </w:num>
  <w:num w:numId="6" w16cid:durableId="1055084250">
    <w:abstractNumId w:val="8"/>
  </w:num>
  <w:num w:numId="7" w16cid:durableId="336005607">
    <w:abstractNumId w:val="3"/>
  </w:num>
  <w:num w:numId="8" w16cid:durableId="560408518">
    <w:abstractNumId w:val="2"/>
  </w:num>
  <w:num w:numId="9" w16cid:durableId="1280332313">
    <w:abstractNumId w:val="5"/>
  </w:num>
  <w:num w:numId="10" w16cid:durableId="846557264">
    <w:abstractNumId w:val="11"/>
  </w:num>
  <w:num w:numId="11" w16cid:durableId="1076517568">
    <w:abstractNumId w:val="4"/>
  </w:num>
  <w:num w:numId="12" w16cid:durableId="1648288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AAB"/>
    <w:rsid w:val="00012772"/>
    <w:rsid w:val="00012C85"/>
    <w:rsid w:val="000D1AAB"/>
    <w:rsid w:val="000E7DF4"/>
    <w:rsid w:val="001873A7"/>
    <w:rsid w:val="001A1EFE"/>
    <w:rsid w:val="001B14B9"/>
    <w:rsid w:val="001E1056"/>
    <w:rsid w:val="001F62E9"/>
    <w:rsid w:val="001F6638"/>
    <w:rsid w:val="00214E81"/>
    <w:rsid w:val="0025017A"/>
    <w:rsid w:val="0025198E"/>
    <w:rsid w:val="00270AF5"/>
    <w:rsid w:val="00280BC9"/>
    <w:rsid w:val="002A626A"/>
    <w:rsid w:val="002C33FF"/>
    <w:rsid w:val="003300DA"/>
    <w:rsid w:val="00331DF4"/>
    <w:rsid w:val="00353DC4"/>
    <w:rsid w:val="00367293"/>
    <w:rsid w:val="0038477F"/>
    <w:rsid w:val="00392577"/>
    <w:rsid w:val="003E2263"/>
    <w:rsid w:val="003F2FE6"/>
    <w:rsid w:val="004124AD"/>
    <w:rsid w:val="00422518"/>
    <w:rsid w:val="0045324E"/>
    <w:rsid w:val="00480C4F"/>
    <w:rsid w:val="004C7DEF"/>
    <w:rsid w:val="004E6720"/>
    <w:rsid w:val="004F0DFD"/>
    <w:rsid w:val="005839BE"/>
    <w:rsid w:val="00583C55"/>
    <w:rsid w:val="005C3831"/>
    <w:rsid w:val="005C3CEF"/>
    <w:rsid w:val="005C5C2E"/>
    <w:rsid w:val="006618C4"/>
    <w:rsid w:val="0066385E"/>
    <w:rsid w:val="006848F5"/>
    <w:rsid w:val="006C49D4"/>
    <w:rsid w:val="007369F5"/>
    <w:rsid w:val="00754A44"/>
    <w:rsid w:val="00764FE2"/>
    <w:rsid w:val="007D4BB5"/>
    <w:rsid w:val="00807E19"/>
    <w:rsid w:val="00820F37"/>
    <w:rsid w:val="00842005"/>
    <w:rsid w:val="00851EDB"/>
    <w:rsid w:val="0085261F"/>
    <w:rsid w:val="008A733D"/>
    <w:rsid w:val="00946871"/>
    <w:rsid w:val="0095183D"/>
    <w:rsid w:val="00974E3D"/>
    <w:rsid w:val="0099014B"/>
    <w:rsid w:val="00995A94"/>
    <w:rsid w:val="009A34C9"/>
    <w:rsid w:val="009D4CCE"/>
    <w:rsid w:val="009F071E"/>
    <w:rsid w:val="00A43EA0"/>
    <w:rsid w:val="00AB4E4B"/>
    <w:rsid w:val="00AE18F5"/>
    <w:rsid w:val="00B2263D"/>
    <w:rsid w:val="00B57A21"/>
    <w:rsid w:val="00B963AE"/>
    <w:rsid w:val="00BA0F07"/>
    <w:rsid w:val="00C07657"/>
    <w:rsid w:val="00C12B67"/>
    <w:rsid w:val="00C338EC"/>
    <w:rsid w:val="00C40902"/>
    <w:rsid w:val="00C66FBD"/>
    <w:rsid w:val="00C971DC"/>
    <w:rsid w:val="00D228EF"/>
    <w:rsid w:val="00DA706E"/>
    <w:rsid w:val="00DC0322"/>
    <w:rsid w:val="00DD30AD"/>
    <w:rsid w:val="00DD39F3"/>
    <w:rsid w:val="00DE0406"/>
    <w:rsid w:val="00E06B01"/>
    <w:rsid w:val="00E1776A"/>
    <w:rsid w:val="00E63A7F"/>
    <w:rsid w:val="00EA2FEF"/>
    <w:rsid w:val="00EF783A"/>
    <w:rsid w:val="00F330FC"/>
    <w:rsid w:val="00F864D0"/>
    <w:rsid w:val="00FC41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CFCBD"/>
  <w15:chartTrackingRefBased/>
  <w15:docId w15:val="{C80C4644-2A1B-4D61-BC37-2C4DFC879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1A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1A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1A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1A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1A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1A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1A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1A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1A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A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1A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1A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1A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1A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1A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A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A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AAB"/>
    <w:rPr>
      <w:rFonts w:eastAsiaTheme="majorEastAsia" w:cstheme="majorBidi"/>
      <w:color w:val="272727" w:themeColor="text1" w:themeTint="D8"/>
    </w:rPr>
  </w:style>
  <w:style w:type="paragraph" w:styleId="Title">
    <w:name w:val="Title"/>
    <w:basedOn w:val="Normal"/>
    <w:next w:val="Normal"/>
    <w:link w:val="TitleChar"/>
    <w:uiPriority w:val="10"/>
    <w:qFormat/>
    <w:rsid w:val="000D1A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A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A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A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AAB"/>
    <w:pPr>
      <w:spacing w:before="160"/>
      <w:jc w:val="center"/>
    </w:pPr>
    <w:rPr>
      <w:i/>
      <w:iCs/>
      <w:color w:val="404040" w:themeColor="text1" w:themeTint="BF"/>
    </w:rPr>
  </w:style>
  <w:style w:type="character" w:customStyle="1" w:styleId="QuoteChar">
    <w:name w:val="Quote Char"/>
    <w:basedOn w:val="DefaultParagraphFont"/>
    <w:link w:val="Quote"/>
    <w:uiPriority w:val="29"/>
    <w:rsid w:val="000D1AAB"/>
    <w:rPr>
      <w:i/>
      <w:iCs/>
      <w:color w:val="404040" w:themeColor="text1" w:themeTint="BF"/>
    </w:rPr>
  </w:style>
  <w:style w:type="paragraph" w:styleId="ListParagraph">
    <w:name w:val="List Paragraph"/>
    <w:basedOn w:val="Normal"/>
    <w:uiPriority w:val="34"/>
    <w:qFormat/>
    <w:rsid w:val="000D1AAB"/>
    <w:pPr>
      <w:ind w:left="720"/>
      <w:contextualSpacing/>
    </w:pPr>
  </w:style>
  <w:style w:type="character" w:styleId="IntenseEmphasis">
    <w:name w:val="Intense Emphasis"/>
    <w:basedOn w:val="DefaultParagraphFont"/>
    <w:uiPriority w:val="21"/>
    <w:qFormat/>
    <w:rsid w:val="000D1AAB"/>
    <w:rPr>
      <w:i/>
      <w:iCs/>
      <w:color w:val="0F4761" w:themeColor="accent1" w:themeShade="BF"/>
    </w:rPr>
  </w:style>
  <w:style w:type="paragraph" w:styleId="IntenseQuote">
    <w:name w:val="Intense Quote"/>
    <w:basedOn w:val="Normal"/>
    <w:next w:val="Normal"/>
    <w:link w:val="IntenseQuoteChar"/>
    <w:uiPriority w:val="30"/>
    <w:qFormat/>
    <w:rsid w:val="000D1A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1AAB"/>
    <w:rPr>
      <w:i/>
      <w:iCs/>
      <w:color w:val="0F4761" w:themeColor="accent1" w:themeShade="BF"/>
    </w:rPr>
  </w:style>
  <w:style w:type="character" w:styleId="IntenseReference">
    <w:name w:val="Intense Reference"/>
    <w:basedOn w:val="DefaultParagraphFont"/>
    <w:uiPriority w:val="32"/>
    <w:qFormat/>
    <w:rsid w:val="000D1A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952407">
      <w:bodyDiv w:val="1"/>
      <w:marLeft w:val="0"/>
      <w:marRight w:val="0"/>
      <w:marTop w:val="0"/>
      <w:marBottom w:val="0"/>
      <w:divBdr>
        <w:top w:val="none" w:sz="0" w:space="0" w:color="auto"/>
        <w:left w:val="none" w:sz="0" w:space="0" w:color="auto"/>
        <w:bottom w:val="none" w:sz="0" w:space="0" w:color="auto"/>
        <w:right w:val="none" w:sz="0" w:space="0" w:color="auto"/>
      </w:divBdr>
    </w:div>
    <w:div w:id="714963747">
      <w:bodyDiv w:val="1"/>
      <w:marLeft w:val="0"/>
      <w:marRight w:val="0"/>
      <w:marTop w:val="0"/>
      <w:marBottom w:val="0"/>
      <w:divBdr>
        <w:top w:val="none" w:sz="0" w:space="0" w:color="auto"/>
        <w:left w:val="none" w:sz="0" w:space="0" w:color="auto"/>
        <w:bottom w:val="none" w:sz="0" w:space="0" w:color="auto"/>
        <w:right w:val="none" w:sz="0" w:space="0" w:color="auto"/>
      </w:divBdr>
    </w:div>
    <w:div w:id="982544373">
      <w:bodyDiv w:val="1"/>
      <w:marLeft w:val="0"/>
      <w:marRight w:val="0"/>
      <w:marTop w:val="0"/>
      <w:marBottom w:val="0"/>
      <w:divBdr>
        <w:top w:val="none" w:sz="0" w:space="0" w:color="auto"/>
        <w:left w:val="none" w:sz="0" w:space="0" w:color="auto"/>
        <w:bottom w:val="none" w:sz="0" w:space="0" w:color="auto"/>
        <w:right w:val="none" w:sz="0" w:space="0" w:color="auto"/>
      </w:divBdr>
    </w:div>
    <w:div w:id="1418790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374</TotalTime>
  <Pages>5</Pages>
  <Words>2113</Words>
  <Characters>11623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Carrizo, Rodrigo</dc:creator>
  <cp:keywords/>
  <dc:description/>
  <cp:lastModifiedBy>Carrizo, Rodrigo</cp:lastModifiedBy>
  <cp:revision>5</cp:revision>
  <dcterms:created xsi:type="dcterms:W3CDTF">2026-07-16T17:34:00Z</dcterms:created>
  <dcterms:modified xsi:type="dcterms:W3CDTF">2026-07-16T22:16:00Z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2024-10-21T12:55:42Z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cd7fcb91-4a84-430c-9ba9-afff6c8bfd3a</vt:lpwstr>
  </property>
  <property fmtid="{D5CDD505-2E9C-101B-9397-08002B2CF9AE}" pid="8" name="MSIP_Label_ea60d57e-af5b-4752-ac57-3e4f28ca11dc_ContentBits">
    <vt:lpwstr>0</vt:lpwstr>
  </property>
</Properties>
</file>