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1F3864"/>
          <w:sz w:val="44"/>
          <w:szCs w:val="44"/>
        </w:rPr>
        <w:t xml:space="preserve">RESUMEN EJECUTIVO</w:t>
      </w:r>
    </w:p>
    <w:p>
      <w:pPr>
        <w:spacing w:after="60"/>
        <w:jc w:val="center"/>
      </w:pPr>
      <w:r>
        <w:rPr>
          <w:b/>
          <w:bCs/>
          <w:color w:val="9C6B1F"/>
          <w:sz w:val="30"/>
          <w:szCs w:val="30"/>
        </w:rPr>
        <w:t xml:space="preserve">Oferta Irrevocable y Contrato de Compraventa de Acciones</w:t>
      </w:r>
    </w:p>
    <w:p>
      <w:pPr>
        <w:spacing w:after="60"/>
        <w:jc w:val="center"/>
      </w:pPr>
      <w:r>
        <w:rPr>
          <w:color w:val="595959"/>
          <w:sz w:val="24"/>
          <w:szCs w:val="24"/>
        </w:rPr>
        <w:t xml:space="preserve">CDIMEX S.A.  —  Oferta N° CCA GB-CDMX N° 001/2025</w:t>
      </w:r>
    </w:p>
    <w:p>
      <w:pPr>
        <w:spacing w:after="500"/>
        <w:jc w:val="center"/>
      </w:pPr>
      <w:r>
        <w:rPr>
          <w:i/>
          <w:iCs/>
          <w:color w:val="595959"/>
          <w:sz w:val="19"/>
          <w:szCs w:val="19"/>
        </w:rPr>
        <w:t xml:space="preserve">Documento fuente: 3a_CCA_GB_CDMX (firmado).pdf — 248 páginas</w:t>
      </w:r>
    </w:p>
    <w:p>
      <w:pPr>
        <w:pStyle w:val="Heading1"/>
        <w:pBdr>
          <w:bottom w:val="single" w:color="1F3864" w:sz="6" w:space="4"/>
        </w:pBdr>
        <w:spacing w:after="160" w:before="360"/>
      </w:pPr>
      <w:r>
        <w:rPr>
          <w:b/>
          <w:bCs/>
          <w:color w:val="1F3864"/>
          <w:sz w:val="28"/>
          <w:szCs w:val="28"/>
        </w:rPr>
        <w:t xml:space="preserve">1. Información General del Documento</w:t>
      </w:r>
    </w:p>
    <w:p>
      <w:pPr>
        <w:spacing w:after="100" w:line="280"/>
      </w:pPr>
      <w:r>
        <w:rPr>
          <w:b/>
          <w:bCs/>
          <w:sz w:val="21"/>
          <w:szCs w:val="21"/>
        </w:rPr>
        <w:t xml:space="preserve">Tipo de instrumento: </w:t>
      </w:r>
      <w:r>
        <w:rPr>
          <w:sz w:val="21"/>
          <w:szCs w:val="21"/>
        </w:rPr>
        <w:t xml:space="preserve">Oferta irrevocable de compra de acciones, que se perfecciona como Contrato de Compraventa de Acciones al ser aceptada, con sus Anexos (incluye Contrato de Prenda de Acciones, notificaciones societarias, documentación notarial y anexos declarativos/due diligence).</w:t>
      </w:r>
    </w:p>
    <w:p>
      <w:pPr>
        <w:spacing w:after="100" w:line="280"/>
      </w:pPr>
      <w:r>
        <w:rPr>
          <w:b/>
          <w:bCs/>
          <w:sz w:val="21"/>
          <w:szCs w:val="21"/>
        </w:rPr>
        <w:t xml:space="preserve">Fecha de la Oferta: </w:t>
      </w:r>
      <w:r>
        <w:rPr>
          <w:sz w:val="21"/>
          <w:szCs w:val="21"/>
        </w:rPr>
        <w:t xml:space="preserve">22 de agosto de 2025</w:t>
      </w:r>
    </w:p>
    <w:p>
      <w:pPr>
        <w:spacing w:after="100" w:line="280"/>
      </w:pPr>
      <w:r>
        <w:rPr>
          <w:b/>
          <w:bCs/>
          <w:sz w:val="21"/>
          <w:szCs w:val="21"/>
        </w:rPr>
        <w:t xml:space="preserve">Lugar: </w:t>
      </w:r>
      <w:r>
        <w:rPr>
          <w:sz w:val="21"/>
          <w:szCs w:val="21"/>
        </w:rPr>
        <w:t xml:space="preserve">Ciudad de Buenos Aires, República Argentina</w:t>
      </w:r>
    </w:p>
    <w:p>
      <w:pPr>
        <w:spacing w:after="100" w:line="280"/>
      </w:pPr>
      <w:r>
        <w:rPr>
          <w:b/>
          <w:bCs/>
          <w:sz w:val="21"/>
          <w:szCs w:val="21"/>
        </w:rPr>
        <w:t xml:space="preserve">Extensión: </w:t>
      </w:r>
      <w:r>
        <w:rPr>
          <w:sz w:val="21"/>
          <w:szCs w:val="21"/>
        </w:rPr>
        <w:t xml:space="preserve">248 páginas, documento escaneado y firmado</w:t>
      </w:r>
    </w:p>
    <w:p>
      <w:pPr>
        <w:spacing w:after="100" w:line="280"/>
      </w:pPr>
      <w:r>
        <w:rPr>
          <w:b/>
          <w:bCs/>
          <w:sz w:val="21"/>
          <w:szCs w:val="21"/>
        </w:rPr>
        <w:t xml:space="preserve">Referencia: </w:t>
      </w:r>
      <w:r>
        <w:rPr>
          <w:sz w:val="21"/>
          <w:szCs w:val="21"/>
        </w:rPr>
        <w:t xml:space="preserve">Oferta N° CCA GB-CDMX N° 001/2025</w:t>
      </w:r>
    </w:p>
    <w:p>
      <w:pPr>
        <w:spacing w:after="100" w:line="280"/>
      </w:pPr>
      <w:r>
        <w:rPr>
          <w:b/>
          <w:bCs/>
          <w:sz w:val="21"/>
          <w:szCs w:val="21"/>
        </w:rPr>
        <w:t xml:space="preserve">Objeto: </w:t>
      </w:r>
      <w:r>
        <w:rPr>
          <w:sz w:val="21"/>
          <w:szCs w:val="21"/>
        </w:rPr>
        <w:t xml:space="preserve">Compraventa del 100% de las acciones en circulación de CDIMEX S.A. (empresa de cosmética/perfumería con sede en Rafaela, Santa Fe), transferidas por los tres accionistas vendedores a dos compradores: Gabriel Ary Brener (10%) y New PGA S.R.L. (40%), sumando en conjunto el 50% del capital social.</w:t>
      </w:r>
    </w:p>
    <w:p>
      <w:pPr>
        <w:pStyle w:val="Heading1"/>
        <w:pBdr>
          <w:bottom w:val="single" w:color="1F3864" w:sz="6" w:space="4"/>
        </w:pBdr>
        <w:spacing w:after="160" w:before="360"/>
      </w:pPr>
      <w:r>
        <w:rPr>
          <w:b/>
          <w:bCs/>
          <w:color w:val="1F3864"/>
          <w:sz w:val="28"/>
          <w:szCs w:val="28"/>
        </w:rPr>
        <w:t xml:space="preserve">2. Partes Intervinientes</w:t>
      </w:r>
    </w:p>
    <w:p>
      <w:pPr>
        <w:pStyle w:val="Heading2"/>
        <w:spacing w:after="120" w:before="280"/>
      </w:pPr>
      <w:r>
        <w:rPr>
          <w:b/>
          <w:bCs/>
          <w:color w:val="9C6B1F"/>
          <w:sz w:val="24"/>
          <w:szCs w:val="24"/>
        </w:rPr>
        <w:t xml:space="preserve">2.1 Vendedores (accionistas de CDIMEX S.A.)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500"/>
        <w:gridCol w:w="2700"/>
      </w:tblGrid>
      <w:tr>
        <w:trPr>
          <w:tblHeader/>
        </w:trPr>
        <w:tc>
          <w:tcPr>
            <w:tcW w:type="dxa" w:w="3000"/>
            <w:shd w:fill="1F3864" w:val="clear"/>
            <w:tcMar>
              <w:top w:type="dxa" w:w="80"/>
              <w:left w:type="dxa" w:w="100"/>
              <w:bottom w:type="dxa" w:w="80"/>
              <w:right w:type="dxa" w:w="100"/>
            </w:tcMar>
          </w:tcPr>
          <w:p>
            <w:r>
              <w:rPr>
                <w:b/>
                <w:bCs/>
                <w:color w:val="FFFFFF"/>
                <w:sz w:val="19"/>
                <w:szCs w:val="19"/>
              </w:rPr>
              <w:t xml:space="preserve">Vendedor</w:t>
            </w:r>
          </w:p>
        </w:tc>
        <w:tc>
          <w:tcPr>
            <w:tcW w:type="dxa" w:w="1800"/>
            <w:shd w:fill="1F3864" w:val="clear"/>
            <w:tcMar>
              <w:top w:type="dxa" w:w="80"/>
              <w:left w:type="dxa" w:w="100"/>
              <w:bottom w:type="dxa" w:w="80"/>
              <w:right w:type="dxa" w:w="100"/>
            </w:tcMar>
          </w:tcPr>
          <w:p>
            <w:r>
              <w:rPr>
                <w:b/>
                <w:bCs/>
                <w:color w:val="FFFFFF"/>
                <w:sz w:val="19"/>
                <w:szCs w:val="19"/>
              </w:rPr>
              <w:t xml:space="preserve">DNI</w:t>
            </w:r>
          </w:p>
        </w:tc>
        <w:tc>
          <w:tcPr>
            <w:tcW w:type="dxa" w:w="1500"/>
            <w:shd w:fill="1F3864" w:val="clear"/>
            <w:tcMar>
              <w:top w:type="dxa" w:w="80"/>
              <w:left w:type="dxa" w:w="100"/>
              <w:bottom w:type="dxa" w:w="80"/>
              <w:right w:type="dxa" w:w="100"/>
            </w:tcMar>
          </w:tcPr>
          <w:p>
            <w:r>
              <w:rPr>
                <w:b/>
                <w:bCs/>
                <w:color w:val="FFFFFF"/>
                <w:sz w:val="19"/>
                <w:szCs w:val="19"/>
              </w:rPr>
              <w:t xml:space="preserve">% previo</w:t>
            </w:r>
          </w:p>
        </w:tc>
        <w:tc>
          <w:tcPr>
            <w:tcW w:type="dxa" w:w="2700"/>
            <w:shd w:fill="1F3864" w:val="clear"/>
            <w:tcMar>
              <w:top w:type="dxa" w:w="80"/>
              <w:left w:type="dxa" w:w="100"/>
              <w:bottom w:type="dxa" w:w="80"/>
              <w:right w:type="dxa" w:w="100"/>
            </w:tcMar>
          </w:tcPr>
          <w:p>
            <w:r>
              <w:rPr>
                <w:b/>
                <w:bCs/>
                <w:color w:val="FFFFFF"/>
                <w:sz w:val="19"/>
                <w:szCs w:val="19"/>
              </w:rPr>
              <w:t xml:space="preserve">Estado civil / domicilio</w:t>
            </w:r>
          </w:p>
        </w:tc>
      </w:tr>
      <w:tr>
        <w:tc>
          <w:tcPr>
            <w:tcW w:type="dxa" w:w="3000"/>
            <w:tcMar>
              <w:top w:type="dxa" w:w="60"/>
              <w:left w:type="dxa" w:w="100"/>
              <w:bottom w:type="dxa" w:w="60"/>
              <w:right w:type="dxa" w:w="100"/>
            </w:tcMar>
          </w:tcPr>
          <w:p>
            <w:r>
              <w:rPr>
                <w:sz w:val="19"/>
                <w:szCs w:val="19"/>
              </w:rPr>
              <w:t xml:space="preserve">Diego Aldo Cortassa</w:t>
            </w:r>
          </w:p>
        </w:tc>
        <w:tc>
          <w:tcPr>
            <w:tcW w:type="dxa" w:w="1800"/>
            <w:tcMar>
              <w:top w:type="dxa" w:w="60"/>
              <w:left w:type="dxa" w:w="100"/>
              <w:bottom w:type="dxa" w:w="60"/>
              <w:right w:type="dxa" w:w="100"/>
            </w:tcMar>
          </w:tcPr>
          <w:p>
            <w:r>
              <w:rPr>
                <w:sz w:val="19"/>
                <w:szCs w:val="19"/>
              </w:rPr>
              <w:t xml:space="preserve">14.653.534</w:t>
            </w:r>
          </w:p>
        </w:tc>
        <w:tc>
          <w:tcPr>
            <w:tcW w:type="dxa" w:w="1500"/>
            <w:tcMar>
              <w:top w:type="dxa" w:w="60"/>
              <w:left w:type="dxa" w:w="100"/>
              <w:bottom w:type="dxa" w:w="60"/>
              <w:right w:type="dxa" w:w="100"/>
            </w:tcMar>
          </w:tcPr>
          <w:p>
            <w:r>
              <w:rPr>
                <w:sz w:val="19"/>
                <w:szCs w:val="19"/>
              </w:rPr>
              <w:t xml:space="preserve">46,50%</w:t>
            </w:r>
          </w:p>
        </w:tc>
        <w:tc>
          <w:tcPr>
            <w:tcW w:type="dxa" w:w="2700"/>
            <w:tcMar>
              <w:top w:type="dxa" w:w="60"/>
              <w:left w:type="dxa" w:w="100"/>
              <w:bottom w:type="dxa" w:w="60"/>
              <w:right w:type="dxa" w:w="100"/>
            </w:tcMar>
          </w:tcPr>
          <w:p>
            <w:r>
              <w:rPr>
                <w:sz w:val="19"/>
                <w:szCs w:val="19"/>
              </w:rPr>
              <w:t xml:space="preserve">Casado (asentimiento conyugal de María Alejandra Rico) — Rafaela, Santa Fe</w:t>
            </w:r>
          </w:p>
        </w:tc>
      </w:tr>
      <w:tr>
        <w:tc>
          <w:tcPr>
            <w:tcW w:type="dxa" w:w="3000"/>
            <w:tcMar>
              <w:top w:type="dxa" w:w="60"/>
              <w:left w:type="dxa" w:w="100"/>
              <w:bottom w:type="dxa" w:w="60"/>
              <w:right w:type="dxa" w:w="100"/>
            </w:tcMar>
          </w:tcPr>
          <w:p>
            <w:r>
              <w:rPr>
                <w:sz w:val="19"/>
                <w:szCs w:val="19"/>
              </w:rPr>
              <w:t xml:space="preserve">Darío Sebastián Cortassa</w:t>
            </w:r>
          </w:p>
        </w:tc>
        <w:tc>
          <w:tcPr>
            <w:tcW w:type="dxa" w:w="1800"/>
            <w:tcMar>
              <w:top w:type="dxa" w:w="60"/>
              <w:left w:type="dxa" w:w="100"/>
              <w:bottom w:type="dxa" w:w="60"/>
              <w:right w:type="dxa" w:w="100"/>
            </w:tcMar>
          </w:tcPr>
          <w:p>
            <w:r>
              <w:rPr>
                <w:sz w:val="19"/>
                <w:szCs w:val="19"/>
              </w:rPr>
              <w:t xml:space="preserve">27.781.654</w:t>
            </w:r>
          </w:p>
        </w:tc>
        <w:tc>
          <w:tcPr>
            <w:tcW w:type="dxa" w:w="1500"/>
            <w:tcMar>
              <w:top w:type="dxa" w:w="60"/>
              <w:left w:type="dxa" w:w="100"/>
              <w:bottom w:type="dxa" w:w="60"/>
              <w:right w:type="dxa" w:w="100"/>
            </w:tcMar>
          </w:tcPr>
          <w:p>
            <w:r>
              <w:rPr>
                <w:sz w:val="19"/>
                <w:szCs w:val="19"/>
              </w:rPr>
              <w:t xml:space="preserve">46,50%</w:t>
            </w:r>
          </w:p>
        </w:tc>
        <w:tc>
          <w:tcPr>
            <w:tcW w:type="dxa" w:w="2700"/>
            <w:tcMar>
              <w:top w:type="dxa" w:w="60"/>
              <w:left w:type="dxa" w:w="100"/>
              <w:bottom w:type="dxa" w:w="60"/>
              <w:right w:type="dxa" w:w="100"/>
            </w:tcMar>
          </w:tcPr>
          <w:p>
            <w:r>
              <w:rPr>
                <w:sz w:val="19"/>
                <w:szCs w:val="19"/>
              </w:rPr>
              <w:t xml:space="preserve">Casado — acciones declaradas como bien propio preexistente — Rafaela, Santa Fe</w:t>
            </w:r>
          </w:p>
        </w:tc>
      </w:tr>
      <w:tr>
        <w:tc>
          <w:tcPr>
            <w:tcW w:type="dxa" w:w="3000"/>
            <w:tcMar>
              <w:top w:type="dxa" w:w="60"/>
              <w:left w:type="dxa" w:w="100"/>
              <w:bottom w:type="dxa" w:w="60"/>
              <w:right w:type="dxa" w:w="100"/>
            </w:tcMar>
          </w:tcPr>
          <w:p>
            <w:r>
              <w:rPr>
                <w:sz w:val="19"/>
                <w:szCs w:val="19"/>
              </w:rPr>
              <w:t xml:space="preserve">Franco Cortassa</w:t>
            </w:r>
          </w:p>
        </w:tc>
        <w:tc>
          <w:tcPr>
            <w:tcW w:type="dxa" w:w="1800"/>
            <w:tcMar>
              <w:top w:type="dxa" w:w="60"/>
              <w:left w:type="dxa" w:w="100"/>
              <w:bottom w:type="dxa" w:w="60"/>
              <w:right w:type="dxa" w:w="100"/>
            </w:tcMar>
          </w:tcPr>
          <w:p>
            <w:r>
              <w:rPr>
                <w:sz w:val="19"/>
                <w:szCs w:val="19"/>
              </w:rPr>
              <w:t xml:space="preserve">35.953.543</w:t>
            </w:r>
          </w:p>
        </w:tc>
        <w:tc>
          <w:tcPr>
            <w:tcW w:type="dxa" w:w="1500"/>
            <w:tcMar>
              <w:top w:type="dxa" w:w="60"/>
              <w:left w:type="dxa" w:w="100"/>
              <w:bottom w:type="dxa" w:w="60"/>
              <w:right w:type="dxa" w:w="100"/>
            </w:tcMar>
          </w:tcPr>
          <w:p>
            <w:r>
              <w:rPr>
                <w:sz w:val="19"/>
                <w:szCs w:val="19"/>
              </w:rPr>
              <w:t xml:space="preserve">7,00%</w:t>
            </w:r>
          </w:p>
        </w:tc>
        <w:tc>
          <w:tcPr>
            <w:tcW w:type="dxa" w:w="2700"/>
            <w:tcMar>
              <w:top w:type="dxa" w:w="60"/>
              <w:left w:type="dxa" w:w="100"/>
              <w:bottom w:type="dxa" w:w="60"/>
              <w:right w:type="dxa" w:w="100"/>
            </w:tcMar>
          </w:tcPr>
          <w:p>
            <w:r>
              <w:rPr>
                <w:sz w:val="19"/>
                <w:szCs w:val="19"/>
              </w:rPr>
              <w:t xml:space="preserve">Soltero — Rafaela, Santa Fe</w:t>
            </w:r>
          </w:p>
        </w:tc>
      </w:tr>
    </w:tbl>
    <w:p/>
    <w:p>
      <w:pPr>
        <w:pStyle w:val="Heading2"/>
        <w:spacing w:after="120" w:before="280"/>
      </w:pPr>
      <w:r>
        <w:rPr>
          <w:b/>
          <w:bCs/>
          <w:color w:val="9C6B1F"/>
          <w:sz w:val="24"/>
          <w:szCs w:val="24"/>
        </w:rPr>
        <w:t xml:space="preserve">2.2 Compradores</w:t>
      </w:r>
    </w:p>
    <w:p>
      <w:pPr>
        <w:pStyle w:val="ListParagraph"/>
        <w:numPr>
          <w:ilvl w:val="0"/>
          <w:numId w:val="2"/>
        </w:numPr>
        <w:spacing w:after="80" w:line="280"/>
      </w:pPr>
      <w:r>
        <w:rPr>
          <w:sz w:val="21"/>
          <w:szCs w:val="21"/>
        </w:rPr>
        <w:t xml:space="preserve">Gabriel Ary Brener — DNI 18.758.986, persona humana, domicilio en Av. Libertador 2960, piso 11-E, CABA. Adquiere el 10% del capital social (2.000 acciones).</w:t>
      </w:r>
    </w:p>
    <w:p>
      <w:pPr>
        <w:pStyle w:val="ListParagraph"/>
        <w:numPr>
          <w:ilvl w:val="0"/>
          <w:numId w:val="2"/>
        </w:numPr>
        <w:spacing w:after="80" w:line="280"/>
      </w:pPr>
      <w:r>
        <w:rPr>
          <w:sz w:val="21"/>
          <w:szCs w:val="21"/>
        </w:rPr>
        <w:t xml:space="preserve">New PGA S.R.L. — CUIT 30-61526545-0, con domicilio en Villa Mercedes, Provincia de San Luis. Adquiere el 40% del capital social (8.000 acciones) y actúa además como "Acreedor" (parte garantizada) en el Contrato de Prenda de Acciones.</w:t>
      </w:r>
    </w:p>
    <w:p>
      <w:pPr>
        <w:spacing w:after="140" w:line="300"/>
      </w:pPr>
      <w:r>
        <w:rPr>
          <w:sz w:val="21"/>
          <w:szCs w:val="21"/>
        </w:rPr>
        <w:t xml:space="preserve">El Contrato firmado como Anexo I identifica a Gabriel Ary Brener como único "Comprador" formal de la Oferta (10%), pero el Acta de Directorio N° 72 de CDIMEX S.A. (Anexo 3.2(b)) documenta que, el mismo día, los tres Vendedores también transfirieron un 40% adicional a New PGA S.R.L., totalizando la venta del 50% del capital social. El Contrato de Prenda de Acciones (Anexo I de la Notificación de Aceptación) sugiere una vinculación entre ambos compradores (posible grupo económico; se menciona además el "Grupo Newsan" en la cláusula de cesión del Contrato).</w:t>
      </w:r>
    </w:p>
    <w:p>
      <w:pPr>
        <w:pStyle w:val="Heading2"/>
        <w:spacing w:after="120" w:before="280"/>
      </w:pPr>
      <w:r>
        <w:rPr>
          <w:b/>
          <w:bCs/>
          <w:color w:val="9C6B1F"/>
          <w:sz w:val="24"/>
          <w:szCs w:val="24"/>
        </w:rPr>
        <w:t xml:space="preserve">2.3 Sociedad objeto de la transacción</w:t>
      </w:r>
    </w:p>
    <w:p>
      <w:pPr>
        <w:spacing w:after="100" w:line="280"/>
      </w:pPr>
      <w:r>
        <w:rPr>
          <w:b/>
          <w:bCs/>
          <w:sz w:val="21"/>
          <w:szCs w:val="21"/>
        </w:rPr>
        <w:t xml:space="preserve">Razón social: </w:t>
      </w:r>
      <w:r>
        <w:rPr>
          <w:sz w:val="21"/>
          <w:szCs w:val="21"/>
        </w:rPr>
        <w:t xml:space="preserve">CDIMEX S.A., CUIT 30-71131448-9</w:t>
      </w:r>
    </w:p>
    <w:p>
      <w:pPr>
        <w:spacing w:after="100" w:line="280"/>
      </w:pPr>
      <w:r>
        <w:rPr>
          <w:b/>
          <w:bCs/>
          <w:sz w:val="21"/>
          <w:szCs w:val="21"/>
        </w:rPr>
        <w:t xml:space="preserve">Domicilio legal: </w:t>
      </w:r>
      <w:r>
        <w:rPr>
          <w:sz w:val="21"/>
          <w:szCs w:val="21"/>
        </w:rPr>
        <w:t xml:space="preserve">Av. Suipacha 897, Ciudad de Rafaela, Provincia de Santa Fe</w:t>
      </w:r>
    </w:p>
    <w:p>
      <w:pPr>
        <w:spacing w:after="100" w:line="280"/>
      </w:pPr>
      <w:r>
        <w:rPr>
          <w:b/>
          <w:bCs/>
          <w:sz w:val="21"/>
          <w:szCs w:val="21"/>
        </w:rPr>
        <w:t xml:space="preserve">Constitución: </w:t>
      </w:r>
      <w:r>
        <w:rPr>
          <w:sz w:val="21"/>
          <w:szCs w:val="21"/>
        </w:rPr>
        <w:t xml:space="preserve">1 de febrero de 2010; inscripta el 27/09/2010, Legajo 1864, Folio 312, Libro III</w:t>
      </w:r>
    </w:p>
    <w:p>
      <w:pPr>
        <w:spacing w:after="100" w:line="280"/>
      </w:pPr>
      <w:r>
        <w:rPr>
          <w:b/>
          <w:bCs/>
          <w:sz w:val="21"/>
          <w:szCs w:val="21"/>
        </w:rPr>
        <w:t xml:space="preserve">Capital social: </w:t>
      </w:r>
      <w:r>
        <w:rPr>
          <w:sz w:val="21"/>
          <w:szCs w:val="21"/>
        </w:rPr>
        <w:t xml:space="preserve">AR$ 200.000, representado por 20.000 acciones ordinarias nominativas no endosables de $10 valor nominal c/u, 1 voto por acción</w:t>
      </w:r>
    </w:p>
    <w:p>
      <w:pPr>
        <w:spacing w:after="100" w:line="280"/>
      </w:pPr>
      <w:r>
        <w:rPr>
          <w:b/>
          <w:bCs/>
          <w:sz w:val="21"/>
          <w:szCs w:val="21"/>
        </w:rPr>
        <w:t xml:space="preserve">Actividad: </w:t>
      </w:r>
      <w:r>
        <w:rPr>
          <w:sz w:val="21"/>
          <w:szCs w:val="21"/>
        </w:rPr>
        <w:t xml:space="preserve">Producción, distribución y comercialización de fragancias, maquillaje, body &amp; skin care, sun care, home, beauty tools y accesorios relacionados (segmentos masivo, semiselectivo/life-style y lujo)</w:t>
      </w:r>
    </w:p>
    <w:p>
      <w:pPr>
        <w:spacing w:after="100" w:line="280"/>
      </w:pPr>
      <w:r>
        <w:rPr>
          <w:b/>
          <w:bCs/>
          <w:sz w:val="21"/>
          <w:szCs w:val="21"/>
        </w:rPr>
        <w:t xml:space="preserve">Vencimiento del contrato social: </w:t>
      </w:r>
      <w:r>
        <w:rPr>
          <w:sz w:val="21"/>
          <w:szCs w:val="21"/>
        </w:rPr>
        <w:t xml:space="preserve">27 de septiembre de 2060</w:t>
      </w:r>
    </w:p>
    <w:p>
      <w:pPr>
        <w:pStyle w:val="Heading2"/>
        <w:spacing w:after="120" w:before="280"/>
      </w:pPr>
      <w:r>
        <w:rPr>
          <w:b/>
          <w:bCs/>
          <w:color w:val="9C6B1F"/>
          <w:sz w:val="24"/>
          <w:szCs w:val="24"/>
        </w:rPr>
        <w:t xml:space="preserve">2.4 Otras personas mencionadas</w:t>
      </w:r>
    </w:p>
    <w:p>
      <w:pPr>
        <w:pStyle w:val="ListParagraph"/>
        <w:numPr>
          <w:ilvl w:val="0"/>
          <w:numId w:val="2"/>
        </w:numPr>
        <w:spacing w:after="80" w:line="280"/>
      </w:pPr>
      <w:r>
        <w:rPr>
          <w:sz w:val="21"/>
          <w:szCs w:val="21"/>
        </w:rPr>
        <w:t xml:space="preserve">María Alejandra Rico (DNI 17.514.905) — cónyuge de Diego Cortassa, presta asentimiento conyugal.</w:t>
      </w:r>
    </w:p>
    <w:p>
      <w:pPr>
        <w:pStyle w:val="ListParagraph"/>
        <w:numPr>
          <w:ilvl w:val="0"/>
          <w:numId w:val="2"/>
        </w:numPr>
        <w:spacing w:after="80" w:line="280"/>
      </w:pPr>
      <w:r>
        <w:rPr>
          <w:sz w:val="21"/>
          <w:szCs w:val="21"/>
        </w:rPr>
        <w:t xml:space="preserve">Virginia Alberto, Diego Chighizola y Delfina Majdalani — autorizados a inicializar las hojas anexas a la Oferta.</w:t>
      </w:r>
    </w:p>
    <w:p>
      <w:pPr>
        <w:pStyle w:val="ListParagraph"/>
        <w:numPr>
          <w:ilvl w:val="0"/>
          <w:numId w:val="2"/>
        </w:numPr>
        <w:spacing w:after="80" w:line="280"/>
      </w:pPr>
      <w:r>
        <w:rPr>
          <w:sz w:val="21"/>
          <w:szCs w:val="21"/>
        </w:rPr>
        <w:t xml:space="preserve">David Carlos Berger (Contador Público, CPCESF Mat. 14.541, Estudio Rivarossa y Asoc.) — auditor externo de los estados contables de CDIMEX S.A.</w:t>
      </w:r>
    </w:p>
    <w:p>
      <w:pPr>
        <w:pStyle w:val="Heading1"/>
        <w:pBdr>
          <w:bottom w:val="single" w:color="1F3864" w:sz="6" w:space="4"/>
        </w:pBdr>
        <w:spacing w:after="160" w:before="360"/>
      </w:pPr>
      <w:r>
        <w:rPr>
          <w:b/>
          <w:bCs/>
          <w:color w:val="1F3864"/>
          <w:sz w:val="28"/>
          <w:szCs w:val="28"/>
        </w:rPr>
        <w:t xml:space="preserve">3. Estructura del Documento (mapa de 248 páginas)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3800"/>
      </w:tblGrid>
      <w:tr>
        <w:trPr>
          <w:tblHeader/>
        </w:trPr>
        <w:tc>
          <w:tcPr>
            <w:tcW w:type="dxa" w:w="3600"/>
            <w:shd w:fill="1F3864" w:val="clear"/>
            <w:tcMar>
              <w:top w:type="dxa" w:w="80"/>
              <w:left w:type="dxa" w:w="100"/>
              <w:bottom w:type="dxa" w:w="80"/>
              <w:right w:type="dxa" w:w="100"/>
            </w:tcMar>
          </w:tcPr>
          <w:p>
            <w:r>
              <w:rPr>
                <w:b/>
                <w:bCs/>
                <w:color w:val="FFFFFF"/>
                <w:sz w:val="19"/>
                <w:szCs w:val="19"/>
              </w:rPr>
              <w:t xml:space="preserve">Sección</w:t>
            </w:r>
          </w:p>
        </w:tc>
        <w:tc>
          <w:tcPr>
            <w:tcW w:type="dxa" w:w="1600"/>
            <w:shd w:fill="1F3864" w:val="clear"/>
            <w:tcMar>
              <w:top w:type="dxa" w:w="80"/>
              <w:left w:type="dxa" w:w="100"/>
              <w:bottom w:type="dxa" w:w="80"/>
              <w:right w:type="dxa" w:w="100"/>
            </w:tcMar>
          </w:tcPr>
          <w:p>
            <w:r>
              <w:rPr>
                <w:b/>
                <w:bCs/>
                <w:color w:val="FFFFFF"/>
                <w:sz w:val="19"/>
                <w:szCs w:val="19"/>
              </w:rPr>
              <w:t xml:space="preserve">Páginas aprox.</w:t>
            </w:r>
          </w:p>
        </w:tc>
        <w:tc>
          <w:tcPr>
            <w:tcW w:type="dxa" w:w="3800"/>
            <w:shd w:fill="1F3864" w:val="clear"/>
            <w:tcMar>
              <w:top w:type="dxa" w:w="80"/>
              <w:left w:type="dxa" w:w="100"/>
              <w:bottom w:type="dxa" w:w="80"/>
              <w:right w:type="dxa" w:w="100"/>
            </w:tcMar>
          </w:tcPr>
          <w:p>
            <w:r>
              <w:rPr>
                <w:b/>
                <w:bCs/>
                <w:color w:val="FFFFFF"/>
                <w:sz w:val="19"/>
                <w:szCs w:val="19"/>
              </w:rPr>
              <w:t xml:space="preserve">Contenido</w:t>
            </w:r>
          </w:p>
        </w:tc>
      </w:tr>
      <w:tr>
        <w:tc>
          <w:tcPr>
            <w:tcW w:type="dxa" w:w="3600"/>
            <w:tcMar>
              <w:top w:type="dxa" w:w="60"/>
              <w:left w:type="dxa" w:w="100"/>
              <w:bottom w:type="dxa" w:w="60"/>
              <w:right w:type="dxa" w:w="100"/>
            </w:tcMar>
          </w:tcPr>
          <w:p>
            <w:r>
              <w:rPr>
                <w:sz w:val="19"/>
                <w:szCs w:val="19"/>
              </w:rPr>
              <w:t xml:space="preserve">Carta de Oferta</w:t>
            </w:r>
          </w:p>
        </w:tc>
        <w:tc>
          <w:tcPr>
            <w:tcW w:type="dxa" w:w="1600"/>
            <w:tcMar>
              <w:top w:type="dxa" w:w="60"/>
              <w:left w:type="dxa" w:w="100"/>
              <w:bottom w:type="dxa" w:w="60"/>
              <w:right w:type="dxa" w:w="100"/>
            </w:tcMar>
          </w:tcPr>
          <w:p>
            <w:r>
              <w:rPr>
                <w:sz w:val="19"/>
                <w:szCs w:val="19"/>
              </w:rPr>
              <w:t xml:space="preserve">1–2</w:t>
            </w:r>
          </w:p>
        </w:tc>
        <w:tc>
          <w:tcPr>
            <w:tcW w:type="dxa" w:w="3800"/>
            <w:tcMar>
              <w:top w:type="dxa" w:w="60"/>
              <w:left w:type="dxa" w:w="100"/>
              <w:bottom w:type="dxa" w:w="60"/>
              <w:right w:type="dxa" w:w="100"/>
            </w:tcMar>
          </w:tcPr>
          <w:p>
            <w:r>
              <w:rPr>
                <w:sz w:val="19"/>
                <w:szCs w:val="19"/>
              </w:rPr>
              <w:t xml:space="preserve">Oferta irrevocable dirigida a Gabriel Ary Brener; mecanismo de aceptación; hoja de firmas y asentimiento conyugal</w:t>
            </w:r>
          </w:p>
        </w:tc>
      </w:tr>
      <w:tr>
        <w:tc>
          <w:tcPr>
            <w:tcW w:type="dxa" w:w="3600"/>
            <w:tcMar>
              <w:top w:type="dxa" w:w="60"/>
              <w:left w:type="dxa" w:w="100"/>
              <w:bottom w:type="dxa" w:w="60"/>
              <w:right w:type="dxa" w:w="100"/>
            </w:tcMar>
          </w:tcPr>
          <w:p>
            <w:r>
              <w:rPr>
                <w:sz w:val="19"/>
                <w:szCs w:val="19"/>
              </w:rPr>
              <w:t xml:space="preserve">Anexo I — Contrato de Compraventa de Acciones</w:t>
            </w:r>
          </w:p>
        </w:tc>
        <w:tc>
          <w:tcPr>
            <w:tcW w:type="dxa" w:w="1600"/>
            <w:tcMar>
              <w:top w:type="dxa" w:w="60"/>
              <w:left w:type="dxa" w:w="100"/>
              <w:bottom w:type="dxa" w:w="60"/>
              <w:right w:type="dxa" w:w="100"/>
            </w:tcMar>
          </w:tcPr>
          <w:p>
            <w:r>
              <w:rPr>
                <w:sz w:val="19"/>
                <w:szCs w:val="19"/>
              </w:rPr>
              <w:t xml:space="preserve">3–38</w:t>
            </w:r>
          </w:p>
        </w:tc>
        <w:tc>
          <w:tcPr>
            <w:tcW w:type="dxa" w:w="3800"/>
            <w:tcMar>
              <w:top w:type="dxa" w:w="60"/>
              <w:left w:type="dxa" w:w="100"/>
              <w:bottom w:type="dxa" w:w="60"/>
              <w:right w:type="dxa" w:w="100"/>
            </w:tcMar>
          </w:tcPr>
          <w:p>
            <w:r>
              <w:rPr>
                <w:sz w:val="19"/>
                <w:szCs w:val="19"/>
              </w:rPr>
              <w:t xml:space="preserve">Texto completo del SPA: definiciones, precio, cierre, declaraciones y garantías, compromisos, indemnidades, misceláneas</w:t>
            </w:r>
          </w:p>
        </w:tc>
      </w:tr>
      <w:tr>
        <w:tc>
          <w:tcPr>
            <w:tcW w:type="dxa" w:w="3600"/>
            <w:tcMar>
              <w:top w:type="dxa" w:w="60"/>
              <w:left w:type="dxa" w:w="100"/>
              <w:bottom w:type="dxa" w:w="60"/>
              <w:right w:type="dxa" w:w="100"/>
            </w:tcMar>
          </w:tcPr>
          <w:p>
            <w:r>
              <w:rPr>
                <w:sz w:val="19"/>
                <w:szCs w:val="19"/>
              </w:rPr>
              <w:t xml:space="preserve">Anexos A–J del Contrato (activos excluidos, capital de trabajo, etc.)</w:t>
            </w:r>
          </w:p>
        </w:tc>
        <w:tc>
          <w:tcPr>
            <w:tcW w:type="dxa" w:w="1600"/>
            <w:tcMar>
              <w:top w:type="dxa" w:w="60"/>
              <w:left w:type="dxa" w:w="100"/>
              <w:bottom w:type="dxa" w:w="60"/>
              <w:right w:type="dxa" w:w="100"/>
            </w:tcMar>
          </w:tcPr>
          <w:p>
            <w:r>
              <w:rPr>
                <w:sz w:val="19"/>
                <w:szCs w:val="19"/>
              </w:rPr>
              <w:t xml:space="preserve">39–66</w:t>
            </w:r>
          </w:p>
        </w:tc>
        <w:tc>
          <w:tcPr>
            <w:tcW w:type="dxa" w:w="3800"/>
            <w:tcMar>
              <w:top w:type="dxa" w:w="60"/>
              <w:left w:type="dxa" w:w="100"/>
              <w:bottom w:type="dxa" w:w="60"/>
              <w:right w:type="dxa" w:w="100"/>
            </w:tcMar>
          </w:tcPr>
          <w:p>
            <w:r>
              <w:rPr>
                <w:sz w:val="19"/>
                <w:szCs w:val="19"/>
              </w:rPr>
              <w:t xml:space="preserve">Anexos técnicos y económicos referenciados en el Contrato</w:t>
            </w:r>
          </w:p>
        </w:tc>
      </w:tr>
      <w:tr>
        <w:tc>
          <w:tcPr>
            <w:tcW w:type="dxa" w:w="3600"/>
            <w:tcMar>
              <w:top w:type="dxa" w:w="60"/>
              <w:left w:type="dxa" w:w="100"/>
              <w:bottom w:type="dxa" w:w="60"/>
              <w:right w:type="dxa" w:w="100"/>
            </w:tcMar>
          </w:tcPr>
          <w:p>
            <w:r>
              <w:rPr>
                <w:sz w:val="19"/>
                <w:szCs w:val="19"/>
              </w:rPr>
              <w:t xml:space="preserve">Anexo I de la Notificación — Contrato de Prenda de Acciones</w:t>
            </w:r>
          </w:p>
        </w:tc>
        <w:tc>
          <w:tcPr>
            <w:tcW w:type="dxa" w:w="1600"/>
            <w:tcMar>
              <w:top w:type="dxa" w:w="60"/>
              <w:left w:type="dxa" w:w="100"/>
              <w:bottom w:type="dxa" w:w="60"/>
              <w:right w:type="dxa" w:w="100"/>
            </w:tcMar>
          </w:tcPr>
          <w:p>
            <w:r>
              <w:rPr>
                <w:sz w:val="19"/>
                <w:szCs w:val="19"/>
              </w:rPr>
              <w:t xml:space="preserve">69–91</w:t>
            </w:r>
          </w:p>
        </w:tc>
        <w:tc>
          <w:tcPr>
            <w:tcW w:type="dxa" w:w="3800"/>
            <w:tcMar>
              <w:top w:type="dxa" w:w="60"/>
              <w:left w:type="dxa" w:w="100"/>
              <w:bottom w:type="dxa" w:w="60"/>
              <w:right w:type="dxa" w:w="100"/>
            </w:tcMar>
          </w:tcPr>
          <w:p>
            <w:r>
              <w:rPr>
                <w:sz w:val="19"/>
                <w:szCs w:val="19"/>
              </w:rPr>
              <w:t xml:space="preserve">Prenda del 2,50% de las acciones a favor de New PGA S.R.L. en garantía de obligaciones de los Vendedores</w:t>
            </w:r>
          </w:p>
        </w:tc>
      </w:tr>
      <w:tr>
        <w:tc>
          <w:tcPr>
            <w:tcW w:type="dxa" w:w="3600"/>
            <w:tcMar>
              <w:top w:type="dxa" w:w="60"/>
              <w:left w:type="dxa" w:w="100"/>
              <w:bottom w:type="dxa" w:w="60"/>
              <w:right w:type="dxa" w:w="100"/>
            </w:tcMar>
          </w:tcPr>
          <w:p>
            <w:r>
              <w:rPr>
                <w:sz w:val="19"/>
                <w:szCs w:val="19"/>
              </w:rPr>
              <w:t xml:space="preserve">Modelos de Notificación y Recibo de Aceptación</w:t>
            </w:r>
          </w:p>
        </w:tc>
        <w:tc>
          <w:tcPr>
            <w:tcW w:type="dxa" w:w="1600"/>
            <w:tcMar>
              <w:top w:type="dxa" w:w="60"/>
              <w:left w:type="dxa" w:w="100"/>
              <w:bottom w:type="dxa" w:w="60"/>
              <w:right w:type="dxa" w:w="100"/>
            </w:tcMar>
          </w:tcPr>
          <w:p>
            <w:r>
              <w:rPr>
                <w:sz w:val="19"/>
                <w:szCs w:val="19"/>
              </w:rPr>
              <w:t xml:space="preserve">91–92</w:t>
            </w:r>
          </w:p>
        </w:tc>
        <w:tc>
          <w:tcPr>
            <w:tcW w:type="dxa" w:w="3800"/>
            <w:tcMar>
              <w:top w:type="dxa" w:w="60"/>
              <w:left w:type="dxa" w:w="100"/>
              <w:bottom w:type="dxa" w:w="60"/>
              <w:right w:type="dxa" w:w="100"/>
            </w:tcMar>
          </w:tcPr>
          <w:p>
            <w:r>
              <w:rPr>
                <w:sz w:val="19"/>
                <w:szCs w:val="19"/>
              </w:rPr>
              <w:t xml:space="preserve">Formularios de aceptación de la Oferta y su recibo</w:t>
            </w:r>
          </w:p>
        </w:tc>
      </w:tr>
      <w:tr>
        <w:tc>
          <w:tcPr>
            <w:tcW w:type="dxa" w:w="3600"/>
            <w:tcMar>
              <w:top w:type="dxa" w:w="60"/>
              <w:left w:type="dxa" w:w="100"/>
              <w:bottom w:type="dxa" w:w="60"/>
              <w:right w:type="dxa" w:w="100"/>
            </w:tcMar>
          </w:tcPr>
          <w:p>
            <w:r>
              <w:rPr>
                <w:sz w:val="19"/>
                <w:szCs w:val="19"/>
              </w:rPr>
              <w:t xml:space="preserve">Certificación notarial de firmas</w:t>
            </w:r>
          </w:p>
        </w:tc>
        <w:tc>
          <w:tcPr>
            <w:tcW w:type="dxa" w:w="1600"/>
            <w:tcMar>
              <w:top w:type="dxa" w:w="60"/>
              <w:left w:type="dxa" w:w="100"/>
              <w:bottom w:type="dxa" w:w="60"/>
              <w:right w:type="dxa" w:w="100"/>
            </w:tcMar>
          </w:tcPr>
          <w:p>
            <w:r>
              <w:rPr>
                <w:sz w:val="19"/>
                <w:szCs w:val="19"/>
              </w:rPr>
              <w:t xml:space="preserve">93–94</w:t>
            </w:r>
          </w:p>
        </w:tc>
        <w:tc>
          <w:tcPr>
            <w:tcW w:type="dxa" w:w="3800"/>
            <w:tcMar>
              <w:top w:type="dxa" w:w="60"/>
              <w:left w:type="dxa" w:w="100"/>
              <w:bottom w:type="dxa" w:w="60"/>
              <w:right w:type="dxa" w:w="100"/>
            </w:tcMar>
          </w:tcPr>
          <w:p>
            <w:r>
              <w:rPr>
                <w:sz w:val="19"/>
                <w:szCs w:val="19"/>
              </w:rPr>
              <w:t xml:space="preserve">Acta notarial (Escribano, Registro N° 1697, Acta 129/Libro 136) certificando las firmas de los Vendedores</w:t>
            </w:r>
          </w:p>
        </w:tc>
      </w:tr>
      <w:tr>
        <w:tc>
          <w:tcPr>
            <w:tcW w:type="dxa" w:w="3600"/>
            <w:tcMar>
              <w:top w:type="dxa" w:w="60"/>
              <w:left w:type="dxa" w:w="100"/>
              <w:bottom w:type="dxa" w:w="60"/>
              <w:right w:type="dxa" w:w="100"/>
            </w:tcMar>
          </w:tcPr>
          <w:p>
            <w:r>
              <w:rPr>
                <w:sz w:val="19"/>
                <w:szCs w:val="19"/>
              </w:rPr>
              <w:t xml:space="preserve">Anexos Societarios</w:t>
            </w:r>
          </w:p>
        </w:tc>
        <w:tc>
          <w:tcPr>
            <w:tcW w:type="dxa" w:w="1600"/>
            <w:tcMar>
              <w:top w:type="dxa" w:w="60"/>
              <w:left w:type="dxa" w:w="100"/>
              <w:bottom w:type="dxa" w:w="60"/>
              <w:right w:type="dxa" w:w="100"/>
            </w:tcMar>
          </w:tcPr>
          <w:p>
            <w:r>
              <w:rPr>
                <w:sz w:val="19"/>
                <w:szCs w:val="19"/>
              </w:rPr>
              <w:t xml:space="preserve">95–104</w:t>
            </w:r>
          </w:p>
        </w:tc>
        <w:tc>
          <w:tcPr>
            <w:tcW w:type="dxa" w:w="3800"/>
            <w:tcMar>
              <w:top w:type="dxa" w:w="60"/>
              <w:left w:type="dxa" w:w="100"/>
              <w:bottom w:type="dxa" w:w="60"/>
              <w:right w:type="dxa" w:w="100"/>
            </w:tcMar>
          </w:tcPr>
          <w:p>
            <w:r>
              <w:rPr>
                <w:sz w:val="19"/>
                <w:szCs w:val="19"/>
              </w:rPr>
              <w:t xml:space="preserve">Notificación de transferencia (Art. 215 LGS), Acta de Directorio N° 72, anotación en libro de accionistas, títulos cartulares</w:t>
            </w:r>
          </w:p>
        </w:tc>
      </w:tr>
      <w:tr>
        <w:tc>
          <w:tcPr>
            <w:tcW w:type="dxa" w:w="3600"/>
            <w:tcMar>
              <w:top w:type="dxa" w:w="60"/>
              <w:left w:type="dxa" w:w="100"/>
              <w:bottom w:type="dxa" w:w="60"/>
              <w:right w:type="dxa" w:w="100"/>
            </w:tcMar>
          </w:tcPr>
          <w:p>
            <w:r>
              <w:rPr>
                <w:sz w:val="19"/>
                <w:szCs w:val="19"/>
              </w:rPr>
              <w:t xml:space="preserve">Anexos Declarativos (4.1 a–z)</w:t>
            </w:r>
          </w:p>
        </w:tc>
        <w:tc>
          <w:tcPr>
            <w:tcW w:type="dxa" w:w="1600"/>
            <w:tcMar>
              <w:top w:type="dxa" w:w="60"/>
              <w:left w:type="dxa" w:w="100"/>
              <w:bottom w:type="dxa" w:w="60"/>
              <w:right w:type="dxa" w:w="100"/>
            </w:tcMar>
          </w:tcPr>
          <w:p>
            <w:r>
              <w:rPr>
                <w:sz w:val="19"/>
                <w:szCs w:val="19"/>
              </w:rPr>
              <w:t xml:space="preserve">105–248</w:t>
            </w:r>
          </w:p>
        </w:tc>
        <w:tc>
          <w:tcPr>
            <w:tcW w:type="dxa" w:w="3800"/>
            <w:tcMar>
              <w:top w:type="dxa" w:w="60"/>
              <w:left w:type="dxa" w:w="100"/>
              <w:bottom w:type="dxa" w:w="60"/>
              <w:right w:type="dxa" w:w="100"/>
            </w:tcMar>
          </w:tcPr>
          <w:p>
            <w:r>
              <w:rPr>
                <w:sz w:val="19"/>
                <w:szCs w:val="19"/>
              </w:rPr>
              <w:t xml:space="preserve">Documentación de respaldo de las declaraciones y garantías: estatuto, libros societarios, estados contables auditados, propiedad intelectual, endeudamiento, contratos materiales, información laboral, seguros, partes relacionadas, procesos judiciales, etc.</w:t>
            </w:r>
          </w:p>
        </w:tc>
      </w:tr>
    </w:tbl>
    <w:p>
      <w:pPr>
        <w:pStyle w:val="Heading1"/>
        <w:pBdr>
          <w:bottom w:val="single" w:color="1F3864" w:sz="6" w:space="4"/>
        </w:pBdr>
        <w:spacing w:after="160" w:before="360"/>
      </w:pPr>
      <w:r>
        <w:rPr>
          <w:b/>
          <w:bCs/>
          <w:color w:val="1F3864"/>
          <w:sz w:val="28"/>
          <w:szCs w:val="28"/>
        </w:rPr>
        <w:t xml:space="preserve">4. La Oferta (carta principal)</w:t>
      </w:r>
    </w:p>
    <w:p>
      <w:pPr>
        <w:spacing w:after="140" w:line="300"/>
      </w:pPr>
      <w:r>
        <w:rPr>
          <w:sz w:val="21"/>
          <w:szCs w:val="21"/>
        </w:rPr>
        <w:t xml:space="preserve">Los Vendedores presentan a Gabriel Ary Brener una oferta vinculante e irrevocable para celebrar un contrato de compraventa del 10% de las acciones de CDIMEX S.A., en los términos del Anexo I.</w:t>
      </w:r>
    </w:p>
    <w:p>
      <w:pPr>
        <w:pStyle w:val="ListParagraph"/>
        <w:numPr>
          <w:ilvl w:val="0"/>
          <w:numId w:val="2"/>
        </w:numPr>
        <w:spacing w:after="80" w:line="280"/>
      </w:pPr>
      <w:r>
        <w:rPr>
          <w:sz w:val="21"/>
          <w:szCs w:val="21"/>
        </w:rPr>
        <w:t xml:space="preserve">Plazo de aceptación: cinco (5) Días Hábiles desde la recepción de la Oferta; durante ese plazo es irrevocable y solo puede aceptarse o rechazarse en su totalidad.</w:t>
      </w:r>
    </w:p>
    <w:p>
      <w:pPr>
        <w:pStyle w:val="ListParagraph"/>
        <w:numPr>
          <w:ilvl w:val="0"/>
          <w:numId w:val="2"/>
        </w:numPr>
        <w:spacing w:after="80" w:line="280"/>
      </w:pPr>
      <w:r>
        <w:rPr>
          <w:sz w:val="21"/>
          <w:szCs w:val="21"/>
        </w:rPr>
        <w:t xml:space="preserve">Mecanismo: aceptación mediante notificación escrita (Anexo II), contra la cual los Vendedores extienden un recibo (Anexo III).</w:t>
      </w:r>
    </w:p>
    <w:p>
      <w:pPr>
        <w:pStyle w:val="ListParagraph"/>
        <w:numPr>
          <w:ilvl w:val="0"/>
          <w:numId w:val="2"/>
        </w:numPr>
        <w:spacing w:after="80" w:line="280"/>
      </w:pPr>
      <w:r>
        <w:rPr>
          <w:sz w:val="21"/>
          <w:szCs w:val="21"/>
        </w:rPr>
        <w:t xml:space="preserve">Perfeccionamiento: al notificarse la aceptación, se considera celebrado el Contrato de Compraventa de Acciones (Anexo I) en los términos allí previstos.</w:t>
      </w:r>
    </w:p>
    <w:p>
      <w:pPr>
        <w:pStyle w:val="ListParagraph"/>
        <w:numPr>
          <w:ilvl w:val="0"/>
          <w:numId w:val="2"/>
        </w:numPr>
        <w:spacing w:after="80" w:line="280"/>
      </w:pPr>
      <w:r>
        <w:rPr>
          <w:sz w:val="21"/>
          <w:szCs w:val="21"/>
        </w:rPr>
        <w:t xml:space="preserve">Ley aplicable y resolución de disputas de la Oferta: se remiten a los Artículos 9.8 y 9.9 del Anexo I.</w:t>
      </w:r>
    </w:p>
    <w:p>
      <w:pPr>
        <w:pStyle w:val="ListParagraph"/>
        <w:numPr>
          <w:ilvl w:val="0"/>
          <w:numId w:val="2"/>
        </w:numPr>
        <w:spacing w:after="80" w:line="280"/>
      </w:pPr>
      <w:r>
        <w:rPr>
          <w:sz w:val="21"/>
          <w:szCs w:val="21"/>
        </w:rPr>
        <w:t xml:space="preserve">La Oferta fue efectivamente firmada por los tres Vendedores el 22/08/2025, con certificación notarial y anotación manuscrita de recibo ("Recibido, no implica conformidad, 22/8/25").</w:t>
      </w:r>
    </w:p>
    <w:p>
      <w:pPr>
        <w:pStyle w:val="Heading1"/>
        <w:pBdr>
          <w:bottom w:val="single" w:color="1F3864" w:sz="6" w:space="4"/>
        </w:pBdr>
        <w:spacing w:after="160" w:before="360"/>
      </w:pPr>
      <w:r>
        <w:rPr>
          <w:b/>
          <w:bCs/>
          <w:color w:val="1F3864"/>
          <w:sz w:val="28"/>
          <w:szCs w:val="28"/>
        </w:rPr>
        <w:t xml:space="preserve">5. Anexo I — Contrato de Compraventa de Acciones (cuerpo principal)</w:t>
      </w:r>
    </w:p>
    <w:p>
      <w:pPr>
        <w:pStyle w:val="Heading2"/>
        <w:spacing w:after="120" w:before="280"/>
      </w:pPr>
      <w:r>
        <w:rPr>
          <w:b/>
          <w:bCs/>
          <w:color w:val="9C6B1F"/>
          <w:sz w:val="24"/>
          <w:szCs w:val="24"/>
        </w:rPr>
        <w:t xml:space="preserve">5.1 Objeto y estructura societaria previa</w:t>
      </w:r>
    </w:p>
    <w:p>
      <w:pPr>
        <w:spacing w:after="140" w:line="300"/>
      </w:pPr>
      <w:r>
        <w:rPr>
          <w:sz w:val="21"/>
          <w:szCs w:val="21"/>
        </w:rPr>
        <w:t xml:space="preserve">Los Vendedores eran titulares del 100% de las acciones de CDIMEX S.A. Mediante este Contrato transfieren a Gabriel Ary Brener ("GB") el 10% del capital social (2.000 acciones), en la proporción: Diego 930 acciones (4,65%), Darío 930 acciones (4,65%) y Franco 140 acciones (0,70%).</w:t>
      </w:r>
    </w:p>
    <w:p>
      <w:pPr>
        <w:pStyle w:val="Heading2"/>
        <w:spacing w:after="120" w:before="280"/>
      </w:pPr>
      <w:r>
        <w:rPr>
          <w:b/>
          <w:bCs/>
          <w:color w:val="9C6B1F"/>
          <w:sz w:val="24"/>
          <w:szCs w:val="24"/>
        </w:rPr>
        <w:t xml:space="preserve">5.2 Precio de compra y mecanismo de ajuste</w:t>
      </w:r>
    </w:p>
    <w:p>
      <w:pPr>
        <w:spacing w:after="100" w:line="280"/>
      </w:pPr>
      <w:r>
        <w:rPr>
          <w:b/>
          <w:bCs/>
          <w:sz w:val="21"/>
          <w:szCs w:val="21"/>
        </w:rPr>
        <w:t xml:space="preserve">Precio Base: </w:t>
      </w:r>
      <w:r>
        <w:rPr>
          <w:sz w:val="21"/>
          <w:szCs w:val="21"/>
        </w:rPr>
        <w:t xml:space="preserve">US$ 1.500.000, pagadero al Cierre — Diego US$ 697.500; Darío US$ 697.500; Franco US$ 105.000</w:t>
      </w:r>
    </w:p>
    <w:p>
      <w:pPr>
        <w:spacing w:after="100" w:line="280"/>
      </w:pPr>
      <w:r>
        <w:rPr>
          <w:b/>
          <w:bCs/>
          <w:sz w:val="21"/>
          <w:szCs w:val="21"/>
        </w:rPr>
        <w:t xml:space="preserve">Ajuste de Precio Positivo (earn-out): </w:t>
      </w:r>
      <w:r>
        <w:rPr>
          <w:sz w:val="21"/>
          <w:szCs w:val="21"/>
        </w:rPr>
        <w:t xml:space="preserve">hasta US$ 1.500.000 adicionales, sujeto al cumplimiento de la Meta de Resultado Final</w:t>
      </w:r>
    </w:p>
    <w:p>
      <w:pPr>
        <w:spacing w:after="100" w:line="280"/>
      </w:pPr>
      <w:r>
        <w:rPr>
          <w:b/>
          <w:bCs/>
          <w:sz w:val="21"/>
          <w:szCs w:val="21"/>
        </w:rPr>
        <w:t xml:space="preserve">Meta de Resultado Final: </w:t>
      </w:r>
      <w:r>
        <w:rPr>
          <w:sz w:val="21"/>
          <w:szCs w:val="21"/>
        </w:rPr>
        <w:t xml:space="preserve">Resultado Neto Acumulado de la Compañía de al menos US$ 57.000.000 durante el Período de Ajuste (5 Ejercicios Anuales, del 1/04/2025 al 31/03/2030), sin desvío tolerable</w:t>
      </w:r>
    </w:p>
    <w:p>
      <w:pPr>
        <w:spacing w:after="100" w:line="280"/>
      </w:pPr>
      <w:r>
        <w:rPr>
          <w:b/>
          <w:bCs/>
          <w:sz w:val="21"/>
          <w:szCs w:val="21"/>
        </w:rPr>
        <w:t xml:space="preserve">Metas de Resultado Anual (intermedias): </w:t>
      </w:r>
      <w:r>
        <w:rPr>
          <w:sz w:val="21"/>
          <w:szCs w:val="21"/>
        </w:rPr>
        <w:t xml:space="preserve">para cada Ejercicio Anual Intermedio (cierres 2026 a 2029), habilitan un Adelanto de Ajuste de hasta US$ 300.000 por año (Anticipo Anual Máximo) a cuenta del Ajuste de Precio Positivo</w:t>
      </w:r>
    </w:p>
    <w:p>
      <w:pPr>
        <w:spacing w:after="100" w:line="280"/>
      </w:pPr>
      <w:r>
        <w:rPr>
          <w:b/>
          <w:bCs/>
          <w:sz w:val="21"/>
          <w:szCs w:val="21"/>
        </w:rPr>
        <w:t xml:space="preserve">Ajuste de Precio Negativo: </w:t>
      </w:r>
      <w:r>
        <w:rPr>
          <w:sz w:val="21"/>
          <w:szCs w:val="21"/>
        </w:rPr>
        <w:t xml:space="preserve">deducción por deficiencias respecto del Capital de Trabajo Mínimo al Cierre, fijado en US$ 7.183.552 (según metodología del Anexo C)</w:t>
      </w:r>
    </w:p>
    <w:p>
      <w:pPr>
        <w:spacing w:after="100" w:line="280"/>
      </w:pPr>
      <w:r>
        <w:rPr>
          <w:b/>
          <w:bCs/>
          <w:sz w:val="21"/>
          <w:szCs w:val="21"/>
        </w:rPr>
        <w:t xml:space="preserve">Auditor Independiente: </w:t>
      </w:r>
      <w:r>
        <w:rPr>
          <w:sz w:val="21"/>
          <w:szCs w:val="21"/>
        </w:rPr>
        <w:t xml:space="preserve">Deloitte, KPMG, EY o PwC (o, en su defecto, otra firma internacional de prestigio a designar por procedimiento pautado), para dirimir disputas sobre el Resultado Neto</w:t>
      </w:r>
    </w:p>
    <w:p>
      <w:pPr>
        <w:spacing w:after="140" w:line="300"/>
      </w:pPr>
      <w:r>
        <w:rPr>
          <w:sz w:val="21"/>
          <w:szCs w:val="21"/>
        </w:rPr>
        <w:t xml:space="preserve">El Anexo F define "Criterios Contables de Gestión", distintos de las NCPA, específicamente para calcular el Resultado Neto a efectos del earn-out.</w:t>
      </w:r>
    </w:p>
    <w:p>
      <w:pPr>
        <w:pStyle w:val="Heading2"/>
        <w:spacing w:after="120" w:before="280"/>
      </w:pPr>
      <w:r>
        <w:rPr>
          <w:b/>
          <w:bCs/>
          <w:color w:val="9C6B1F"/>
          <w:sz w:val="24"/>
          <w:szCs w:val="24"/>
        </w:rPr>
        <w:t xml:space="preserve">5.3 Cierre (Closing)</w:t>
      </w:r>
    </w:p>
    <w:p>
      <w:pPr>
        <w:spacing w:after="140" w:line="300"/>
      </w:pPr>
      <w:r>
        <w:rPr>
          <w:sz w:val="21"/>
          <w:szCs w:val="21"/>
        </w:rPr>
        <w:t xml:space="preserve">El Cierre se produce en la misma Fecha de Aceptación, a las 10:00 hs (hora Argentina). En el Cierre, simultáneamente:</w:t>
      </w:r>
    </w:p>
    <w:p>
      <w:pPr>
        <w:pStyle w:val="ListParagraph"/>
        <w:numPr>
          <w:ilvl w:val="0"/>
          <w:numId w:val="2"/>
        </w:numPr>
        <w:spacing w:after="80" w:line="280"/>
      </w:pPr>
      <w:r>
        <w:rPr>
          <w:sz w:val="21"/>
          <w:szCs w:val="21"/>
        </w:rPr>
        <w:t xml:space="preserve">Los Vendedores entregan: notificación de transferencia certificada (Art. 215 Ley 19.550), acta de directorio de CDIMEX S.A., anotación en el libro de registro de accionistas, títulos cartulares endosados, el Acuerdo de Transferencia de Empleo de Franco (desde Cortassa S.A. hacia la Compañía), el Convenio de Permanencia de Franco, y los Contratos de Prenda (de Vendedores y de Comprador).</w:t>
      </w:r>
    </w:p>
    <w:p>
      <w:pPr>
        <w:pStyle w:val="ListParagraph"/>
        <w:numPr>
          <w:ilvl w:val="0"/>
          <w:numId w:val="2"/>
        </w:numPr>
        <w:spacing w:after="80" w:line="280"/>
      </w:pPr>
      <w:r>
        <w:rPr>
          <w:sz w:val="21"/>
          <w:szCs w:val="21"/>
        </w:rPr>
        <w:t xml:space="preserve">El Comprador entrega: los Contratos de Prenda firmados y evidencia de la transferencia bancaria del Precio Base.</w:t>
      </w:r>
    </w:p>
    <w:p>
      <w:pPr>
        <w:pStyle w:val="Heading2"/>
        <w:spacing w:after="120" w:before="280"/>
      </w:pPr>
      <w:r>
        <w:rPr>
          <w:b/>
          <w:bCs/>
          <w:color w:val="9C6B1F"/>
          <w:sz w:val="24"/>
          <w:szCs w:val="24"/>
        </w:rPr>
        <w:t xml:space="preserve">5.4 Declaraciones y garantías de los Vendedores sobre la Compañía (Art. IV)</w:t>
      </w:r>
    </w:p>
    <w:p>
      <w:pPr>
        <w:spacing w:after="140" w:line="300"/>
      </w:pPr>
      <w:r>
        <w:rPr>
          <w:sz w:val="21"/>
          <w:szCs w:val="21"/>
        </w:rPr>
        <w:t xml:space="preserve">Declaraciones extensas y conjuntas/solidarias, entre las más relevantes:</w:t>
      </w:r>
    </w:p>
    <w:p>
      <w:pPr>
        <w:pStyle w:val="ListParagraph"/>
        <w:numPr>
          <w:ilvl w:val="0"/>
          <w:numId w:val="2"/>
        </w:numPr>
        <w:spacing w:after="80" w:line="280"/>
      </w:pPr>
      <w:r>
        <w:rPr>
          <w:sz w:val="21"/>
          <w:szCs w:val="21"/>
        </w:rPr>
        <w:t xml:space="preserve">Organización, ausencia de conflicto y plenos poderes societarios.</w:t>
      </w:r>
    </w:p>
    <w:p>
      <w:pPr>
        <w:pStyle w:val="ListParagraph"/>
        <w:numPr>
          <w:ilvl w:val="0"/>
          <w:numId w:val="2"/>
        </w:numPr>
        <w:spacing w:after="80" w:line="280"/>
      </w:pPr>
      <w:r>
        <w:rPr>
          <w:sz w:val="21"/>
          <w:szCs w:val="21"/>
        </w:rPr>
        <w:t xml:space="preserve">Capitalización limpia: 20.000 acciones íntegramente suscriptas e integradas, sin gravámenes ni derechos de terceros.</w:t>
      </w:r>
    </w:p>
    <w:p>
      <w:pPr>
        <w:pStyle w:val="ListParagraph"/>
        <w:numPr>
          <w:ilvl w:val="0"/>
          <w:numId w:val="2"/>
        </w:numPr>
        <w:spacing w:after="80" w:line="280"/>
      </w:pPr>
      <w:r>
        <w:rPr>
          <w:sz w:val="21"/>
          <w:szCs w:val="21"/>
        </w:rPr>
        <w:t xml:space="preserve">Estados Contables auditados (ejercicios cerrados 31/03/2024 y 31/03/2025) veraces y conforme a NCPA.</w:t>
      </w:r>
    </w:p>
    <w:p>
      <w:pPr>
        <w:pStyle w:val="ListParagraph"/>
        <w:numPr>
          <w:ilvl w:val="0"/>
          <w:numId w:val="2"/>
        </w:numPr>
        <w:spacing w:after="80" w:line="280"/>
      </w:pPr>
      <w:r>
        <w:rPr>
          <w:sz w:val="21"/>
          <w:szCs w:val="21"/>
        </w:rPr>
        <w:t xml:space="preserve">Ausencia de pasivos ocultos, cuentas por cobrar/pagar correctamente registradas, inventario en regla.</w:t>
      </w:r>
    </w:p>
    <w:p>
      <w:pPr>
        <w:pStyle w:val="ListParagraph"/>
        <w:numPr>
          <w:ilvl w:val="0"/>
          <w:numId w:val="2"/>
        </w:numPr>
        <w:spacing w:after="80" w:line="280"/>
      </w:pPr>
      <w:r>
        <w:rPr>
          <w:sz w:val="21"/>
          <w:szCs w:val="21"/>
        </w:rPr>
        <w:t xml:space="preserve">Conducta ordinaria del negocio desde el 1/04/2025 ("Fecha Base"), con una extensa lista de actos prohibidos sin consentimiento (emisión de acciones, dividendos, endeudamiento, gravámenes, contratos con partes relacionadas, cambios en métodos contables/fiscales, etc.).</w:t>
      </w:r>
    </w:p>
    <w:p>
      <w:pPr>
        <w:pStyle w:val="ListParagraph"/>
        <w:numPr>
          <w:ilvl w:val="0"/>
          <w:numId w:val="2"/>
        </w:numPr>
        <w:spacing w:after="80" w:line="280"/>
      </w:pPr>
      <w:r>
        <w:rPr>
          <w:sz w:val="21"/>
          <w:szCs w:val="21"/>
        </w:rPr>
        <w:t xml:space="preserve">Propiedad Intelectual: titularidad y licencias de marcas (detalladas en Anexo 4.1(l)), sin infracciones ni litigios.</w:t>
      </w:r>
    </w:p>
    <w:p>
      <w:pPr>
        <w:pStyle w:val="ListParagraph"/>
        <w:numPr>
          <w:ilvl w:val="0"/>
          <w:numId w:val="2"/>
        </w:numPr>
        <w:spacing w:after="80" w:line="280"/>
      </w:pPr>
      <w:r>
        <w:rPr>
          <w:sz w:val="21"/>
          <w:szCs w:val="21"/>
        </w:rPr>
        <w:t xml:space="preserve">Activos libres de gravámenes; contratos materiales listados y sin incumplimientos.</w:t>
      </w:r>
    </w:p>
    <w:p>
      <w:pPr>
        <w:pStyle w:val="ListParagraph"/>
        <w:numPr>
          <w:ilvl w:val="0"/>
          <w:numId w:val="2"/>
        </w:numPr>
        <w:spacing w:after="80" w:line="280"/>
      </w:pPr>
      <w:r>
        <w:rPr>
          <w:sz w:val="21"/>
          <w:szCs w:val="21"/>
        </w:rPr>
        <w:t xml:space="preserve">Cumplimiento laboral, impositivo, ambiental, de comercio exterior, anticorrupción/antilavado y de protección de datos.</w:t>
      </w:r>
    </w:p>
    <w:p>
      <w:pPr>
        <w:pStyle w:val="ListParagraph"/>
        <w:numPr>
          <w:ilvl w:val="0"/>
          <w:numId w:val="2"/>
        </w:numPr>
        <w:spacing w:after="80" w:line="280"/>
      </w:pPr>
      <w:r>
        <w:rPr>
          <w:sz w:val="21"/>
          <w:szCs w:val="21"/>
        </w:rPr>
        <w:t xml:space="preserve">Ausencia de procesos judiciales relevantes (con la única excepción declarada de un expediente SECLO).</w:t>
      </w:r>
    </w:p>
    <w:p>
      <w:pPr>
        <w:pStyle w:val="ListParagraph"/>
        <w:numPr>
          <w:ilvl w:val="0"/>
          <w:numId w:val="2"/>
        </w:numPr>
        <w:spacing w:after="80" w:line="280"/>
      </w:pPr>
      <w:r>
        <w:rPr>
          <w:sz w:val="21"/>
          <w:szCs w:val="21"/>
        </w:rPr>
        <w:t xml:space="preserve">Solvencia: sin cesación de pagos, concurso ni quiebra.</w:t>
      </w:r>
    </w:p>
    <w:p>
      <w:pPr>
        <w:pStyle w:val="ListParagraph"/>
        <w:numPr>
          <w:ilvl w:val="0"/>
          <w:numId w:val="2"/>
        </w:numPr>
        <w:spacing w:after="80" w:line="280"/>
      </w:pPr>
      <w:r>
        <w:rPr>
          <w:sz w:val="21"/>
          <w:szCs w:val="21"/>
        </w:rPr>
        <w:t xml:space="preserve">Cláusula de divulgación completa: la due diligence del Comprador no limita la responsabilidad de los Vendedores.</w:t>
      </w:r>
    </w:p>
    <w:p>
      <w:pPr>
        <w:pStyle w:val="Heading2"/>
        <w:spacing w:after="120" w:before="280"/>
      </w:pPr>
      <w:r>
        <w:rPr>
          <w:b/>
          <w:bCs/>
          <w:color w:val="9C6B1F"/>
          <w:sz w:val="24"/>
          <w:szCs w:val="24"/>
        </w:rPr>
        <w:t xml:space="preserve">5.5 Declaraciones y garantías — Vendedores sobre sí mismos (Art. V) y Comprador (Art. VI)</w:t>
      </w:r>
    </w:p>
    <w:p>
      <w:pPr>
        <w:pStyle w:val="ListParagraph"/>
        <w:numPr>
          <w:ilvl w:val="0"/>
          <w:numId w:val="2"/>
        </w:numPr>
        <w:spacing w:after="80" w:line="280"/>
      </w:pPr>
      <w:r>
        <w:rPr>
          <w:sz w:val="21"/>
          <w:szCs w:val="21"/>
        </w:rPr>
        <w:t xml:space="preserve">Vendedores: capacidad legal, título perfecto y libre de gravámenes sobre las acciones que venden, ausencia de litigios personales, sofisticación negocial (asesoramiento propio), ausencia de restricciones de no competencia (salvo lo pactado respecto de Beauty Group S.A.).</w:t>
      </w:r>
    </w:p>
    <w:p>
      <w:pPr>
        <w:pStyle w:val="ListParagraph"/>
        <w:numPr>
          <w:ilvl w:val="0"/>
          <w:numId w:val="2"/>
        </w:numPr>
        <w:spacing w:after="80" w:line="280"/>
      </w:pPr>
      <w:r>
        <w:rPr>
          <w:sz w:val="21"/>
          <w:szCs w:val="21"/>
        </w:rPr>
        <w:t xml:space="preserve">Comprador: capacidad, ausencia de conflicto, obligación válida y exigible, y reconocimiento de haber accedido a información de la Compañía a través de un data room en Google Drive (sin que ello limite su derecho a reclamar indemnidades).</w:t>
      </w:r>
    </w:p>
    <w:p>
      <w:pPr>
        <w:pStyle w:val="Heading2"/>
        <w:spacing w:after="120" w:before="280"/>
      </w:pPr>
      <w:r>
        <w:rPr>
          <w:b/>
          <w:bCs/>
          <w:color w:val="9C6B1F"/>
          <w:sz w:val="24"/>
          <w:szCs w:val="24"/>
        </w:rPr>
        <w:t xml:space="preserve">5.6 Compromisos (Art. VII)</w:t>
      </w:r>
    </w:p>
    <w:p>
      <w:pPr>
        <w:pStyle w:val="ListParagraph"/>
        <w:numPr>
          <w:ilvl w:val="0"/>
          <w:numId w:val="2"/>
        </w:numPr>
        <w:spacing w:after="80" w:line="280"/>
      </w:pPr>
      <w:r>
        <w:rPr>
          <w:sz w:val="21"/>
          <w:szCs w:val="21"/>
        </w:rPr>
        <w:t xml:space="preserve">Autorización de competencia: análisis conjunto dentro de la primera semana post-Cierre sobre necesidad de notificar a la Autoridad de Competencia (CNDC); si corresponde, el Comprador lidera el trámite y asume el riesgo regulatorio.</w:t>
      </w:r>
    </w:p>
    <w:p>
      <w:pPr>
        <w:pStyle w:val="ListParagraph"/>
        <w:numPr>
          <w:ilvl w:val="0"/>
          <w:numId w:val="2"/>
        </w:numPr>
        <w:spacing w:after="80" w:line="280"/>
      </w:pPr>
      <w:r>
        <w:rPr>
          <w:sz w:val="21"/>
          <w:szCs w:val="21"/>
        </w:rPr>
        <w:t xml:space="preserve">Compromiso de permanencia de Franco Cortassa en la gestión de la Compañía por 10 años desde el Cierre (conforme Convenio de Permanencia); su salida anticipada con causa puede diferir el pago de los Adelantos de Ajuste.</w:t>
      </w:r>
    </w:p>
    <w:p>
      <w:pPr>
        <w:pStyle w:val="ListParagraph"/>
        <w:numPr>
          <w:ilvl w:val="0"/>
          <w:numId w:val="2"/>
        </w:numPr>
        <w:spacing w:after="80" w:line="280"/>
      </w:pPr>
      <w:r>
        <w:rPr>
          <w:sz w:val="21"/>
          <w:szCs w:val="21"/>
        </w:rPr>
        <w:t xml:space="preserve">Exclusión expresa de "Empresas y Actividades Excluidas" y de "Activos Excluidos" (p. ej., créditos vinculados a Dufree International S.A. por depósito de garantía de importación de perfumes árabes, y activos/pasivos de un fideicomiso de octubre de 2024 vinculado al blanqueo de la Ley 27.743).</w:t>
      </w:r>
    </w:p>
    <w:p>
      <w:pPr>
        <w:pStyle w:val="ListParagraph"/>
        <w:numPr>
          <w:ilvl w:val="0"/>
          <w:numId w:val="2"/>
        </w:numPr>
        <w:spacing w:after="80" w:line="280"/>
      </w:pPr>
      <w:r>
        <w:rPr>
          <w:sz w:val="21"/>
          <w:szCs w:val="21"/>
        </w:rPr>
        <w:t xml:space="preserve">Confidencialidad y publicidad conjunta sobre la operación.</w:t>
      </w:r>
    </w:p>
    <w:p>
      <w:pPr>
        <w:pStyle w:val="ListParagraph"/>
        <w:numPr>
          <w:ilvl w:val="0"/>
          <w:numId w:val="2"/>
        </w:numPr>
        <w:spacing w:after="80" w:line="280"/>
      </w:pPr>
      <w:r>
        <w:rPr>
          <w:sz w:val="21"/>
          <w:szCs w:val="21"/>
        </w:rPr>
        <w:t xml:space="preserve">Renuncia de los Vendedores a reclamos contra la Compañía o el Comprador post-Cierre por causas anteriores.</w:t>
      </w:r>
    </w:p>
    <w:p>
      <w:pPr>
        <w:pStyle w:val="Heading2"/>
        <w:spacing w:after="120" w:before="280"/>
      </w:pPr>
      <w:r>
        <w:rPr>
          <w:b/>
          <w:bCs/>
          <w:color w:val="9C6B1F"/>
          <w:sz w:val="24"/>
          <w:szCs w:val="24"/>
        </w:rPr>
        <w:t xml:space="preserve">5.7 Indemnidades (Art. VIII)</w:t>
      </w:r>
    </w:p>
    <w:p>
      <w:pPr>
        <w:spacing w:after="100" w:line="280"/>
      </w:pPr>
      <w:r>
        <w:rPr>
          <w:b/>
          <w:bCs/>
          <w:sz w:val="21"/>
          <w:szCs w:val="21"/>
        </w:rPr>
        <w:t xml:space="preserve">Indemnidad de los Vendedores: </w:t>
      </w:r>
      <w:r>
        <w:rPr>
          <w:sz w:val="21"/>
          <w:szCs w:val="21"/>
        </w:rPr>
        <w:t xml:space="preserve">solidaria, cubre reclamos de terceros previos al Cierre, incumplimiento de declaraciones/garantías u obligaciones, "Contingencias Especiales" (Anexo 9.1(d)) y todo lo relativo a Empresas/Activos Excluidos</w:t>
      </w:r>
    </w:p>
    <w:p>
      <w:pPr>
        <w:spacing w:after="100" w:line="280"/>
      </w:pPr>
      <w:r>
        <w:rPr>
          <w:b/>
          <w:bCs/>
          <w:sz w:val="21"/>
          <w:szCs w:val="21"/>
        </w:rPr>
        <w:t xml:space="preserve">Indemnidad del Comprador: </w:t>
      </w:r>
      <w:r>
        <w:rPr>
          <w:sz w:val="21"/>
          <w:szCs w:val="21"/>
        </w:rPr>
        <w:t xml:space="preserve">por incumplimiento de sus propias declaraciones u obligaciones</w:t>
      </w:r>
    </w:p>
    <w:p>
      <w:pPr>
        <w:spacing w:after="100" w:line="280"/>
      </w:pPr>
      <w:r>
        <w:rPr>
          <w:b/>
          <w:bCs/>
          <w:sz w:val="21"/>
          <w:szCs w:val="21"/>
        </w:rPr>
        <w:t xml:space="preserve">Período de Supervivencia: </w:t>
      </w:r>
      <w:r>
        <w:rPr>
          <w:sz w:val="21"/>
          <w:szCs w:val="21"/>
        </w:rPr>
        <w:t xml:space="preserve">3 años desde el Cierre (sin límite temporal para Impuestos, Declaraciones Fundamentales, Contingencias Especiales y Empresas/Activos Excluidos, que sobreviven hasta la prescripción)</w:t>
      </w:r>
    </w:p>
    <w:p>
      <w:pPr>
        <w:spacing w:after="100" w:line="280"/>
      </w:pPr>
      <w:r>
        <w:rPr>
          <w:b/>
          <w:bCs/>
          <w:sz w:val="21"/>
          <w:szCs w:val="21"/>
        </w:rPr>
        <w:t xml:space="preserve">Tope de responsabilidad: </w:t>
      </w:r>
      <w:r>
        <w:rPr>
          <w:sz w:val="21"/>
          <w:szCs w:val="21"/>
        </w:rPr>
        <w:t xml:space="preserve">50% del Precio de Compra efectivamente pagado (100% para los rubros "sin límite temporal" recién mencionados)</w:t>
      </w:r>
    </w:p>
    <w:p>
      <w:pPr>
        <w:spacing w:after="100" w:line="280"/>
      </w:pPr>
      <w:r>
        <w:rPr>
          <w:b/>
          <w:bCs/>
          <w:sz w:val="21"/>
          <w:szCs w:val="21"/>
        </w:rPr>
        <w:t xml:space="preserve">Franquicia acumulada (basket): </w:t>
      </w:r>
      <w:r>
        <w:rPr>
          <w:sz w:val="21"/>
          <w:szCs w:val="21"/>
        </w:rPr>
        <w:t xml:space="preserve">US$ 175.000 en conjunto, sin aplicar a los rubros excluidos del límite</w:t>
      </w:r>
    </w:p>
    <w:p>
      <w:pPr>
        <w:spacing w:after="100" w:line="280"/>
      </w:pPr>
      <w:r>
        <w:rPr>
          <w:b/>
          <w:bCs/>
          <w:sz w:val="21"/>
          <w:szCs w:val="21"/>
        </w:rPr>
        <w:t xml:space="preserve">De minimis: </w:t>
      </w:r>
      <w:r>
        <w:rPr>
          <w:sz w:val="21"/>
          <w:szCs w:val="21"/>
        </w:rPr>
        <w:t xml:space="preserve">reclamos individuales inferiores a US$ 8.000 no computan</w:t>
      </w:r>
    </w:p>
    <w:p>
      <w:pPr>
        <w:spacing w:after="100" w:line="280"/>
      </w:pPr>
      <w:r>
        <w:rPr>
          <w:b/>
          <w:bCs/>
          <w:sz w:val="21"/>
          <w:szCs w:val="21"/>
        </w:rPr>
        <w:t xml:space="preserve">Excepción: </w:t>
      </w:r>
      <w:r>
        <w:rPr>
          <w:sz w:val="21"/>
          <w:szCs w:val="21"/>
        </w:rPr>
        <w:t xml:space="preserve">los límites no aplican en casos de fraude o dolo</w:t>
      </w:r>
    </w:p>
    <w:p>
      <w:pPr>
        <w:spacing w:after="140" w:line="300"/>
      </w:pPr>
      <w:r>
        <w:rPr>
          <w:sz w:val="21"/>
          <w:szCs w:val="21"/>
        </w:rPr>
        <w:t xml:space="preserve">El Comprador cuenta con derecho de retención y compensación sobre pagos pendientes a los Vendedores (Ajuste de Precio Positivo/Adelantos), incluyendo depósito en garantía (escrow) para reclamos en disputa.</w:t>
      </w:r>
    </w:p>
    <w:p>
      <w:pPr>
        <w:pStyle w:val="Heading2"/>
        <w:spacing w:after="120" w:before="280"/>
      </w:pPr>
      <w:r>
        <w:rPr>
          <w:b/>
          <w:bCs/>
          <w:color w:val="9C6B1F"/>
          <w:sz w:val="24"/>
          <w:szCs w:val="24"/>
        </w:rPr>
        <w:t xml:space="preserve">5.8 Misceláneas (Art. IX)</w:t>
      </w:r>
    </w:p>
    <w:p>
      <w:pPr>
        <w:pStyle w:val="ListParagraph"/>
        <w:numPr>
          <w:ilvl w:val="0"/>
          <w:numId w:val="2"/>
        </w:numPr>
        <w:spacing w:after="80" w:line="280"/>
      </w:pPr>
      <w:r>
        <w:rPr>
          <w:sz w:val="21"/>
          <w:szCs w:val="21"/>
        </w:rPr>
        <w:t xml:space="preserve">Notificaciones a domicilios físicos y electrónicos constituidos por las Partes; los Vendedores deben actuar de manera unificada y coordinada.</w:t>
      </w:r>
    </w:p>
    <w:p>
      <w:pPr>
        <w:pStyle w:val="ListParagraph"/>
        <w:numPr>
          <w:ilvl w:val="0"/>
          <w:numId w:val="2"/>
        </w:numPr>
        <w:spacing w:after="80" w:line="280"/>
      </w:pPr>
      <w:r>
        <w:rPr>
          <w:sz w:val="21"/>
          <w:szCs w:val="21"/>
        </w:rPr>
        <w:t xml:space="preserve">Cesión: prohibida sin consentimiento, salvo que el Comprador ceda a Afiliadas o a empresas del "Grupo Newsan".</w:t>
      </w:r>
    </w:p>
    <w:p>
      <w:pPr>
        <w:spacing w:after="100" w:line="280"/>
      </w:pPr>
      <w:r>
        <w:rPr>
          <w:b/>
          <w:bCs/>
          <w:sz w:val="21"/>
          <w:szCs w:val="21"/>
        </w:rPr>
        <w:t xml:space="preserve">Ley aplicable: </w:t>
      </w:r>
      <w:r>
        <w:rPr>
          <w:sz w:val="21"/>
          <w:szCs w:val="21"/>
        </w:rPr>
        <w:t xml:space="preserve">República Argentina</w:t>
      </w:r>
    </w:p>
    <w:p>
      <w:pPr>
        <w:spacing w:after="100" w:line="280"/>
      </w:pPr>
      <w:r>
        <w:rPr>
          <w:b/>
          <w:bCs/>
          <w:sz w:val="21"/>
          <w:szCs w:val="21"/>
        </w:rPr>
        <w:t xml:space="preserve">Resolución de disputas: </w:t>
      </w:r>
      <w:r>
        <w:rPr>
          <w:sz w:val="21"/>
          <w:szCs w:val="21"/>
        </w:rPr>
        <w:t xml:space="preserve">negociación directa de buena fe por 30 días corridos; en su defecto, arbitraje de derecho ante el Centro Empresarial de Mediación y Arbitraje (CEMA), tribunal de 3 árbitros, sede CABA, idioma español, laudo inapelable; ejecución y medidas cautelares ante los Tribunales Nacionales en lo Comercial de CABA</w:t>
      </w:r>
    </w:p>
    <w:p>
      <w:pPr>
        <w:pStyle w:val="ListParagraph"/>
        <w:numPr>
          <w:ilvl w:val="0"/>
          <w:numId w:val="2"/>
        </w:numPr>
        <w:spacing w:after="80" w:line="280"/>
      </w:pPr>
      <w:r>
        <w:rPr>
          <w:sz w:val="21"/>
          <w:szCs w:val="21"/>
        </w:rPr>
        <w:t xml:space="preserve">Cumplimiento específico: las Partes reconocen que el incumplimiento podría causar daño irreparable no compensable solo con daños monetarios, habilitando acciones de cumplimiento específico y medidas cautelares.</w:t>
      </w:r>
    </w:p>
    <w:p>
      <w:pPr>
        <w:pStyle w:val="Heading1"/>
        <w:pBdr>
          <w:bottom w:val="single" w:color="1F3864" w:sz="6" w:space="4"/>
        </w:pBdr>
        <w:spacing w:after="160" w:before="360"/>
      </w:pPr>
      <w:r>
        <w:rPr>
          <w:b/>
          <w:bCs/>
          <w:color w:val="1F3864"/>
          <w:sz w:val="28"/>
          <w:szCs w:val="28"/>
        </w:rPr>
        <w:t xml:space="preserve">6. Contrato de Prenda de Acciones (garantía)</w:t>
      </w:r>
    </w:p>
    <w:p>
      <w:pPr>
        <w:spacing w:after="140" w:line="300"/>
      </w:pPr>
      <w:r>
        <w:rPr>
          <w:sz w:val="21"/>
          <w:szCs w:val="21"/>
        </w:rPr>
        <w:t xml:space="preserve">Incluido como Anexo I de la Notificación de Aceptación. Constituye una prenda en primer grado sobre acciones de los Vendedores a favor de New PGA S.R.L. ("Acreedor"), con CDIMEX S.A. como tercero interviniente.</w:t>
      </w:r>
    </w:p>
    <w:p>
      <w:pPr>
        <w:spacing w:after="100" w:line="280"/>
      </w:pPr>
      <w:r>
        <w:rPr>
          <w:b/>
          <w:bCs/>
          <w:sz w:val="21"/>
          <w:szCs w:val="21"/>
        </w:rPr>
        <w:t xml:space="preserve">Acciones prendadas: </w:t>
      </w:r>
      <w:r>
        <w:rPr>
          <w:sz w:val="21"/>
          <w:szCs w:val="21"/>
        </w:rPr>
        <w:t xml:space="preserve">2,50% del capital social de CDIMEX S.A. (Anexo B de este Contrato)</w:t>
      </w:r>
    </w:p>
    <w:p>
      <w:pPr>
        <w:spacing w:after="100" w:line="280"/>
      </w:pPr>
      <w:r>
        <w:rPr>
          <w:b/>
          <w:bCs/>
          <w:sz w:val="21"/>
          <w:szCs w:val="21"/>
        </w:rPr>
        <w:t xml:space="preserve">Obligaciones garantizadas: </w:t>
      </w:r>
      <w:r>
        <w:rPr>
          <w:sz w:val="21"/>
          <w:szCs w:val="21"/>
        </w:rPr>
        <w:t xml:space="preserve">restitución de Adelantos de Ajuste y del Ajuste de Precio Negativo, y obligaciones de indemnidad de los Vendedores bajo el Artículo VIII del Contrato de Compraventa</w:t>
      </w:r>
    </w:p>
    <w:p>
      <w:pPr>
        <w:spacing w:after="100" w:line="280"/>
      </w:pPr>
      <w:r>
        <w:rPr>
          <w:b/>
          <w:bCs/>
          <w:sz w:val="21"/>
          <w:szCs w:val="21"/>
        </w:rPr>
        <w:t xml:space="preserve">Monto de la garantía: </w:t>
      </w:r>
      <w:r>
        <w:rPr>
          <w:sz w:val="21"/>
          <w:szCs w:val="21"/>
        </w:rPr>
        <w:t xml:space="preserve">hasta US$ 1.500.000, con más un Interés Punitorio del 12% nominal anual (compensatorio y moratorio), capitalizable semestralmente</w:t>
      </w:r>
    </w:p>
    <w:p>
      <w:pPr>
        <w:spacing w:after="100" w:line="280"/>
      </w:pPr>
      <w:r>
        <w:rPr>
          <w:b/>
          <w:bCs/>
          <w:sz w:val="21"/>
          <w:szCs w:val="21"/>
        </w:rPr>
        <w:t xml:space="preserve">Ejecución: </w:t>
      </w:r>
      <w:r>
        <w:rPr>
          <w:sz w:val="21"/>
          <w:szCs w:val="21"/>
        </w:rPr>
        <w:t xml:space="preserve">vía remate o venta extrajudicial, conforme artículos 2219, 2231 y concordantes del Código Civil y Comercial de la Nación</w:t>
      </w:r>
    </w:p>
    <w:p>
      <w:pPr>
        <w:spacing w:after="140" w:line="300"/>
      </w:pPr>
      <w:r>
        <w:rPr>
          <w:sz w:val="21"/>
          <w:szCs w:val="21"/>
        </w:rPr>
        <w:t xml:space="preserve">El Contrato menciona también, en el cuerpo del SPA, una "Prenda del Comprador" recíproca (Anexo 2.3.1(c)), constituida por el propio Comprador a favor de los Vendedores.</w:t>
      </w:r>
    </w:p>
    <w:p>
      <w:pPr>
        <w:pStyle w:val="Heading1"/>
        <w:pBdr>
          <w:bottom w:val="single" w:color="1F3864" w:sz="6" w:space="4"/>
        </w:pBdr>
        <w:spacing w:after="160" w:before="360"/>
      </w:pPr>
      <w:r>
        <w:rPr>
          <w:b/>
          <w:bCs/>
          <w:color w:val="1F3864"/>
          <w:sz w:val="28"/>
          <w:szCs w:val="28"/>
        </w:rPr>
        <w:t xml:space="preserve">7. Documentación Notarial y Societaria</w:t>
      </w:r>
    </w:p>
    <w:p>
      <w:pPr>
        <w:pStyle w:val="Heading2"/>
        <w:spacing w:after="120" w:before="280"/>
      </w:pPr>
      <w:r>
        <w:rPr>
          <w:b/>
          <w:bCs/>
          <w:color w:val="9C6B1F"/>
          <w:sz w:val="24"/>
          <w:szCs w:val="24"/>
        </w:rPr>
        <w:t xml:space="preserve">7.1 Certificación notarial de firmas</w:t>
      </w:r>
    </w:p>
    <w:p>
      <w:pPr>
        <w:spacing w:after="140" w:line="300"/>
      </w:pPr>
      <w:r>
        <w:rPr>
          <w:sz w:val="21"/>
          <w:szCs w:val="21"/>
        </w:rPr>
        <w:t xml:space="preserve">Escribano Subrogante del Registro Notarial N° 1697 de la Ciudad de Buenos Aires certifica, el 22/08/2025 (Acta N° 129, Libro 136), las firmas de Diego Aldo Cortassa, Darío Sebastián Cortassa, Franco Cortassa y María Alejandra Rico sobre la Oferta N° CCA GB-CDMX N° 001/2025.</w:t>
      </w:r>
    </w:p>
    <w:p>
      <w:pPr>
        <w:pStyle w:val="Heading2"/>
        <w:spacing w:after="120" w:before="280"/>
      </w:pPr>
      <w:r>
        <w:rPr>
          <w:b/>
          <w:bCs/>
          <w:color w:val="9C6B1F"/>
          <w:sz w:val="24"/>
          <w:szCs w:val="24"/>
        </w:rPr>
        <w:t xml:space="preserve">7.2 Acta de Directorio N° 72 de CDIMEX S.A. (22/08/2025)</w:t>
      </w:r>
    </w:p>
    <w:p>
      <w:pPr>
        <w:spacing w:after="140" w:line="300"/>
      </w:pPr>
      <w:r>
        <w:rPr>
          <w:sz w:val="21"/>
          <w:szCs w:val="21"/>
        </w:rPr>
        <w:t xml:space="preserve">Presidida por Diego Aldo Cortassa. El Directorio toma conocimiento de dos notificaciones de transferencia accionaria (Art. 215 Ley 19.550) y resuelve:</w:t>
      </w:r>
    </w:p>
    <w:p>
      <w:pPr>
        <w:pStyle w:val="ListParagraph"/>
        <w:numPr>
          <w:ilvl w:val="0"/>
          <w:numId w:val="2"/>
        </w:numPr>
        <w:spacing w:after="80" w:line="280"/>
      </w:pPr>
      <w:r>
        <w:rPr>
          <w:sz w:val="21"/>
          <w:szCs w:val="21"/>
        </w:rPr>
        <w:t xml:space="preserve">Registrar la transferencia de 2.000 acciones (10%) a favor de Gabriel Ary Brener (930 de Diego, 930 de Darío y 140 de Franco).</w:t>
      </w:r>
    </w:p>
    <w:p>
      <w:pPr>
        <w:pStyle w:val="ListParagraph"/>
        <w:numPr>
          <w:ilvl w:val="0"/>
          <w:numId w:val="2"/>
        </w:numPr>
        <w:spacing w:after="80" w:line="280"/>
      </w:pPr>
      <w:r>
        <w:rPr>
          <w:sz w:val="21"/>
          <w:szCs w:val="21"/>
        </w:rPr>
        <w:t xml:space="preserve">Registrar la transferencia de 8.000 acciones (40%) a favor de New PGA S.R.L. (3.720 de Diego, 3.720 de Darío y 560 de Franco).</w:t>
      </w:r>
    </w:p>
    <w:p>
      <w:pPr>
        <w:pStyle w:val="ListParagraph"/>
        <w:numPr>
          <w:ilvl w:val="0"/>
          <w:numId w:val="2"/>
        </w:numPr>
        <w:spacing w:after="80" w:line="280"/>
      </w:pPr>
      <w:r>
        <w:rPr>
          <w:sz w:val="21"/>
          <w:szCs w:val="21"/>
        </w:rPr>
        <w:t xml:space="preserve">Cancelar los títulos accionarios en circulación y emitir 5 nuevos títulos: N°1 Diego (4.650 acc.), N°2 Darío (4.650 acc.), N°3 Franco (700 acc.), N°4 New PGA S.R.L. (8.000 acc.) y N°5 Gabriel Ary Brener (2.000 acc.).</w:t>
      </w:r>
    </w:p>
    <w:p>
      <w:pPr>
        <w:spacing w:after="140" w:line="300"/>
      </w:pPr>
      <w:r>
        <w:rPr>
          <w:sz w:val="21"/>
          <w:szCs w:val="21"/>
        </w:rPr>
        <w:t xml:space="preserve">Firman el acta Diego Aldo Cortassa, Franco Cortassa y Giuliana Cortassa.</w:t>
      </w:r>
    </w:p>
    <w:p>
      <w:pPr>
        <w:pStyle w:val="Heading1"/>
        <w:pBdr>
          <w:bottom w:val="single" w:color="1F3864" w:sz="6" w:space="4"/>
        </w:pBdr>
        <w:spacing w:after="160" w:before="360"/>
      </w:pPr>
      <w:r>
        <w:rPr>
          <w:b/>
          <w:bCs/>
          <w:color w:val="1F3864"/>
          <w:sz w:val="28"/>
          <w:szCs w:val="28"/>
        </w:rPr>
        <w:t xml:space="preserve">8. Anexos Declarativos (documentación de respaldo / due diligence)</w:t>
      </w:r>
    </w:p>
    <w:p>
      <w:pPr>
        <w:spacing w:after="140" w:line="300"/>
      </w:pPr>
      <w:r>
        <w:rPr>
          <w:sz w:val="21"/>
          <w:szCs w:val="21"/>
        </w:rPr>
        <w:t xml:space="preserve">Ocupan la mayor parte del documento (aprox. páginas 105–248) y sustentan cada una de las declaraciones del Artículo 4.1. Entre los más relevantes: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shd w:fill="1F3864" w:val="clear"/>
            <w:tcMar>
              <w:top w:type="dxa" w:w="80"/>
              <w:left w:type="dxa" w:w="100"/>
              <w:bottom w:type="dxa" w:w="80"/>
              <w:right w:type="dxa" w:w="100"/>
            </w:tcMar>
          </w:tcPr>
          <w:p>
            <w:r>
              <w:rPr>
                <w:b/>
                <w:bCs/>
                <w:color w:val="FFFFFF"/>
                <w:sz w:val="19"/>
                <w:szCs w:val="19"/>
              </w:rPr>
              <w:t xml:space="preserve">Anexo</w:t>
            </w:r>
          </w:p>
        </w:tc>
        <w:tc>
          <w:tcPr>
            <w:tcW w:type="dxa" w:w="7100"/>
            <w:shd w:fill="1F3864" w:val="clear"/>
            <w:tcMar>
              <w:top w:type="dxa" w:w="80"/>
              <w:left w:type="dxa" w:w="100"/>
              <w:bottom w:type="dxa" w:w="80"/>
              <w:right w:type="dxa" w:w="100"/>
            </w:tcMar>
          </w:tcPr>
          <w:p>
            <w:r>
              <w:rPr>
                <w:b/>
                <w:bCs/>
                <w:color w:val="FFFFFF"/>
                <w:sz w:val="19"/>
                <w:szCs w:val="19"/>
              </w:rPr>
              <w:t xml:space="preserve">Contenido</w:t>
            </w:r>
          </w:p>
        </w:tc>
      </w:tr>
      <w:tr>
        <w:tc>
          <w:tcPr>
            <w:tcW w:type="dxa" w:w="1900"/>
            <w:tcMar>
              <w:top w:type="dxa" w:w="60"/>
              <w:left w:type="dxa" w:w="100"/>
              <w:bottom w:type="dxa" w:w="60"/>
              <w:right w:type="dxa" w:w="100"/>
            </w:tcMar>
          </w:tcPr>
          <w:p>
            <w:r>
              <w:rPr>
                <w:sz w:val="19"/>
                <w:szCs w:val="19"/>
              </w:rPr>
              <w:t xml:space="preserve">4.1(a)/(c)</w:t>
            </w:r>
          </w:p>
        </w:tc>
        <w:tc>
          <w:tcPr>
            <w:tcW w:type="dxa" w:w="7100"/>
            <w:tcMar>
              <w:top w:type="dxa" w:w="60"/>
              <w:left w:type="dxa" w:w="100"/>
              <w:bottom w:type="dxa" w:w="60"/>
              <w:right w:type="dxa" w:w="100"/>
            </w:tcMar>
          </w:tcPr>
          <w:p>
            <w:r>
              <w:rPr>
                <w:sz w:val="19"/>
                <w:szCs w:val="19"/>
              </w:rPr>
              <w:t xml:space="preserve">Estatuto social y documentos organizacionales; libros societarios; autoridades y poderes vigentes</w:t>
            </w:r>
          </w:p>
        </w:tc>
      </w:tr>
      <w:tr>
        <w:tc>
          <w:tcPr>
            <w:tcW w:type="dxa" w:w="1900"/>
            <w:tcMar>
              <w:top w:type="dxa" w:w="60"/>
              <w:left w:type="dxa" w:w="100"/>
              <w:bottom w:type="dxa" w:w="60"/>
              <w:right w:type="dxa" w:w="100"/>
            </w:tcMar>
          </w:tcPr>
          <w:p>
            <w:r>
              <w:rPr>
                <w:sz w:val="19"/>
                <w:szCs w:val="19"/>
              </w:rPr>
              <w:t xml:space="preserve">4.1(d)</w:t>
            </w:r>
          </w:p>
        </w:tc>
        <w:tc>
          <w:tcPr>
            <w:tcW w:type="dxa" w:w="7100"/>
            <w:tcMar>
              <w:top w:type="dxa" w:w="60"/>
              <w:left w:type="dxa" w:w="100"/>
              <w:bottom w:type="dxa" w:w="60"/>
              <w:right w:type="dxa" w:w="100"/>
            </w:tcMar>
          </w:tcPr>
          <w:p>
            <w:r>
              <w:rPr>
                <w:sz w:val="19"/>
                <w:szCs w:val="19"/>
              </w:rPr>
              <w:t xml:space="preserve">Detalle de capitalización y titularidad accionaria</w:t>
            </w:r>
          </w:p>
        </w:tc>
      </w:tr>
      <w:tr>
        <w:tc>
          <w:tcPr>
            <w:tcW w:type="dxa" w:w="1900"/>
            <w:tcMar>
              <w:top w:type="dxa" w:w="60"/>
              <w:left w:type="dxa" w:w="100"/>
              <w:bottom w:type="dxa" w:w="60"/>
              <w:right w:type="dxa" w:w="100"/>
            </w:tcMar>
          </w:tcPr>
          <w:p>
            <w:r>
              <w:rPr>
                <w:sz w:val="19"/>
                <w:szCs w:val="19"/>
              </w:rPr>
              <w:t xml:space="preserve">4.1(f)</w:t>
            </w:r>
          </w:p>
        </w:tc>
        <w:tc>
          <w:tcPr>
            <w:tcW w:type="dxa" w:w="7100"/>
            <w:tcMar>
              <w:top w:type="dxa" w:w="60"/>
              <w:left w:type="dxa" w:w="100"/>
              <w:bottom w:type="dxa" w:w="60"/>
              <w:right w:type="dxa" w:w="100"/>
            </w:tcMar>
          </w:tcPr>
          <w:p>
            <w:r>
              <w:rPr>
                <w:sz w:val="19"/>
                <w:szCs w:val="19"/>
              </w:rPr>
              <w:t xml:space="preserve">Estados Contables auditados (ejercicios 31/03/2024 y 31/03/2025), Memoria del Directorio, informe del auditor (David Carlos Berger), legalizaciones ante el Consejo Profesional de Ciencias Económicas de Santa Fe</w:t>
            </w:r>
          </w:p>
        </w:tc>
      </w:tr>
      <w:tr>
        <w:tc>
          <w:tcPr>
            <w:tcW w:type="dxa" w:w="1900"/>
            <w:tcMar>
              <w:top w:type="dxa" w:w="60"/>
              <w:left w:type="dxa" w:w="100"/>
              <w:bottom w:type="dxa" w:w="60"/>
              <w:right w:type="dxa" w:w="100"/>
            </w:tcMar>
          </w:tcPr>
          <w:p>
            <w:r>
              <w:rPr>
                <w:sz w:val="19"/>
                <w:szCs w:val="19"/>
              </w:rPr>
              <w:t xml:space="preserve">4.1(l)</w:t>
            </w:r>
          </w:p>
        </w:tc>
        <w:tc>
          <w:tcPr>
            <w:tcW w:type="dxa" w:w="7100"/>
            <w:tcMar>
              <w:top w:type="dxa" w:w="60"/>
              <w:left w:type="dxa" w:w="100"/>
              <w:bottom w:type="dxa" w:w="60"/>
              <w:right w:type="dxa" w:w="100"/>
            </w:tcMar>
          </w:tcPr>
          <w:p>
            <w:r>
              <w:rPr>
                <w:sz w:val="19"/>
                <w:szCs w:val="19"/>
              </w:rPr>
              <w:t xml:space="preserve">Listado y descripción de marcas propias y licenciadas (Fascino, Prive Collection, Relazzi, Little Paris, ORIA Parfums, Nail Pop, entre otras), con estado registral en Argentina y Uruguay</w:t>
            </w:r>
          </w:p>
        </w:tc>
      </w:tr>
      <w:tr>
        <w:tc>
          <w:tcPr>
            <w:tcW w:type="dxa" w:w="1900"/>
            <w:tcMar>
              <w:top w:type="dxa" w:w="60"/>
              <w:left w:type="dxa" w:w="100"/>
              <w:bottom w:type="dxa" w:w="60"/>
              <w:right w:type="dxa" w:w="100"/>
            </w:tcMar>
          </w:tcPr>
          <w:p>
            <w:r>
              <w:rPr>
                <w:sz w:val="19"/>
                <w:szCs w:val="19"/>
              </w:rPr>
              <w:t xml:space="preserve">4.1(m)/(n)</w:t>
            </w:r>
          </w:p>
        </w:tc>
        <w:tc>
          <w:tcPr>
            <w:tcW w:type="dxa" w:w="7100"/>
            <w:tcMar>
              <w:top w:type="dxa" w:w="60"/>
              <w:left w:type="dxa" w:w="100"/>
              <w:bottom w:type="dxa" w:w="60"/>
              <w:right w:type="dxa" w:w="100"/>
            </w:tcMar>
          </w:tcPr>
          <w:p>
            <w:r>
              <w:rPr>
                <w:sz w:val="19"/>
                <w:szCs w:val="19"/>
              </w:rPr>
              <w:t xml:space="preserve">Activos registrables; contratos materiales de la Compañía</w:t>
            </w:r>
          </w:p>
        </w:tc>
      </w:tr>
      <w:tr>
        <w:tc>
          <w:tcPr>
            <w:tcW w:type="dxa" w:w="1900"/>
            <w:tcMar>
              <w:top w:type="dxa" w:w="60"/>
              <w:left w:type="dxa" w:w="100"/>
              <w:bottom w:type="dxa" w:w="60"/>
              <w:right w:type="dxa" w:w="100"/>
            </w:tcMar>
          </w:tcPr>
          <w:p>
            <w:r>
              <w:rPr>
                <w:sz w:val="19"/>
                <w:szCs w:val="19"/>
              </w:rPr>
              <w:t xml:space="preserve">s/n (Endeudamiento post 31/03/2025)</w:t>
            </w:r>
          </w:p>
        </w:tc>
        <w:tc>
          <w:tcPr>
            <w:tcW w:type="dxa" w:w="7100"/>
            <w:tcMar>
              <w:top w:type="dxa" w:w="60"/>
              <w:left w:type="dxa" w:w="100"/>
              <w:bottom w:type="dxa" w:w="60"/>
              <w:right w:type="dxa" w:w="100"/>
            </w:tcMar>
          </w:tcPr>
          <w:p>
            <w:r>
              <w:rPr>
                <w:sz w:val="19"/>
                <w:szCs w:val="19"/>
              </w:rPr>
              <w:t xml:space="preserve">Detalle de descuentos de cheques y financiaciones de importación vigentes al 13/08/2025 (Mercado de Valores, líneas en USD/EUR)</w:t>
            </w:r>
          </w:p>
        </w:tc>
      </w:tr>
      <w:tr>
        <w:tc>
          <w:tcPr>
            <w:tcW w:type="dxa" w:w="1900"/>
            <w:tcMar>
              <w:top w:type="dxa" w:w="60"/>
              <w:left w:type="dxa" w:w="100"/>
              <w:bottom w:type="dxa" w:w="60"/>
              <w:right w:type="dxa" w:w="100"/>
            </w:tcMar>
          </w:tcPr>
          <w:p>
            <w:r>
              <w:rPr>
                <w:sz w:val="19"/>
                <w:szCs w:val="19"/>
              </w:rPr>
              <w:t xml:space="preserve">4.1(o)(i)-(vi)</w:t>
            </w:r>
          </w:p>
        </w:tc>
        <w:tc>
          <w:tcPr>
            <w:tcW w:type="dxa" w:w="7100"/>
            <w:tcMar>
              <w:top w:type="dxa" w:w="60"/>
              <w:left w:type="dxa" w:w="100"/>
              <w:bottom w:type="dxa" w:w="60"/>
              <w:right w:type="dxa" w:w="100"/>
            </w:tcMar>
          </w:tcPr>
          <w:p>
            <w:r>
              <w:rPr>
                <w:sz w:val="19"/>
                <w:szCs w:val="19"/>
              </w:rPr>
              <w:t xml:space="preserve">Nómina de empleados, convenios colectivos de trabajo aplicables (CCT 214/93, 157/91, 130/75), listado de contratistas independientes, beneficios (prepaga, auto de empresa, trabajo híbrido), acuerdos con empresas de personal eventual</w:t>
            </w:r>
          </w:p>
        </w:tc>
      </w:tr>
      <w:tr>
        <w:tc>
          <w:tcPr>
            <w:tcW w:type="dxa" w:w="1900"/>
            <w:tcMar>
              <w:top w:type="dxa" w:w="60"/>
              <w:left w:type="dxa" w:w="100"/>
              <w:bottom w:type="dxa" w:w="60"/>
              <w:right w:type="dxa" w:w="100"/>
            </w:tcMar>
          </w:tcPr>
          <w:p>
            <w:r>
              <w:rPr>
                <w:sz w:val="19"/>
                <w:szCs w:val="19"/>
              </w:rPr>
              <w:t xml:space="preserve">4.1(q)</w:t>
            </w:r>
          </w:p>
        </w:tc>
        <w:tc>
          <w:tcPr>
            <w:tcW w:type="dxa" w:w="7100"/>
            <w:tcMar>
              <w:top w:type="dxa" w:w="60"/>
              <w:left w:type="dxa" w:w="100"/>
              <w:bottom w:type="dxa" w:w="60"/>
              <w:right w:type="dxa" w:w="100"/>
            </w:tcMar>
          </w:tcPr>
          <w:p>
            <w:r>
              <w:rPr>
                <w:sz w:val="19"/>
                <w:szCs w:val="19"/>
              </w:rPr>
              <w:t xml:space="preserve">Procesos pendientes: se declara únicamente un expediente SECLO (EX-2025-75406576-APN-DSCLOS-MCH, reclamante Luis Sebastián Tevez)</w:t>
            </w:r>
          </w:p>
        </w:tc>
      </w:tr>
      <w:tr>
        <w:tc>
          <w:tcPr>
            <w:tcW w:type="dxa" w:w="1900"/>
            <w:tcMar>
              <w:top w:type="dxa" w:w="60"/>
              <w:left w:type="dxa" w:w="100"/>
              <w:bottom w:type="dxa" w:w="60"/>
              <w:right w:type="dxa" w:w="100"/>
            </w:tcMar>
          </w:tcPr>
          <w:p>
            <w:r>
              <w:rPr>
                <w:sz w:val="19"/>
                <w:szCs w:val="19"/>
              </w:rPr>
              <w:t xml:space="preserve">4.1(x)</w:t>
            </w:r>
          </w:p>
        </w:tc>
        <w:tc>
          <w:tcPr>
            <w:tcW w:type="dxa" w:w="7100"/>
            <w:tcMar>
              <w:top w:type="dxa" w:w="60"/>
              <w:left w:type="dxa" w:w="100"/>
              <w:bottom w:type="dxa" w:w="60"/>
              <w:right w:type="dxa" w:w="100"/>
            </w:tcMar>
          </w:tcPr>
          <w:p>
            <w:r>
              <w:rPr>
                <w:sz w:val="19"/>
                <w:szCs w:val="19"/>
              </w:rPr>
              <w:t xml:space="preserve">Coberturas de seguro vigentes</w:t>
            </w:r>
          </w:p>
        </w:tc>
      </w:tr>
      <w:tr>
        <w:tc>
          <w:tcPr>
            <w:tcW w:type="dxa" w:w="1900"/>
            <w:tcMar>
              <w:top w:type="dxa" w:w="60"/>
              <w:left w:type="dxa" w:w="100"/>
              <w:bottom w:type="dxa" w:w="60"/>
              <w:right w:type="dxa" w:w="100"/>
            </w:tcMar>
          </w:tcPr>
          <w:p>
            <w:r>
              <w:rPr>
                <w:sz w:val="19"/>
                <w:szCs w:val="19"/>
              </w:rPr>
              <w:t xml:space="preserve">4.1(y)</w:t>
            </w:r>
          </w:p>
        </w:tc>
        <w:tc>
          <w:tcPr>
            <w:tcW w:type="dxa" w:w="7100"/>
            <w:tcMar>
              <w:top w:type="dxa" w:w="60"/>
              <w:left w:type="dxa" w:w="100"/>
              <w:bottom w:type="dxa" w:w="60"/>
              <w:right w:type="dxa" w:w="100"/>
            </w:tcMar>
          </w:tcPr>
          <w:p>
            <w:r>
              <w:rPr>
                <w:sz w:val="19"/>
                <w:szCs w:val="19"/>
              </w:rPr>
              <w:t xml:space="preserve">Operaciones con partes relacionadas: mutuos y créditos entre CDIMEX S.A. y los Vendedores/Personas Relacionadas (incl. depósitos de garantía Cdimex–Dufree)</w:t>
            </w:r>
          </w:p>
        </w:tc>
      </w:tr>
    </w:tbl>
    <w:p>
      <w:pPr>
        <w:pStyle w:val="Heading1"/>
        <w:pBdr>
          <w:bottom w:val="single" w:color="1F3864" w:sz="6" w:space="4"/>
        </w:pBdr>
        <w:spacing w:after="160" w:before="360"/>
      </w:pPr>
      <w:r>
        <w:rPr>
          <w:b/>
          <w:bCs/>
          <w:color w:val="1F3864"/>
          <w:sz w:val="28"/>
          <w:szCs w:val="28"/>
        </w:rPr>
        <w:t xml:space="preserve">9. Puntos Relevantes y Observaciones</w:t>
      </w:r>
    </w:p>
    <w:p>
      <w:pPr>
        <w:pStyle w:val="ListParagraph"/>
        <w:numPr>
          <w:ilvl w:val="0"/>
          <w:numId w:val="2"/>
        </w:numPr>
        <w:spacing w:after="80" w:line="280"/>
      </w:pPr>
      <w:r>
        <w:rPr>
          <w:sz w:val="21"/>
          <w:szCs w:val="21"/>
        </w:rPr>
        <w:t xml:space="preserve">Operación combinada: aunque el Contrato principal (Anexo I) solo instrumenta la venta del 10% a Gabriel Ary Brener, la documentación societaria confirma que el mismo acto incluyó la venta de un 40% adicional a New PGA S.R.L., totalizando el 50% del capital de CDIMEX S.A.</w:t>
      </w:r>
    </w:p>
    <w:p>
      <w:pPr>
        <w:pStyle w:val="ListParagraph"/>
        <w:numPr>
          <w:ilvl w:val="0"/>
          <w:numId w:val="2"/>
        </w:numPr>
        <w:spacing w:after="80" w:line="280"/>
      </w:pPr>
      <w:r>
        <w:rPr>
          <w:sz w:val="21"/>
          <w:szCs w:val="21"/>
        </w:rPr>
        <w:t xml:space="preserve">Mecanismo de earn-out relevante: hasta US$ 1.500.000 adicionales al Precio Base de US$ 1.500.000 (es decir, el precio podría duplicarse), condicionado a un Resultado Neto Acumulado de US$ 57.000.000 en 5 años — objetivo económico exigente que amerita seguimiento.</w:t>
      </w:r>
    </w:p>
    <w:p>
      <w:pPr>
        <w:pStyle w:val="ListParagraph"/>
        <w:numPr>
          <w:ilvl w:val="0"/>
          <w:numId w:val="2"/>
        </w:numPr>
        <w:spacing w:after="80" w:line="280"/>
      </w:pPr>
      <w:r>
        <w:rPr>
          <w:sz w:val="21"/>
          <w:szCs w:val="21"/>
        </w:rPr>
        <w:t xml:space="preserve">Retención de Franco Cortassa: la permanencia de Franco en la gestión por 10 años es condición esencial del Comprador, con penalidad (diferimiento de pagos) si se aparta con causa.</w:t>
      </w:r>
    </w:p>
    <w:p>
      <w:pPr>
        <w:pStyle w:val="ListParagraph"/>
        <w:numPr>
          <w:ilvl w:val="0"/>
          <w:numId w:val="2"/>
        </w:numPr>
        <w:spacing w:after="80" w:line="280"/>
      </w:pPr>
      <w:r>
        <w:rPr>
          <w:sz w:val="21"/>
          <w:szCs w:val="21"/>
        </w:rPr>
        <w:t xml:space="preserve">Garantías cruzadas: prenda de los Vendedores (2,50% de las acciones) y prenda del Comprador, ambas para asegurar obligaciones de ajuste de precio e indemnidad.</w:t>
      </w:r>
    </w:p>
    <w:p>
      <w:pPr>
        <w:pStyle w:val="ListParagraph"/>
        <w:numPr>
          <w:ilvl w:val="0"/>
          <w:numId w:val="2"/>
        </w:numPr>
        <w:spacing w:after="80" w:line="280"/>
      </w:pPr>
      <w:r>
        <w:rPr>
          <w:sz w:val="21"/>
          <w:szCs w:val="21"/>
        </w:rPr>
        <w:t xml:space="preserve">Arbitraje CEMA en Buenos Aires como método exclusivo de resolución de disputas de fondo (con negociación previa obligatoria de 30 días).</w:t>
      </w:r>
    </w:p>
    <w:p>
      <w:pPr>
        <w:pStyle w:val="ListParagraph"/>
        <w:numPr>
          <w:ilvl w:val="0"/>
          <w:numId w:val="2"/>
        </w:numPr>
        <w:spacing w:after="80" w:line="280"/>
      </w:pPr>
      <w:r>
        <w:rPr>
          <w:sz w:val="21"/>
          <w:szCs w:val="21"/>
        </w:rPr>
        <w:t xml:space="preserve">Activos y estructuras excluidas expresamente de la Transacción: el depósito de garantía en Dufree International S.A. (Uruguay) por operatoria de importación de perfumes árabes, y un fideicomiso de octubre de 2024 vinculado al régimen de blanqueo de la Ley 27.743 — ambos puntos sensibles desde una perspectiva de compliance/fiscal.</w:t>
      </w:r>
    </w:p>
    <w:p>
      <w:pPr>
        <w:pStyle w:val="ListParagraph"/>
        <w:numPr>
          <w:ilvl w:val="0"/>
          <w:numId w:val="2"/>
        </w:numPr>
        <w:spacing w:after="80" w:line="280"/>
      </w:pPr>
      <w:r>
        <w:rPr>
          <w:sz w:val="21"/>
          <w:szCs w:val="21"/>
        </w:rPr>
        <w:t xml:space="preserve">Se detectó un único proceso legal pendiente declarado (reclamo laboral ante SECLO), lo cual sugiere una compañía con bajo nivel de litigiosidad al momento de la operación.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2026-08-06T16:03:00.982Z</dcterms:created>
  <dcterms:modified xsi:type="dcterms:W3CDTF">2026-08-06T16:03:00.982Z</dcterms:modified>
</cp:coreProperties>
</file>

<file path=docProps/custom.xml><?xml version="1.0" encoding="utf-8"?>
<Properties xmlns="http://schemas.openxmlformats.org/officeDocument/2006/custom-properties" xmlns:vt="http://schemas.openxmlformats.org/officeDocument/2006/docPropsVTypes"/>
</file>