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A11C" w14:textId="6244AD8F" w:rsidR="00341A3F" w:rsidRPr="00DC036C" w:rsidRDefault="009408AD" w:rsidP="00AB271C">
      <w:pPr>
        <w:jc w:val="center"/>
        <w:rPr>
          <w:rFonts w:ascii="Calibri" w:hAnsi="Calibri" w:cs="Calibri"/>
          <w:b/>
          <w:bCs/>
          <w:u w:val="single"/>
          <w:lang w:val="es-AR"/>
        </w:rPr>
      </w:pPr>
      <w:r w:rsidRPr="00DC036C">
        <w:rPr>
          <w:rFonts w:ascii="Calibri" w:hAnsi="Calibri" w:cs="Calibri"/>
          <w:b/>
          <w:bCs/>
          <w:u w:val="single"/>
          <w:lang w:val="es-AR"/>
        </w:rPr>
        <w:t>Estado de evolución del PN</w:t>
      </w:r>
    </w:p>
    <w:p w14:paraId="24C6F0B6" w14:textId="6CADE117" w:rsidR="00DA6350" w:rsidRPr="00DC036C" w:rsidRDefault="00DA6350" w:rsidP="00341A3F">
      <w:pPr>
        <w:jc w:val="both"/>
        <w:rPr>
          <w:rFonts w:ascii="Calibri" w:hAnsi="Calibri" w:cs="Calibri"/>
          <w:lang w:val="es-AR"/>
        </w:rPr>
      </w:pPr>
      <w:r w:rsidRPr="00DC036C">
        <w:rPr>
          <w:rFonts w:ascii="Calibri" w:hAnsi="Calibri" w:cs="Calibri"/>
          <w:i/>
          <w:iCs/>
          <w:lang w:val="es-AR"/>
        </w:rPr>
        <w:t xml:space="preserve"> Estado de evolución del patrimonio neto:</w:t>
      </w:r>
    </w:p>
    <w:p w14:paraId="7F0D41F1" w14:textId="77777777" w:rsidR="00DA6350" w:rsidRPr="00DC036C" w:rsidRDefault="00DA6350" w:rsidP="00341A3F">
      <w:pPr>
        <w:jc w:val="both"/>
        <w:rPr>
          <w:rFonts w:ascii="Calibri" w:hAnsi="Calibri" w:cs="Calibri"/>
          <w:lang w:val="es-AR"/>
        </w:rPr>
      </w:pPr>
      <w:r w:rsidRPr="00DC036C">
        <w:rPr>
          <w:rFonts w:ascii="Calibri" w:hAnsi="Calibri" w:cs="Calibri"/>
          <w:lang w:val="es-AR"/>
        </w:rPr>
        <w:t>El estado de evolución del patrimonio neto es el que muestra las variaciones o cambios ocurridos, durante el ejercicio, en el patrimonio neto y sus componentes significativos.</w:t>
      </w:r>
    </w:p>
    <w:p w14:paraId="142B07CA" w14:textId="080933C0" w:rsidR="00B97DC7" w:rsidRPr="00DC036C" w:rsidRDefault="00B97DC7" w:rsidP="00341A3F">
      <w:pPr>
        <w:jc w:val="both"/>
        <w:rPr>
          <w:rFonts w:ascii="Calibri" w:hAnsi="Calibri" w:cs="Calibri"/>
          <w:lang w:val="es-AR"/>
        </w:rPr>
      </w:pPr>
      <w:r w:rsidRPr="00DC036C">
        <w:rPr>
          <w:rFonts w:ascii="Calibri" w:hAnsi="Calibri" w:cs="Calibri"/>
          <w:lang w:val="es-AR"/>
        </w:rPr>
        <w:t>Se compone de dos partidas</w:t>
      </w:r>
      <w:r w:rsidR="005A248C" w:rsidRPr="00DC036C">
        <w:rPr>
          <w:rFonts w:ascii="Calibri" w:hAnsi="Calibri" w:cs="Calibri"/>
          <w:lang w:val="es-AR"/>
        </w:rPr>
        <w:t xml:space="preserve"> principales</w:t>
      </w:r>
      <w:r w:rsidRPr="00DC036C">
        <w:rPr>
          <w:rFonts w:ascii="Calibri" w:hAnsi="Calibri" w:cs="Calibri"/>
          <w:lang w:val="es-AR"/>
        </w:rPr>
        <w:t xml:space="preserve"> que se clasifican según su origen​</w:t>
      </w:r>
      <w:r w:rsidR="005A248C" w:rsidRPr="00DC036C">
        <w:rPr>
          <w:rFonts w:ascii="Calibri" w:hAnsi="Calibri" w:cs="Calibri"/>
          <w:lang w:val="es-AR"/>
        </w:rPr>
        <w:t xml:space="preserve"> en</w:t>
      </w:r>
    </w:p>
    <w:p w14:paraId="2D8A80B9" w14:textId="1D40FB4C" w:rsidR="00B97DC7" w:rsidRPr="00DC036C" w:rsidRDefault="00B97DC7" w:rsidP="00341A3F">
      <w:pPr>
        <w:numPr>
          <w:ilvl w:val="0"/>
          <w:numId w:val="1"/>
        </w:numPr>
        <w:jc w:val="both"/>
        <w:rPr>
          <w:rFonts w:ascii="Calibri" w:hAnsi="Calibri" w:cs="Calibri"/>
          <w:lang w:val="es-AR"/>
        </w:rPr>
      </w:pPr>
      <w:r w:rsidRPr="00DC036C">
        <w:rPr>
          <w:rFonts w:ascii="Calibri" w:hAnsi="Calibri" w:cs="Calibri"/>
          <w:lang w:val="es-AR"/>
        </w:rPr>
        <w:t>Aporte de los accionistas, en el cual se expone el capital suscripto, ajustes de capital y primas de emisión. ​</w:t>
      </w:r>
    </w:p>
    <w:p w14:paraId="631E7820" w14:textId="0496C6F1" w:rsidR="00FB073D" w:rsidRPr="00DC036C" w:rsidRDefault="00B97DC7" w:rsidP="00341A3F">
      <w:pPr>
        <w:numPr>
          <w:ilvl w:val="0"/>
          <w:numId w:val="2"/>
        </w:numPr>
        <w:jc w:val="both"/>
        <w:rPr>
          <w:rFonts w:ascii="Calibri" w:hAnsi="Calibri" w:cs="Calibri"/>
          <w:lang w:val="es-AR"/>
        </w:rPr>
      </w:pPr>
      <w:r w:rsidRPr="00DC036C">
        <w:rPr>
          <w:rFonts w:ascii="Calibri" w:hAnsi="Calibri" w:cs="Calibri"/>
          <w:lang w:val="es-AR"/>
        </w:rPr>
        <w:t>Resultados</w:t>
      </w:r>
      <w:r w:rsidR="005A248C" w:rsidRPr="00DC036C">
        <w:rPr>
          <w:rFonts w:ascii="Calibri" w:hAnsi="Calibri" w:cs="Calibri"/>
          <w:lang w:val="es-AR"/>
        </w:rPr>
        <w:t xml:space="preserve"> acumulados</w:t>
      </w:r>
      <w:r w:rsidRPr="00DC036C">
        <w:rPr>
          <w:rFonts w:ascii="Calibri" w:hAnsi="Calibri" w:cs="Calibri"/>
          <w:lang w:val="es-AR"/>
        </w:rPr>
        <w:t xml:space="preserve">, compuesto por reservas por disposiciones legales o por voluntad social u otras y por los resultados no asignados, que son aquellas ganancias o </w:t>
      </w:r>
      <w:r w:rsidR="000268C6" w:rsidRPr="00DC036C">
        <w:rPr>
          <w:rFonts w:ascii="Calibri" w:hAnsi="Calibri" w:cs="Calibri"/>
          <w:lang w:val="es-AR"/>
        </w:rPr>
        <w:t>pérdidas</w:t>
      </w:r>
      <w:r w:rsidRPr="00DC036C">
        <w:rPr>
          <w:rFonts w:ascii="Calibri" w:hAnsi="Calibri" w:cs="Calibri"/>
          <w:lang w:val="es-AR"/>
        </w:rPr>
        <w:t xml:space="preserve"> sin asignación especifica.​</w:t>
      </w:r>
    </w:p>
    <w:p w14:paraId="3EC32173" w14:textId="4156613E" w:rsidR="00814054" w:rsidRPr="00DC036C" w:rsidRDefault="005A248C" w:rsidP="00341A3F">
      <w:pPr>
        <w:jc w:val="both"/>
        <w:rPr>
          <w:rFonts w:ascii="Calibri" w:hAnsi="Calibri" w:cs="Calibri"/>
          <w:lang w:val="es-AR"/>
        </w:rPr>
      </w:pPr>
      <w:r w:rsidRPr="00DC036C">
        <w:rPr>
          <w:rFonts w:ascii="Calibri" w:hAnsi="Calibri" w:cs="Calibri"/>
          <w:lang w:val="es-AR"/>
        </w:rPr>
        <w:t>En el EEPN  se e</w:t>
      </w:r>
      <w:r w:rsidR="0074596C" w:rsidRPr="00DC036C">
        <w:rPr>
          <w:rFonts w:ascii="Calibri" w:hAnsi="Calibri" w:cs="Calibri"/>
          <w:lang w:val="es-AR"/>
        </w:rPr>
        <w:t>xpone la composición al cierre y la evolución durante el ejercicio de los aportes de los propietarios y resultados acumulados.​</w:t>
      </w:r>
      <w:r w:rsidRPr="00DC036C">
        <w:rPr>
          <w:rFonts w:ascii="Calibri" w:hAnsi="Calibri" w:cs="Calibri"/>
          <w:lang w:val="es-AR"/>
        </w:rPr>
        <w:t xml:space="preserve"> Los principales movimientos a considerar son:</w:t>
      </w:r>
    </w:p>
    <w:p w14:paraId="390E7147" w14:textId="6A4349A0" w:rsidR="00632F41" w:rsidRPr="00DC036C" w:rsidRDefault="00632F41" w:rsidP="00341A3F">
      <w:pPr>
        <w:numPr>
          <w:ilvl w:val="0"/>
          <w:numId w:val="2"/>
        </w:numPr>
        <w:jc w:val="both"/>
        <w:rPr>
          <w:rFonts w:ascii="Calibri" w:hAnsi="Calibri" w:cs="Calibri"/>
          <w:lang w:val="es-AR"/>
        </w:rPr>
      </w:pPr>
      <w:r w:rsidRPr="00DC036C">
        <w:rPr>
          <w:rFonts w:ascii="Calibri" w:hAnsi="Calibri" w:cs="Calibri"/>
          <w:b/>
          <w:bCs/>
          <w:lang w:val="es-AR"/>
        </w:rPr>
        <w:t>APORTES IRREVOCABLES:​</w:t>
      </w:r>
      <w:r w:rsidRPr="00DC036C">
        <w:rPr>
          <w:rFonts w:ascii="Calibri" w:hAnsi="Calibri" w:cs="Calibri"/>
          <w:lang w:val="es-AR"/>
        </w:rPr>
        <w:t>El aporte irrevocable a cuenta es el acto por el cual un accionista o un tercero entrega a la sociedad, en forma irrevocable, una suma de dinero, cuyo importe será destinado a una futura suscripción de acciones de la misma sociedad.​</w:t>
      </w:r>
    </w:p>
    <w:p w14:paraId="01398159" w14:textId="17BA3530" w:rsidR="00632F41" w:rsidRPr="00DC036C" w:rsidRDefault="00632F41" w:rsidP="00341A3F">
      <w:pPr>
        <w:numPr>
          <w:ilvl w:val="0"/>
          <w:numId w:val="2"/>
        </w:numPr>
        <w:jc w:val="both"/>
        <w:rPr>
          <w:rFonts w:ascii="Calibri" w:hAnsi="Calibri" w:cs="Calibri"/>
          <w:lang w:val="es-AR"/>
        </w:rPr>
      </w:pPr>
      <w:r w:rsidRPr="00DC036C">
        <w:rPr>
          <w:rFonts w:ascii="Calibri" w:hAnsi="Calibri" w:cs="Calibri"/>
          <w:b/>
          <w:bCs/>
          <w:lang w:val="es-AR"/>
        </w:rPr>
        <w:t>AUMENTOS/DISMINUCION CAPITAL</w:t>
      </w:r>
      <w:r w:rsidRPr="00DC036C">
        <w:rPr>
          <w:rFonts w:ascii="Calibri" w:hAnsi="Calibri" w:cs="Calibri"/>
          <w:lang w:val="es-AR"/>
        </w:rPr>
        <w:t>:​El aumento de capital consiste en la realización de nuevos aportes, en bienes o en efectivo a favor de la sociedad, que incrementan su economía a cambio de la entrega a los aportantes de nuevas acciones y / o participaciones o del aumento del valor nominal de las acciones y / o participaciones ya existentes. En caso contrario la disminución de capital se dará por el retiro de bienes o en efectivo de la sociedad, disminuyendo su economía y el valor nominal de las acciones y / o participaciones ya existentes. ​</w:t>
      </w:r>
    </w:p>
    <w:p w14:paraId="2A7D24C4" w14:textId="6DFB6202" w:rsidR="00632F41" w:rsidRPr="00DC036C" w:rsidRDefault="00632F41" w:rsidP="00341A3F">
      <w:pPr>
        <w:numPr>
          <w:ilvl w:val="0"/>
          <w:numId w:val="2"/>
        </w:numPr>
        <w:jc w:val="both"/>
        <w:rPr>
          <w:rStyle w:val="eop"/>
          <w:rFonts w:ascii="Calibri" w:hAnsi="Calibri" w:cs="Calibri"/>
          <w:lang w:val="es-AR"/>
        </w:rPr>
      </w:pPr>
      <w:r w:rsidRPr="00DC036C">
        <w:rPr>
          <w:rFonts w:ascii="Calibri" w:hAnsi="Calibri" w:cs="Calibri"/>
          <w:b/>
          <w:bCs/>
          <w:lang w:val="es-AR"/>
        </w:rPr>
        <w:t>DISTRIBUCION DE DIVIDENDOS</w:t>
      </w:r>
      <w:r w:rsidRPr="00DC036C">
        <w:rPr>
          <w:rFonts w:ascii="Calibri" w:hAnsi="Calibri" w:cs="Calibri"/>
          <w:lang w:val="es-AR"/>
        </w:rPr>
        <w:t>:​</w:t>
      </w:r>
      <w:r w:rsidR="00933398" w:rsidRPr="00DC036C">
        <w:rPr>
          <w:rFonts w:ascii="Calibri" w:hAnsi="Calibri" w:cs="Calibri"/>
          <w:lang w:val="es-AR"/>
        </w:rPr>
        <w:t>La distribución</w:t>
      </w:r>
      <w:r w:rsidRPr="00DC036C">
        <w:rPr>
          <w:rFonts w:ascii="Calibri" w:hAnsi="Calibri" w:cs="Calibri"/>
          <w:lang w:val="es-AR"/>
        </w:rPr>
        <w:t xml:space="preserve"> de dividendos es el acto por el que el beneficio que ha obtenido una sociedad se reparte entre los socios o accionistas de la sociedad. El importe de dividendos que recibirá cada socio o accionista dependerá de la participación que tenga en el capital social.</w:t>
      </w:r>
      <w:r w:rsidRPr="00DC036C">
        <w:rPr>
          <w:rStyle w:val="normaltextrun"/>
          <w:rFonts w:ascii="Calibri" w:hAnsi="Calibri" w:cs="Calibri"/>
          <w:color w:val="000000"/>
          <w:position w:val="1"/>
          <w:lang w:val="es-MX"/>
        </w:rPr>
        <w:t xml:space="preserve"> </w:t>
      </w:r>
      <w:r w:rsidRPr="00DC036C">
        <w:rPr>
          <w:rStyle w:val="eop"/>
          <w:rFonts w:ascii="Calibri" w:hAnsi="Calibri" w:cs="Calibri"/>
          <w:lang w:val="es-AR"/>
        </w:rPr>
        <w:t>​</w:t>
      </w:r>
    </w:p>
    <w:p w14:paraId="194EB543" w14:textId="1834748E" w:rsidR="00907B20" w:rsidRPr="00DC036C" w:rsidRDefault="00907B20" w:rsidP="00341A3F">
      <w:pPr>
        <w:numPr>
          <w:ilvl w:val="0"/>
          <w:numId w:val="2"/>
        </w:numPr>
        <w:jc w:val="both"/>
        <w:rPr>
          <w:rFonts w:ascii="Calibri" w:hAnsi="Calibri" w:cs="Calibri"/>
          <w:lang w:val="es-AR"/>
        </w:rPr>
      </w:pPr>
      <w:r w:rsidRPr="00DC036C">
        <w:rPr>
          <w:rFonts w:ascii="Calibri" w:hAnsi="Calibri" w:cs="Calibri"/>
          <w:b/>
          <w:bCs/>
          <w:lang w:val="es-AR"/>
        </w:rPr>
        <w:t>A</w:t>
      </w:r>
      <w:r w:rsidRPr="00DC036C">
        <w:rPr>
          <w:rFonts w:ascii="Calibri" w:hAnsi="Calibri" w:cs="Calibri"/>
          <w:lang w:val="es-AR"/>
        </w:rPr>
        <w:t>.</w:t>
      </w:r>
      <w:r w:rsidRPr="00DC036C">
        <w:rPr>
          <w:rFonts w:ascii="Calibri" w:hAnsi="Calibri" w:cs="Calibri"/>
          <w:b/>
          <w:bCs/>
          <w:lang w:val="es-AR"/>
        </w:rPr>
        <w:t xml:space="preserve">R.E.A: </w:t>
      </w:r>
      <w:r w:rsidR="00DD193F" w:rsidRPr="00DC036C">
        <w:rPr>
          <w:rFonts w:ascii="Calibri" w:hAnsi="Calibri" w:cs="Calibri"/>
          <w:lang w:val="es-AR"/>
        </w:rPr>
        <w:t>Los ajustes de resultados de ejercicios anteriores son correcciones que se aplican a los estados financieros de un periodo anterior para reflejar la información correcta</w:t>
      </w:r>
      <w:r w:rsidR="00096284" w:rsidRPr="00DC036C">
        <w:rPr>
          <w:rFonts w:ascii="Calibri" w:hAnsi="Calibri" w:cs="Calibri"/>
          <w:lang w:val="es-AR"/>
        </w:rPr>
        <w:t>. Los ajustes pueden ser debido a Errores detectados; errores materiales en los estados financieros previamente emitidos que deben ser corregidos</w:t>
      </w:r>
      <w:r w:rsidR="00F06B86" w:rsidRPr="00DC036C">
        <w:rPr>
          <w:rFonts w:ascii="Calibri" w:hAnsi="Calibri" w:cs="Calibri"/>
          <w:lang w:val="es-AR"/>
        </w:rPr>
        <w:t xml:space="preserve"> o </w:t>
      </w:r>
      <w:r w:rsidR="00096284" w:rsidRPr="00DC036C">
        <w:rPr>
          <w:rFonts w:ascii="Calibri" w:hAnsi="Calibri" w:cs="Calibri"/>
          <w:lang w:val="es-AR"/>
        </w:rPr>
        <w:t>Cambios en normas contables: La aplicación retroactiva de nuevas regulaciones o cambios en la forma de medir los resultado</w:t>
      </w:r>
      <w:r w:rsidR="00F06B86" w:rsidRPr="00DC036C">
        <w:rPr>
          <w:rFonts w:ascii="Calibri" w:hAnsi="Calibri" w:cs="Calibri"/>
          <w:lang w:val="es-AR"/>
        </w:rPr>
        <w:t>s</w:t>
      </w:r>
      <w:r w:rsidR="00E9730D" w:rsidRPr="00DC036C">
        <w:rPr>
          <w:rFonts w:ascii="Calibri" w:hAnsi="Calibri" w:cs="Calibri"/>
          <w:lang w:val="es-AR"/>
        </w:rPr>
        <w:t>.</w:t>
      </w:r>
    </w:p>
    <w:p w14:paraId="7FE31B1A" w14:textId="77777777" w:rsidR="00212026" w:rsidRPr="00DC036C" w:rsidRDefault="00212026" w:rsidP="00341A3F">
      <w:pPr>
        <w:ind w:left="720"/>
        <w:jc w:val="both"/>
        <w:rPr>
          <w:rFonts w:ascii="Calibri" w:hAnsi="Calibri" w:cs="Calibri"/>
          <w:lang w:val="es-AR"/>
        </w:rPr>
      </w:pPr>
      <w:r w:rsidRPr="00DC036C">
        <w:rPr>
          <w:rFonts w:ascii="Calibri" w:hAnsi="Calibri" w:cs="Calibri"/>
          <w:lang w:val="es-AR"/>
        </w:rPr>
        <w:t>Estado de Evolución del Patrimonio Neto</w:t>
      </w:r>
    </w:p>
    <w:p w14:paraId="4693BFD0" w14:textId="77777777" w:rsidR="00212026" w:rsidRPr="00DC036C" w:rsidRDefault="00212026" w:rsidP="00341A3F">
      <w:pPr>
        <w:ind w:left="720"/>
        <w:jc w:val="both"/>
        <w:rPr>
          <w:rFonts w:ascii="Calibri" w:hAnsi="Calibri" w:cs="Calibri"/>
          <w:lang w:val="es-AR"/>
        </w:rPr>
      </w:pPr>
      <w:r w:rsidRPr="00DC036C">
        <w:rPr>
          <w:rFonts w:ascii="Calibri" w:hAnsi="Calibri" w:cs="Calibri"/>
          <w:lang w:val="es-AR"/>
        </w:rPr>
        <w:lastRenderedPageBreak/>
        <w:t>1. El objetivo de realizar el Estado de Evolución del Patrimonio Neto es:</w:t>
      </w:r>
    </w:p>
    <w:p w14:paraId="2D3262B5" w14:textId="77777777" w:rsidR="00212026" w:rsidRPr="00DC036C" w:rsidRDefault="00212026" w:rsidP="00341A3F">
      <w:pPr>
        <w:ind w:left="720"/>
        <w:jc w:val="both"/>
        <w:rPr>
          <w:rFonts w:ascii="Calibri" w:hAnsi="Calibri" w:cs="Calibri"/>
          <w:lang w:val="es-AR"/>
        </w:rPr>
      </w:pPr>
      <w:r w:rsidRPr="00DC036C">
        <w:rPr>
          <w:rFonts w:ascii="Calibri" w:hAnsi="Calibri" w:cs="Calibri"/>
          <w:lang w:val="es-AR"/>
        </w:rPr>
        <w:t>a) Asegurarnos que estamos partiendo del último balance del año anterior con el cual se determinó la materia fiscal.</w:t>
      </w:r>
    </w:p>
    <w:p w14:paraId="010192EC" w14:textId="77777777" w:rsidR="00212026" w:rsidRPr="00DC036C" w:rsidRDefault="00212026" w:rsidP="00341A3F">
      <w:pPr>
        <w:ind w:left="720"/>
        <w:jc w:val="both"/>
        <w:rPr>
          <w:rFonts w:ascii="Calibri" w:hAnsi="Calibri" w:cs="Calibri"/>
          <w:lang w:val="es-AR"/>
        </w:rPr>
      </w:pPr>
      <w:r w:rsidRPr="00DC036C">
        <w:rPr>
          <w:rFonts w:ascii="Calibri" w:hAnsi="Calibri" w:cs="Calibri"/>
          <w:lang w:val="es-AR"/>
        </w:rPr>
        <w:t>b) Identificar partidas que no se encuentran en el resultado del ejercicio y que podrían tener implicancias fiscales (i.e. AREA, honorarios a directores, etc.).</w:t>
      </w:r>
    </w:p>
    <w:p w14:paraId="7FF6EE33" w14:textId="0816B2F2" w:rsidR="00212026" w:rsidRPr="00DC036C" w:rsidRDefault="00212026" w:rsidP="00341A3F">
      <w:pPr>
        <w:ind w:left="720"/>
        <w:jc w:val="both"/>
        <w:rPr>
          <w:rFonts w:ascii="Calibri" w:hAnsi="Calibri" w:cs="Calibri"/>
          <w:lang w:val="es-AR"/>
        </w:rPr>
      </w:pPr>
      <w:r w:rsidRPr="00DC036C">
        <w:rPr>
          <w:rFonts w:ascii="Calibri" w:hAnsi="Calibri" w:cs="Calibri"/>
          <w:lang w:val="es-AR"/>
        </w:rPr>
        <w:t>c) Determinar / Probar el resultado histórico del ejercicio del cual deberá partirse a los efectos de la determinación del impuesto.</w:t>
      </w:r>
    </w:p>
    <w:p w14:paraId="5A119FBB" w14:textId="092005D3" w:rsidR="00212026" w:rsidRPr="00DC036C" w:rsidRDefault="00212026" w:rsidP="00341A3F">
      <w:pPr>
        <w:ind w:left="720"/>
        <w:jc w:val="both"/>
        <w:rPr>
          <w:rFonts w:ascii="Calibri" w:hAnsi="Calibri" w:cs="Calibri"/>
          <w:lang w:val="es-AR"/>
        </w:rPr>
      </w:pPr>
      <w:r w:rsidRPr="00DC036C">
        <w:rPr>
          <w:rFonts w:ascii="Calibri" w:hAnsi="Calibri" w:cs="Calibri"/>
          <w:lang w:val="es-AR"/>
        </w:rPr>
        <w:t>2. En caso de distribución de dividendos (en efectivo o en especies), analizar si corresponde efectuar la retención correspondiente al impuesto de igualación. Analizar con la Sociedad los criterios asumidos a los efectos de dicho cálculo.</w:t>
      </w:r>
    </w:p>
    <w:p w14:paraId="6EA5C37A" w14:textId="48EA56A4" w:rsidR="002044A2" w:rsidRPr="00DC036C" w:rsidRDefault="00212026" w:rsidP="00317CE9">
      <w:pPr>
        <w:ind w:left="720"/>
        <w:jc w:val="both"/>
        <w:rPr>
          <w:rFonts w:ascii="Calibri" w:hAnsi="Calibri" w:cs="Calibri"/>
          <w:lang w:val="es-AR"/>
        </w:rPr>
      </w:pPr>
      <w:r w:rsidRPr="00DC036C">
        <w:rPr>
          <w:rFonts w:ascii="Calibri" w:hAnsi="Calibri" w:cs="Calibri"/>
          <w:lang w:val="es-AR"/>
        </w:rPr>
        <w:t>3. AREA: analizar si tiene efectos impositivos; en dicho caso analizar si se rectifican las declaraciones juradas anteriores o se incorpora al resultado impositivo del ejercicio.</w:t>
      </w:r>
    </w:p>
    <w:p w14:paraId="1AC9271B" w14:textId="2C8C1AD0" w:rsidR="00917763" w:rsidRPr="00DC036C" w:rsidRDefault="00917763" w:rsidP="00317CE9">
      <w:pPr>
        <w:jc w:val="both"/>
        <w:rPr>
          <w:rFonts w:ascii="Calibri" w:hAnsi="Calibri" w:cs="Calibri"/>
          <w:lang w:val="es-AR"/>
        </w:rPr>
      </w:pPr>
      <w:r w:rsidRPr="00DC036C">
        <w:rPr>
          <w:rFonts w:ascii="Calibri" w:hAnsi="Calibri" w:cs="Calibri"/>
          <w:b/>
          <w:bCs/>
          <w:lang w:val="es-AR"/>
        </w:rPr>
        <w:t>PN  al inicio</w:t>
      </w:r>
      <w:r w:rsidRPr="00DC036C">
        <w:rPr>
          <w:rFonts w:ascii="Calibri" w:hAnsi="Calibri" w:cs="Calibri"/>
          <w:lang w:val="es-AR"/>
        </w:rPr>
        <w:t>: Ligar importe con BS, IGJ y EEPN del ejercicio anterior.</w:t>
      </w:r>
    </w:p>
    <w:p w14:paraId="561D47A0" w14:textId="3AEC28E2" w:rsidR="00917763" w:rsidRPr="00DC036C" w:rsidRDefault="00212F44" w:rsidP="00317CE9">
      <w:pPr>
        <w:jc w:val="both"/>
        <w:rPr>
          <w:rFonts w:ascii="Calibri" w:hAnsi="Calibri" w:cs="Calibri"/>
          <w:lang w:val="es-AR"/>
        </w:rPr>
      </w:pPr>
      <w:r w:rsidRPr="00DC036C">
        <w:rPr>
          <w:rFonts w:ascii="Calibri" w:hAnsi="Calibri" w:cs="Calibri"/>
          <w:lang w:val="es-AR"/>
        </w:rPr>
        <w:t>Aportes irrevocables: Ligar con IGJ y Acta de Asamblea</w:t>
      </w:r>
      <w:r w:rsidR="00C1566C" w:rsidRPr="00DC036C">
        <w:rPr>
          <w:rFonts w:ascii="Calibri" w:hAnsi="Calibri" w:cs="Calibri"/>
          <w:lang w:val="es-AR"/>
        </w:rPr>
        <w:t xml:space="preserve">. Deben consignarse los mismos a valores históricos </w:t>
      </w:r>
    </w:p>
    <w:p w14:paraId="5C4FF45D" w14:textId="46EC2EC0" w:rsidR="00C1566C" w:rsidRPr="00DC036C" w:rsidRDefault="005251C7" w:rsidP="00317CE9">
      <w:pPr>
        <w:jc w:val="both"/>
        <w:rPr>
          <w:rFonts w:ascii="Calibri" w:hAnsi="Calibri" w:cs="Calibri"/>
          <w:lang w:val="es-AR"/>
        </w:rPr>
      </w:pPr>
      <w:r w:rsidRPr="00DC036C">
        <w:rPr>
          <w:rFonts w:ascii="Calibri" w:hAnsi="Calibri" w:cs="Calibri"/>
          <w:lang w:val="es-AR"/>
        </w:rPr>
        <w:t>Aumentos/Disminuciones de capital: Ligar con IGJ y Acta de Asamblea. Deben consignarse los mismos a valores históricos</w:t>
      </w:r>
      <w:r w:rsidR="007A6829" w:rsidRPr="00DC036C">
        <w:rPr>
          <w:rFonts w:ascii="Calibri" w:hAnsi="Calibri" w:cs="Calibri"/>
          <w:lang w:val="es-AR"/>
        </w:rPr>
        <w:t>.</w:t>
      </w:r>
    </w:p>
    <w:p w14:paraId="5A6A5224" w14:textId="49D8EC86" w:rsidR="007A6829" w:rsidRPr="00DC036C" w:rsidRDefault="007A6829" w:rsidP="00317CE9">
      <w:pPr>
        <w:jc w:val="both"/>
        <w:rPr>
          <w:rFonts w:ascii="Calibri" w:hAnsi="Calibri" w:cs="Calibri"/>
          <w:lang w:val="es-AR"/>
        </w:rPr>
      </w:pPr>
      <w:r w:rsidRPr="00DC036C">
        <w:rPr>
          <w:rFonts w:ascii="Calibri" w:hAnsi="Calibri" w:cs="Calibri"/>
          <w:lang w:val="es-AR"/>
        </w:rPr>
        <w:t>Distribución de dividendos: Ligar con IGJ y Acta de Asamblea. Deben consignarse los mismos a valores históricos.</w:t>
      </w:r>
    </w:p>
    <w:p w14:paraId="0DB3B09B" w14:textId="56BD53D6" w:rsidR="007A6829" w:rsidRPr="00DC036C" w:rsidRDefault="00EC3A83" w:rsidP="00317CE9">
      <w:pPr>
        <w:jc w:val="both"/>
        <w:rPr>
          <w:rFonts w:ascii="Calibri" w:hAnsi="Calibri" w:cs="Calibri"/>
          <w:lang w:val="es-AR"/>
        </w:rPr>
      </w:pPr>
      <w:r w:rsidRPr="00DC036C">
        <w:rPr>
          <w:rFonts w:ascii="Calibri" w:hAnsi="Calibri" w:cs="Calibri"/>
          <w:lang w:val="es-AR"/>
        </w:rPr>
        <w:t xml:space="preserve">Ajuste por inflación/revaluos: </w:t>
      </w:r>
    </w:p>
    <w:p w14:paraId="77352F1B" w14:textId="45351B78" w:rsidR="00C83D41" w:rsidRPr="00DC036C" w:rsidRDefault="00C83D41" w:rsidP="00317CE9">
      <w:pPr>
        <w:jc w:val="both"/>
        <w:rPr>
          <w:rFonts w:ascii="Calibri" w:hAnsi="Calibri" w:cs="Calibri"/>
          <w:lang w:val="es-AR"/>
        </w:rPr>
      </w:pPr>
      <w:r w:rsidRPr="00DC036C">
        <w:rPr>
          <w:rFonts w:ascii="Calibri" w:hAnsi="Calibri" w:cs="Calibri"/>
          <w:lang w:val="es-AR"/>
        </w:rPr>
        <w:t>Bienes de uso</w:t>
      </w:r>
    </w:p>
    <w:p w14:paraId="387374CD" w14:textId="579E405F" w:rsidR="00C83D41" w:rsidRPr="00DC036C" w:rsidRDefault="00C83D41" w:rsidP="00317CE9">
      <w:pPr>
        <w:jc w:val="both"/>
        <w:rPr>
          <w:rFonts w:ascii="Calibri" w:hAnsi="Calibri" w:cs="Calibri"/>
          <w:lang w:val="es-AR"/>
        </w:rPr>
      </w:pPr>
      <w:r w:rsidRPr="00DC036C">
        <w:rPr>
          <w:rFonts w:ascii="Calibri" w:hAnsi="Calibri" w:cs="Calibri"/>
          <w:lang w:val="es-AR"/>
        </w:rPr>
        <w:t>Bienes intangibles</w:t>
      </w:r>
    </w:p>
    <w:p w14:paraId="5A3F8629" w14:textId="7F11723E" w:rsidR="00C83D41" w:rsidRPr="00DC036C" w:rsidRDefault="00C83D41" w:rsidP="00317CE9">
      <w:pPr>
        <w:jc w:val="both"/>
        <w:rPr>
          <w:rFonts w:ascii="Calibri" w:hAnsi="Calibri" w:cs="Calibri"/>
          <w:lang w:val="es-AR"/>
        </w:rPr>
      </w:pPr>
      <w:r w:rsidRPr="00DC036C">
        <w:rPr>
          <w:rFonts w:ascii="Calibri" w:hAnsi="Calibri" w:cs="Calibri"/>
          <w:lang w:val="es-AR"/>
        </w:rPr>
        <w:t xml:space="preserve">Inversiones permanentes </w:t>
      </w:r>
    </w:p>
    <w:p w14:paraId="402A3312" w14:textId="7FF09CC3" w:rsidR="00EC5853" w:rsidRPr="00DC036C" w:rsidRDefault="00EC5853" w:rsidP="00317CE9">
      <w:pPr>
        <w:jc w:val="both"/>
        <w:rPr>
          <w:rFonts w:ascii="Calibri" w:hAnsi="Calibri" w:cs="Calibri"/>
          <w:lang w:val="es-AR"/>
        </w:rPr>
      </w:pPr>
      <w:r w:rsidRPr="00DC036C">
        <w:rPr>
          <w:rFonts w:ascii="Calibri" w:hAnsi="Calibri" w:cs="Calibri"/>
          <w:lang w:val="es-AR"/>
        </w:rPr>
        <w:t>Honorarios a directores</w:t>
      </w:r>
      <w:r w:rsidR="00F35430" w:rsidRPr="00DC036C">
        <w:rPr>
          <w:rFonts w:ascii="Calibri" w:hAnsi="Calibri" w:cs="Calibri"/>
          <w:lang w:val="es-AR"/>
        </w:rPr>
        <w:t xml:space="preserve">: </w:t>
      </w:r>
      <w:r w:rsidR="009B7348" w:rsidRPr="00DC036C">
        <w:rPr>
          <w:rFonts w:ascii="Calibri" w:hAnsi="Calibri" w:cs="Calibri"/>
          <w:lang w:val="es-AR"/>
        </w:rPr>
        <w:t>Ligar con IGJ y Acta de Asamblea. Deben consignarse los mismos a valores históricos.</w:t>
      </w:r>
    </w:p>
    <w:p w14:paraId="456B6D4B" w14:textId="77777777" w:rsidR="002044A2" w:rsidRPr="00DC036C" w:rsidRDefault="00363C0F" w:rsidP="00317CE9">
      <w:pPr>
        <w:jc w:val="both"/>
        <w:rPr>
          <w:rFonts w:ascii="Calibri" w:hAnsi="Calibri" w:cs="Calibri"/>
          <w:lang w:val="es-AR"/>
        </w:rPr>
      </w:pPr>
      <w:r w:rsidRPr="00DC036C">
        <w:rPr>
          <w:rFonts w:ascii="Calibri" w:hAnsi="Calibri" w:cs="Calibri"/>
          <w:lang w:val="es-AR"/>
        </w:rPr>
        <w:t xml:space="preserve">Resultado histórico del ejercicio: </w:t>
      </w:r>
      <w:r w:rsidR="00182509" w:rsidRPr="00DC036C">
        <w:rPr>
          <w:rFonts w:ascii="Calibri" w:hAnsi="Calibri" w:cs="Calibri"/>
          <w:lang w:val="es-AR"/>
        </w:rPr>
        <w:t xml:space="preserve">Ligar Importe con BS que contenga el resultado histórico </w:t>
      </w:r>
      <w:r w:rsidR="00F35430" w:rsidRPr="00DC036C">
        <w:rPr>
          <w:rFonts w:ascii="Calibri" w:hAnsi="Calibri" w:cs="Calibri"/>
          <w:lang w:val="es-AR"/>
        </w:rPr>
        <w:t>del ejercici</w:t>
      </w:r>
      <w:r w:rsidR="002044A2" w:rsidRPr="00DC036C">
        <w:rPr>
          <w:rFonts w:ascii="Calibri" w:hAnsi="Calibri" w:cs="Calibri"/>
          <w:lang w:val="es-AR"/>
        </w:rPr>
        <w:t>o</w:t>
      </w:r>
    </w:p>
    <w:p w14:paraId="7957B9B8" w14:textId="5E2B7D1B" w:rsidR="0064009E" w:rsidRPr="00DC036C" w:rsidRDefault="0064009E" w:rsidP="00C66B7C">
      <w:pPr>
        <w:jc w:val="both"/>
        <w:rPr>
          <w:rFonts w:ascii="Calibri" w:hAnsi="Calibri" w:cs="Calibri"/>
          <w:lang w:val="es-AR"/>
        </w:rPr>
      </w:pPr>
      <w:r w:rsidRPr="00DC036C">
        <w:rPr>
          <w:rFonts w:ascii="Calibri" w:hAnsi="Calibri" w:cs="Calibri"/>
          <w:b/>
          <w:bCs/>
          <w:u w:val="single"/>
          <w:lang w:val="es-AR"/>
        </w:rPr>
        <w:t>Normativa</w:t>
      </w:r>
    </w:p>
    <w:p w14:paraId="7AC4907C" w14:textId="2D1ACEF8" w:rsidR="009408AD" w:rsidRPr="00DC036C" w:rsidRDefault="009408AD" w:rsidP="00C66B7C">
      <w:pPr>
        <w:jc w:val="both"/>
        <w:rPr>
          <w:rFonts w:ascii="Calibri" w:hAnsi="Calibri" w:cs="Calibri"/>
          <w:lang w:val="es-AR"/>
        </w:rPr>
      </w:pPr>
      <w:r w:rsidRPr="00DC036C">
        <w:rPr>
          <w:rFonts w:ascii="Calibri" w:hAnsi="Calibri" w:cs="Calibri"/>
          <w:b/>
          <w:bCs/>
          <w:lang w:val="es-AR"/>
        </w:rPr>
        <w:t xml:space="preserve">Art. </w:t>
      </w:r>
      <w:r w:rsidR="00EE2D0D" w:rsidRPr="00DC036C">
        <w:rPr>
          <w:rFonts w:ascii="Calibri" w:hAnsi="Calibri" w:cs="Calibri"/>
          <w:b/>
          <w:bCs/>
          <w:lang w:val="es-AR"/>
        </w:rPr>
        <w:t>74</w:t>
      </w:r>
      <w:r w:rsidRPr="00DC036C">
        <w:rPr>
          <w:rFonts w:ascii="Calibri" w:hAnsi="Calibri" w:cs="Calibri"/>
          <w:lang w:val="es-AR"/>
        </w:rPr>
        <w:t xml:space="preserve">- Cuando los sujetos comprendidos en los apartados 1,2,3,6 y 7 del inciso a) del artículo </w:t>
      </w:r>
      <w:r w:rsidR="00130EDF" w:rsidRPr="00DC036C">
        <w:rPr>
          <w:rFonts w:ascii="Calibri" w:hAnsi="Calibri" w:cs="Calibri"/>
          <w:lang w:val="es-AR"/>
        </w:rPr>
        <w:t>73</w:t>
      </w:r>
      <w:r w:rsidRPr="00DC036C">
        <w:rPr>
          <w:rFonts w:ascii="Calibri" w:hAnsi="Calibri" w:cs="Calibri"/>
          <w:lang w:val="es-AR"/>
        </w:rPr>
        <w:t xml:space="preserve">, así como también los indicados en el inciso b) del mismo artículo, efectúen pagos de </w:t>
      </w:r>
      <w:r w:rsidRPr="00DC036C">
        <w:rPr>
          <w:rFonts w:ascii="Calibri" w:hAnsi="Calibri" w:cs="Calibri"/>
          <w:lang w:val="es-AR"/>
        </w:rPr>
        <w:lastRenderedPageBreak/>
        <w:t>dividendos o, en su caso, distribuyan utilidades, en dinero o en especie, que superen las ganancias determinadas en base a la aplicación de las normas generales de esta ley, acumuladas al cierre del ejercicio inmediato anterior a la fecha de dicho pago o distribución, deberán retener con carácter de pago único y definitivo, el treinta y cinco por ciento (35%) sobre el referido excedente.</w:t>
      </w:r>
    </w:p>
    <w:p w14:paraId="61E7E074" w14:textId="77777777" w:rsidR="009408AD" w:rsidRPr="00DC036C" w:rsidRDefault="009408AD" w:rsidP="00C66B7C">
      <w:pPr>
        <w:jc w:val="both"/>
        <w:rPr>
          <w:rFonts w:ascii="Calibri" w:hAnsi="Calibri" w:cs="Calibri"/>
          <w:lang w:val="es-AR"/>
        </w:rPr>
      </w:pPr>
      <w:r w:rsidRPr="00DC036C">
        <w:rPr>
          <w:rFonts w:ascii="Calibri" w:hAnsi="Calibri" w:cs="Calibri"/>
          <w:lang w:val="es-AR"/>
        </w:rPr>
        <w:t>A efectos de lo dispuesto en el párrafo anterior, la ganancia a considerar en cada ejercicio será la que resulte de detraer a la ganancia determinada en base a la aplicación de las normas generales de esta ley, el impuesto pagado por el o los períodos fiscales de origen de la ganancia que se distribuye o la parte proporcional correspondiente y sumarle los dividendos o utilidades provenientes de otras sociedades de capital no computados en la determinación de dicha ganancia en el o los mismos períodos fiscales.</w:t>
      </w:r>
    </w:p>
    <w:p w14:paraId="179AA247" w14:textId="77777777" w:rsidR="009408AD" w:rsidRPr="00DC036C" w:rsidRDefault="009408AD" w:rsidP="00C66B7C">
      <w:pPr>
        <w:jc w:val="both"/>
        <w:rPr>
          <w:rFonts w:ascii="Calibri" w:hAnsi="Calibri" w:cs="Calibri"/>
          <w:lang w:val="es-AR"/>
        </w:rPr>
      </w:pPr>
      <w:r w:rsidRPr="00DC036C">
        <w:rPr>
          <w:rFonts w:ascii="Calibri" w:hAnsi="Calibri" w:cs="Calibri"/>
          <w:lang w:val="es-AR"/>
        </w:rPr>
        <w:t>Si se tratara de dividendos o utilidades en especie, el ingreso de la retención indicada será efectuado por el sujeto que realiza la distribución o el agente pagador, sin perjuicio de su derecho a exigir el reintegro por parte de los beneficiarios y de diferir la entrega de los bienes hasta que se haga efectivo el régimen.</w:t>
      </w:r>
    </w:p>
    <w:p w14:paraId="6A403141" w14:textId="1F6F2296" w:rsidR="00BA54DE" w:rsidRPr="00DC036C" w:rsidRDefault="009408AD" w:rsidP="00C66B7C">
      <w:pPr>
        <w:jc w:val="both"/>
        <w:rPr>
          <w:rFonts w:ascii="Calibri" w:hAnsi="Calibri" w:cs="Calibri"/>
          <w:lang w:val="es-AR"/>
        </w:rPr>
      </w:pPr>
      <w:r w:rsidRPr="00DC036C">
        <w:rPr>
          <w:rFonts w:ascii="Calibri" w:hAnsi="Calibri" w:cs="Calibri"/>
          <w:lang w:val="es-AR"/>
        </w:rPr>
        <w:t>Las disposiciones de este artículo no serán de aplicación a los fideicomisos financieros cuyos certificados de participación sean colocados por oferta pública, en los casos y condiciones que al respecto establezca la reglamentación.</w:t>
      </w:r>
    </w:p>
    <w:p w14:paraId="3B0CF0F5" w14:textId="2AF69A02" w:rsidR="008E73DC" w:rsidRPr="00DC036C" w:rsidRDefault="00BA54DE" w:rsidP="00C66B7C">
      <w:pPr>
        <w:jc w:val="both"/>
        <w:rPr>
          <w:rFonts w:ascii="Calibri" w:hAnsi="Calibri" w:cs="Calibri"/>
          <w:lang w:val="es-AR"/>
        </w:rPr>
      </w:pPr>
      <w:r w:rsidRPr="00DC036C">
        <w:rPr>
          <w:rFonts w:ascii="Calibri" w:hAnsi="Calibri" w:cs="Calibri"/>
          <w:b/>
          <w:bCs/>
          <w:lang w:val="es-AR"/>
        </w:rPr>
        <w:t xml:space="preserve">Art. </w:t>
      </w:r>
      <w:r w:rsidR="00D102FF" w:rsidRPr="00DC036C">
        <w:rPr>
          <w:rFonts w:ascii="Calibri" w:hAnsi="Calibri" w:cs="Calibri"/>
          <w:b/>
          <w:bCs/>
          <w:lang w:val="es-AR"/>
        </w:rPr>
        <w:t>50</w:t>
      </w:r>
      <w:r w:rsidRPr="00DC036C">
        <w:rPr>
          <w:rFonts w:ascii="Calibri" w:hAnsi="Calibri" w:cs="Calibri"/>
          <w:b/>
          <w:bCs/>
          <w:lang w:val="es-AR"/>
        </w:rPr>
        <w:t xml:space="preserve"> -</w:t>
      </w:r>
      <w:r w:rsidRPr="00DC036C">
        <w:rPr>
          <w:rFonts w:ascii="Calibri" w:hAnsi="Calibri" w:cs="Calibri"/>
          <w:lang w:val="es-AR"/>
        </w:rPr>
        <w:t xml:space="preserve"> Se presumirá que se ha configurado la puesta a disposición de los dividendos o utilidades asimilables, en los términos del artículo </w:t>
      </w:r>
      <w:r w:rsidR="00DF0F55" w:rsidRPr="00DC036C">
        <w:rPr>
          <w:rFonts w:ascii="Calibri" w:hAnsi="Calibri" w:cs="Calibri"/>
          <w:lang w:val="es-AR"/>
        </w:rPr>
        <w:t xml:space="preserve">24 </w:t>
      </w:r>
      <w:r w:rsidRPr="00DC036C">
        <w:rPr>
          <w:rFonts w:ascii="Calibri" w:hAnsi="Calibri" w:cs="Calibri"/>
          <w:lang w:val="es-AR"/>
        </w:rPr>
        <w:t>de esta ley, conforme lo dispuesto en el quinto párrafo de su inciso a), cuando se verifique alguna de las situaciones que se enumeran a continuación, en la magnitud que se prevé para cada una de ellas:</w:t>
      </w:r>
      <w:r w:rsidRPr="00DC036C">
        <w:rPr>
          <w:rFonts w:ascii="Calibri" w:hAnsi="Calibri" w:cs="Calibri"/>
          <w:lang w:val="es-AR"/>
        </w:rPr>
        <w:br/>
      </w:r>
      <w:r w:rsidRPr="00DC036C">
        <w:rPr>
          <w:rFonts w:ascii="Calibri" w:hAnsi="Calibri" w:cs="Calibri"/>
          <w:lang w:val="es-AR"/>
        </w:rPr>
        <w:br/>
        <w:t xml:space="preserve">a) Los titulares, propietarios, socios, accionistas, cuotapartistas, fiduciantes o beneficiarios de los sujetos comprendidos en el artículo </w:t>
      </w:r>
      <w:r w:rsidR="00663836" w:rsidRPr="00DC036C">
        <w:rPr>
          <w:rFonts w:ascii="Calibri" w:hAnsi="Calibri" w:cs="Calibri"/>
          <w:lang w:val="es-AR"/>
        </w:rPr>
        <w:t xml:space="preserve">73 </w:t>
      </w:r>
      <w:r w:rsidRPr="00DC036C">
        <w:rPr>
          <w:rFonts w:ascii="Calibri" w:hAnsi="Calibri" w:cs="Calibri"/>
          <w:lang w:val="es-AR"/>
        </w:rPr>
        <w:t>realicen retiros de fondos por cualquier causa, por el importe de tales retiros.</w:t>
      </w:r>
    </w:p>
    <w:p w14:paraId="2D57997E" w14:textId="7E7A3243" w:rsidR="00DF0F55" w:rsidRPr="00DC036C" w:rsidRDefault="00BA54DE" w:rsidP="00C66B7C">
      <w:pPr>
        <w:jc w:val="both"/>
        <w:rPr>
          <w:rFonts w:ascii="Calibri" w:hAnsi="Calibri" w:cs="Calibri"/>
          <w:lang w:val="es-AR"/>
        </w:rPr>
      </w:pPr>
      <w:r w:rsidRPr="00DC036C">
        <w:rPr>
          <w:rFonts w:ascii="Calibri" w:hAnsi="Calibri" w:cs="Calibri"/>
          <w:lang w:val="es-AR"/>
        </w:rPr>
        <w:t xml:space="preserve">b) Los titulares, propietarios, socios, accionistas, cuotapartistas, fiduciantes o beneficiarios de los sujetos comprendidos en el artículo </w:t>
      </w:r>
      <w:r w:rsidR="00DF0F55" w:rsidRPr="00DC036C">
        <w:rPr>
          <w:rFonts w:ascii="Calibri" w:hAnsi="Calibri" w:cs="Calibri"/>
          <w:lang w:val="es-AR"/>
        </w:rPr>
        <w:t>73</w:t>
      </w:r>
      <w:r w:rsidRPr="00DC036C">
        <w:rPr>
          <w:rFonts w:ascii="Calibri" w:hAnsi="Calibri" w:cs="Calibri"/>
          <w:lang w:val="es-AR"/>
        </w:rPr>
        <w:t xml:space="preserve"> tengan el uso o goce, por cualquier Título, de bienes del activo de la entidad, fondo o fideicomiso. En este caso se presumirá, admitiendo prueba en contrario, que el valor de los dividendos o utilidades puestos a disposición es el ocho por ciento (8%) anual del valor corriente en plaza de los bienes inmuebles y del veinte por ciento (20%) anual del valor corriente en plaza respecto del resto de los bienes. Si se realizaran pagos en el mismo período fiscal por el uso o goce de dichos bienes, los importes pagados podrán ser descontados a los efectos del cálculo del dividendo o utilidad.</w:t>
      </w:r>
      <w:r w:rsidRPr="00DC036C">
        <w:rPr>
          <w:rFonts w:ascii="Calibri" w:hAnsi="Calibri" w:cs="Calibri"/>
          <w:lang w:val="es-AR"/>
        </w:rPr>
        <w:br/>
      </w:r>
      <w:r w:rsidRPr="00DC036C">
        <w:rPr>
          <w:rFonts w:ascii="Calibri" w:hAnsi="Calibri" w:cs="Calibri"/>
          <w:lang w:val="es-AR"/>
        </w:rPr>
        <w:br/>
        <w:t xml:space="preserve">c) Cualquier bien de la entidad, fondo o fideicomiso, esté afectado a la garantía de obligaciones </w:t>
      </w:r>
      <w:r w:rsidRPr="00DC036C">
        <w:rPr>
          <w:rFonts w:ascii="Calibri" w:hAnsi="Calibri" w:cs="Calibri"/>
          <w:lang w:val="es-AR"/>
        </w:rPr>
        <w:lastRenderedPageBreak/>
        <w:t xml:space="preserve">directas o indirectas de los titulares, propietarios, socios, accionistas, cuotapartistas, fiduciantes o beneficiarios de los sujetos comprendidos en el artículo </w:t>
      </w:r>
      <w:r w:rsidR="00663836" w:rsidRPr="00DC036C">
        <w:rPr>
          <w:rFonts w:ascii="Calibri" w:hAnsi="Calibri" w:cs="Calibri"/>
          <w:lang w:val="es-AR"/>
        </w:rPr>
        <w:t>73</w:t>
      </w:r>
      <w:r w:rsidRPr="00DC036C">
        <w:rPr>
          <w:rFonts w:ascii="Calibri" w:hAnsi="Calibri" w:cs="Calibri"/>
          <w:lang w:val="es-AR"/>
        </w:rPr>
        <w:t xml:space="preserve"> y se ejecute dicha garantía. De verificarse esta situación, el dividendo o utilidad se calculará respecto del valor corriente en plaza de los bienes ejecutados, hasta el límite del importe garantizado.</w:t>
      </w:r>
      <w:r w:rsidRPr="00DC036C">
        <w:rPr>
          <w:rFonts w:ascii="Calibri" w:hAnsi="Calibri" w:cs="Calibri"/>
          <w:lang w:val="es-AR"/>
        </w:rPr>
        <w:br/>
      </w:r>
      <w:r w:rsidRPr="00DC036C">
        <w:rPr>
          <w:rFonts w:ascii="Calibri" w:hAnsi="Calibri" w:cs="Calibri"/>
          <w:lang w:val="es-AR"/>
        </w:rPr>
        <w:br/>
        <w:t xml:space="preserve">d) Cualquier bien que los- sujetos comprendidos en el artículo </w:t>
      </w:r>
      <w:r w:rsidR="00DF0F55" w:rsidRPr="00DC036C">
        <w:rPr>
          <w:rFonts w:ascii="Calibri" w:hAnsi="Calibri" w:cs="Calibri"/>
          <w:lang w:val="es-AR"/>
        </w:rPr>
        <w:t>73</w:t>
      </w:r>
      <w:r w:rsidRPr="00DC036C">
        <w:rPr>
          <w:rFonts w:ascii="Calibri" w:hAnsi="Calibri" w:cs="Calibri"/>
          <w:lang w:val="es-AR"/>
        </w:rPr>
        <w:t xml:space="preserve"> vendan o compren a sus titulares, propietarios, socios, accionistas, cuotapartistas, fiduciantes o beneficiarios de los sujetos, por debajo o por encima, según corresponda, del valor de plaza. En tal caso, el dividendo o utilidad se calculará por la diferencia entre el valor declarado y dicho valor de plaza.</w:t>
      </w:r>
      <w:r w:rsidRPr="00DC036C">
        <w:rPr>
          <w:rFonts w:ascii="Calibri" w:hAnsi="Calibri" w:cs="Calibri"/>
          <w:lang w:val="es-AR"/>
        </w:rPr>
        <w:br/>
      </w:r>
      <w:r w:rsidRPr="00DC036C">
        <w:rPr>
          <w:rFonts w:ascii="Calibri" w:hAnsi="Calibri" w:cs="Calibri"/>
          <w:lang w:val="es-AR"/>
        </w:rPr>
        <w:br/>
        <w:t xml:space="preserve">e) Cualquier gasto que los sujetos comprendidos en el artículo </w:t>
      </w:r>
      <w:r w:rsidR="00DF0F55" w:rsidRPr="00DC036C">
        <w:rPr>
          <w:rFonts w:ascii="Calibri" w:hAnsi="Calibri" w:cs="Calibri"/>
          <w:lang w:val="es-AR"/>
        </w:rPr>
        <w:t>73</w:t>
      </w:r>
      <w:r w:rsidRPr="00DC036C">
        <w:rPr>
          <w:rFonts w:ascii="Calibri" w:hAnsi="Calibri" w:cs="Calibri"/>
          <w:lang w:val="es-AR"/>
        </w:rPr>
        <w:t>, realicen a favor de sus titulares, propietarios, socios, accionistas, cuotapartistas, fiduciantes o beneficiarios, que no respondan a operaciones realizadas en interés de la empresa, por el importe de tales erogaciones, excepto que los importes fueran reintegrados, en cuyo caso resultará de aplicación el artículo 73 de la ley.</w:t>
      </w:r>
      <w:r w:rsidR="00DF0F55" w:rsidRPr="00DC036C">
        <w:rPr>
          <w:rFonts w:ascii="Calibri" w:hAnsi="Calibri" w:cs="Calibri"/>
          <w:lang w:val="es-AR"/>
        </w:rPr>
        <w:t xml:space="preserve"> </w:t>
      </w:r>
    </w:p>
    <w:p w14:paraId="740926E7" w14:textId="62E4EC24" w:rsidR="00D52FE3" w:rsidRPr="00DC036C" w:rsidRDefault="00BA54DE" w:rsidP="00C66B7C">
      <w:pPr>
        <w:jc w:val="both"/>
        <w:rPr>
          <w:rFonts w:ascii="Calibri" w:hAnsi="Calibri" w:cs="Calibri"/>
          <w:lang w:val="es-AR"/>
        </w:rPr>
      </w:pPr>
      <w:r w:rsidRPr="00DC036C">
        <w:rPr>
          <w:rFonts w:ascii="Calibri" w:hAnsi="Calibri" w:cs="Calibri"/>
          <w:lang w:val="es-AR"/>
        </w:rPr>
        <w:t xml:space="preserve">f) Los titulares, propietarios, socios, accionistas, cuotapartistas, fiduciantes o beneficiarios de los sujetos comprendidos en el artículo </w:t>
      </w:r>
      <w:r w:rsidR="00DF0F55" w:rsidRPr="00DC036C">
        <w:rPr>
          <w:rFonts w:ascii="Calibri" w:hAnsi="Calibri" w:cs="Calibri"/>
          <w:lang w:val="es-AR"/>
        </w:rPr>
        <w:t>73</w:t>
      </w:r>
      <w:r w:rsidRPr="00DC036C">
        <w:rPr>
          <w:rFonts w:ascii="Calibri" w:hAnsi="Calibri" w:cs="Calibri"/>
          <w:lang w:val="es-AR"/>
        </w:rPr>
        <w:t xml:space="preserve"> perciban sueldos, honorarios u otras remuneraciones, en tanto no pueda probarse la efectiva prestación del servicio o que la retribución pactada resulte adecuada a la naturaleza de los servicios prestados o no superior a la que se pagaría a terceros por servicios similares.</w:t>
      </w:r>
    </w:p>
    <w:p w14:paraId="562634C8" w14:textId="12C3C15D" w:rsidR="00D52FE3" w:rsidRPr="00DC036C" w:rsidRDefault="00D52FE3" w:rsidP="00C66B7C">
      <w:pPr>
        <w:jc w:val="both"/>
        <w:rPr>
          <w:rFonts w:ascii="Calibri" w:hAnsi="Calibri" w:cs="Calibri"/>
          <w:lang w:val="es-AR"/>
        </w:rPr>
      </w:pPr>
      <w:r w:rsidRPr="00DC036C">
        <w:rPr>
          <w:rFonts w:ascii="Calibri" w:hAnsi="Calibri" w:cs="Calibri"/>
          <w:b/>
          <w:bCs/>
          <w:lang w:val="es-AR"/>
        </w:rPr>
        <w:t>ARTÍCULO 106:</w:t>
      </w:r>
      <w:r w:rsidRPr="00DC036C">
        <w:rPr>
          <w:rFonts w:ascii="Calibri" w:hAnsi="Calibri" w:cs="Calibri"/>
          <w:lang w:val="es-AR"/>
        </w:rPr>
        <w:t xml:space="preserve"> A los fines de practicar el ajuste por inflación a que se refiere el artículo anterior, se deberá seguir el siguiente procedimiento:</w:t>
      </w:r>
    </w:p>
    <w:p w14:paraId="34958855" w14:textId="77777777" w:rsidR="00D52FE3" w:rsidRPr="00DC036C" w:rsidRDefault="00D52FE3" w:rsidP="00C66B7C">
      <w:pPr>
        <w:jc w:val="both"/>
        <w:rPr>
          <w:rFonts w:ascii="Calibri" w:hAnsi="Calibri" w:cs="Calibri"/>
          <w:lang w:val="es-AR"/>
        </w:rPr>
      </w:pPr>
      <w:r w:rsidRPr="00DC036C">
        <w:rPr>
          <w:rFonts w:ascii="Calibri" w:hAnsi="Calibri" w:cs="Calibri"/>
          <w:lang w:val="es-AR"/>
        </w:rPr>
        <w:t>d) Al ajuste que resulte por aplicación del inciso c) se le sumarán o restarán, según corresponda, los importes que se indican en los párrafos siguientes:</w:t>
      </w:r>
    </w:p>
    <w:p w14:paraId="77CE7FB8" w14:textId="77777777" w:rsidR="008E73DC" w:rsidRPr="00DC036C" w:rsidRDefault="00D52FE3" w:rsidP="00C66B7C">
      <w:pPr>
        <w:jc w:val="both"/>
        <w:rPr>
          <w:rFonts w:ascii="Calibri" w:hAnsi="Calibri" w:cs="Calibri"/>
          <w:lang w:val="es-AR"/>
        </w:rPr>
      </w:pPr>
      <w:r w:rsidRPr="00DC036C">
        <w:rPr>
          <w:rFonts w:ascii="Calibri" w:hAnsi="Calibri" w:cs="Calibri"/>
          <w:lang w:val="es-AR"/>
        </w:rPr>
        <w:t>II. Como ajuste negativo, el importe de las actualizaciones calculadas por aplicación del Índice de Precios al Consumidor Nivel General (IPC), suministrado por el INSTITUTO NACIONAL DE ESTADÍSTICA Y CENSOS, teniendo en cuenta la variación operada entre el mes de aporte, enajenación o afectación, según corresponda, y el mes de cierre del ejercicio que se liquida, sobre los importes de:</w:t>
      </w:r>
    </w:p>
    <w:p w14:paraId="4E007A2F" w14:textId="1DD41341" w:rsidR="00D52FE3" w:rsidRPr="00DC036C" w:rsidRDefault="00D52FE3" w:rsidP="00C66B7C">
      <w:pPr>
        <w:jc w:val="both"/>
        <w:rPr>
          <w:rFonts w:ascii="Calibri" w:hAnsi="Calibri" w:cs="Calibri"/>
          <w:lang w:val="es-AR"/>
        </w:rPr>
      </w:pPr>
      <w:r w:rsidRPr="00DC036C">
        <w:rPr>
          <w:rFonts w:ascii="Calibri" w:hAnsi="Calibri" w:cs="Calibri"/>
          <w:b/>
          <w:bCs/>
          <w:i/>
          <w:iCs/>
          <w:lang w:val="es-AR"/>
        </w:rPr>
        <w:t>1. Los aportes de cualquier origen o naturaleza —incluidos los imputables a las cuentas particulares— y de los aumentos de capital realizados durante el ejercicio que se liquida.</w:t>
      </w:r>
    </w:p>
    <w:p w14:paraId="5E3094F6" w14:textId="7E5B4CCE" w:rsidR="00217D23" w:rsidRPr="00DC036C" w:rsidRDefault="00217D23" w:rsidP="00217D23">
      <w:pPr>
        <w:jc w:val="both"/>
        <w:rPr>
          <w:rFonts w:ascii="Calibri" w:hAnsi="Calibri" w:cs="Calibri"/>
          <w:lang w:val="es-AR"/>
        </w:rPr>
      </w:pPr>
      <w:r w:rsidRPr="00DC036C">
        <w:rPr>
          <w:rFonts w:ascii="Calibri" w:hAnsi="Calibri" w:cs="Calibri"/>
          <w:b/>
          <w:bCs/>
          <w:lang w:val="es-AR"/>
        </w:rPr>
        <w:t xml:space="preserve">ARTÍCULO 193.- </w:t>
      </w:r>
      <w:r w:rsidRPr="00DC036C">
        <w:rPr>
          <w:rFonts w:ascii="Calibri" w:hAnsi="Calibri" w:cs="Calibri"/>
          <w:lang w:val="es-AR"/>
        </w:rPr>
        <w:t xml:space="preserve">Lo dispuesto en el segundo párrafo del inciso b) del artículo 73 y en el artículo 97 resultará de aplicación en la medida en que la ganancia de los sujetos a que hacen referencia los incisos a) y b) del artículo 73 esté alcanzada por la escala allí indicada, siendo aplicables las alícuotas del siete por ciento (7%) y del treinta por ciento (30%), respectivamente, durante los tres (3) períodos fiscales contados a partir del que inicia desde el 1° de enero de 2018, inclusive, </w:t>
      </w:r>
      <w:r w:rsidRPr="00DC036C">
        <w:rPr>
          <w:rFonts w:ascii="Calibri" w:hAnsi="Calibri" w:cs="Calibri"/>
          <w:lang w:val="es-AR"/>
        </w:rPr>
        <w:lastRenderedPageBreak/>
        <w:t>cualquiera sea el período fiscal en el que tales dividendos o utilidades sean puestos a disposición. (Párrafo sustituido por art. 9° de la Ley N° 27.630 B.O. 16/6/2021. Vigencia: a partir del día de su publicación en el Boletín Oficial de la República Argentina y surtirán efecto para los ejercicios fiscales o años fiscales iniciados a partir del 1° de enero de 2021, inclusive.)</w:t>
      </w:r>
    </w:p>
    <w:p w14:paraId="1BA22753" w14:textId="5392F539" w:rsidR="00217D23" w:rsidRPr="00DC036C" w:rsidRDefault="00217D23" w:rsidP="00217D23">
      <w:pPr>
        <w:jc w:val="both"/>
        <w:rPr>
          <w:rFonts w:ascii="Calibri" w:hAnsi="Calibri" w:cs="Calibri"/>
          <w:lang w:val="es-AR"/>
        </w:rPr>
      </w:pPr>
      <w:r w:rsidRPr="00DC036C">
        <w:rPr>
          <w:rFonts w:ascii="Calibri" w:hAnsi="Calibri" w:cs="Calibri"/>
          <w:lang w:val="es-AR"/>
        </w:rPr>
        <w:t>En el caso de ganancias distribuidas que se hubieren generado en períodos fiscales respecto de los cuales la entidad pagadora resultó alcanzada a la alícuota del TREINTA Y CINCO POR CIENTO (35%), no corresponderá el ingreso del impuesto o la retención respecto de los dividendos o utilidades, según corresponda.</w:t>
      </w:r>
    </w:p>
    <w:p w14:paraId="0ABCFE25" w14:textId="36CB5586" w:rsidR="009408AD" w:rsidRPr="00DC036C" w:rsidRDefault="00217D23" w:rsidP="00217D23">
      <w:pPr>
        <w:jc w:val="both"/>
        <w:rPr>
          <w:rFonts w:ascii="Calibri" w:hAnsi="Calibri" w:cs="Calibri"/>
          <w:lang w:val="es-AR"/>
        </w:rPr>
      </w:pPr>
      <w:r w:rsidRPr="00DC036C">
        <w:rPr>
          <w:rFonts w:ascii="Calibri" w:hAnsi="Calibri" w:cs="Calibri"/>
          <w:lang w:val="es-AR"/>
        </w:rPr>
        <w:t>A los fines indicados en los párrafos precedentes se considerará, sin admitir prueba en contrario, que los dividendos o utilidades puestos a disposición corresponden, en primer término, a las ganancias o utilidades acumuladas de mayor, antigüedad.</w:t>
      </w:r>
    </w:p>
    <w:p w14:paraId="6443BC9D" w14:textId="58F76E74" w:rsidR="00346C56" w:rsidRPr="00DC036C" w:rsidRDefault="00E16264" w:rsidP="00C66B7C">
      <w:pPr>
        <w:jc w:val="both"/>
        <w:rPr>
          <w:rFonts w:ascii="Calibri" w:hAnsi="Calibri" w:cs="Calibri"/>
          <w:b/>
          <w:bCs/>
          <w:u w:val="single"/>
          <w:lang w:val="es-AR"/>
        </w:rPr>
      </w:pPr>
      <w:r w:rsidRPr="00DC036C">
        <w:rPr>
          <w:rFonts w:ascii="Calibri" w:hAnsi="Calibri" w:cs="Calibri"/>
          <w:b/>
          <w:bCs/>
          <w:u w:val="single"/>
          <w:lang w:val="es-AR"/>
        </w:rPr>
        <w:t>Decreto Reglamentario</w:t>
      </w:r>
    </w:p>
    <w:p w14:paraId="1FF1AE6B" w14:textId="15BD0262" w:rsidR="008E73DC" w:rsidRPr="00DC036C" w:rsidRDefault="00346C56" w:rsidP="00C66B7C">
      <w:pPr>
        <w:jc w:val="both"/>
        <w:rPr>
          <w:rFonts w:ascii="Calibri" w:hAnsi="Calibri" w:cs="Calibri"/>
          <w:lang w:val="es-AR"/>
        </w:rPr>
      </w:pPr>
      <w:r w:rsidRPr="00DC036C">
        <w:rPr>
          <w:rFonts w:ascii="Calibri" w:hAnsi="Calibri" w:cs="Calibri"/>
          <w:b/>
          <w:bCs/>
          <w:lang w:val="es-AR"/>
        </w:rPr>
        <w:t>ARTÍCULO 166.-</w:t>
      </w:r>
      <w:r w:rsidRPr="00DC036C">
        <w:rPr>
          <w:rFonts w:ascii="Calibri" w:hAnsi="Calibri" w:cs="Calibri"/>
          <w:lang w:val="es-AR"/>
        </w:rPr>
        <w:t xml:space="preserve"> Lo previsto en el primer párrafo del artículo 74 de la ley, será de aplicación a los dividendos, en su caso ajustados por inflación, que se paguen en dinero o en especie —excepto en acciones liberadas—, cualesquiera sean los fondos empresarios con que se efectúe su pago, como ser: reservas anteriores cualquiera sea la fecha de su constitución —excepto aquella proporción por la cual se demuestre que se ha pagado el impuesto—, ganancias exentas del impuesto, provenientes de primas de emisión, u otras. Las disposiciones establecidas en el párrafo anterior también serán de aplicación, en lo pertinente, cuando se distribuyan utilidades, en dinero o en especie.</w:t>
      </w:r>
    </w:p>
    <w:p w14:paraId="1273C157" w14:textId="16A05536" w:rsidR="008E73DC" w:rsidRPr="00DC036C" w:rsidRDefault="00346C56" w:rsidP="00C66B7C">
      <w:pPr>
        <w:jc w:val="both"/>
        <w:rPr>
          <w:rFonts w:ascii="Calibri" w:hAnsi="Calibri" w:cs="Calibri"/>
          <w:lang w:val="es-AR"/>
        </w:rPr>
      </w:pPr>
      <w:r w:rsidRPr="00DC036C">
        <w:rPr>
          <w:rFonts w:ascii="Calibri" w:hAnsi="Calibri" w:cs="Calibri"/>
          <w:lang w:val="es-AR"/>
        </w:rPr>
        <w:t>Asimismo, resultará aplicable la norma mencionada en los dos primeros párrafos de este artículo para aquellos supuestos en los que se produzca la liquidación social o, en su caso, el rescate de las acciones o cuotas de participación, respecto del excedente de utilidades contables acumuladas sobre las impositivas.</w:t>
      </w:r>
    </w:p>
    <w:p w14:paraId="663407FB" w14:textId="73BA5F2E" w:rsidR="00346C56" w:rsidRPr="00DC036C" w:rsidRDefault="00346C56" w:rsidP="00C66B7C">
      <w:pPr>
        <w:jc w:val="both"/>
        <w:rPr>
          <w:rFonts w:ascii="Calibri" w:hAnsi="Calibri" w:cs="Calibri"/>
          <w:lang w:val="es-AR"/>
        </w:rPr>
      </w:pPr>
      <w:r w:rsidRPr="00DC036C">
        <w:rPr>
          <w:rFonts w:ascii="Calibri" w:hAnsi="Calibri" w:cs="Calibri"/>
          <w:lang w:val="es-AR"/>
        </w:rPr>
        <w:t>A efectos de lo dispuesto en el artículo 74 de la ley, cuando se distribuyan dividendos o utilidades, acumulados, atribuibles a ejercicios fiscales iniciados con anterioridad al 1º de enero de 2018, las ganancias a considerar incluirán a la de los ejercicios iniciados con posterioridad a esa fecha. La comparación se efectuará con las ganancias contables determinadas al cierre de los ejercicios iniciados con anterioridad a esa fecha, sin contemplar el eventual ajuste contable por inflación.</w:t>
      </w:r>
    </w:p>
    <w:p w14:paraId="54124007" w14:textId="77777777" w:rsidR="00E679C3" w:rsidRPr="00DC036C" w:rsidRDefault="00346C56" w:rsidP="00C66B7C">
      <w:pPr>
        <w:jc w:val="both"/>
        <w:rPr>
          <w:rFonts w:ascii="Calibri" w:hAnsi="Calibri" w:cs="Calibri"/>
          <w:lang w:val="es-AR"/>
        </w:rPr>
      </w:pPr>
      <w:r w:rsidRPr="00DC036C">
        <w:rPr>
          <w:rFonts w:ascii="Calibri" w:hAnsi="Calibri" w:cs="Calibri"/>
          <w:lang w:val="es-AR"/>
        </w:rPr>
        <w:t>Momento del pago de los dividendos o distribución de utilidades</w:t>
      </w:r>
    </w:p>
    <w:p w14:paraId="22317D08" w14:textId="345726D1" w:rsidR="009854C8" w:rsidRPr="00DC036C" w:rsidRDefault="00346C56" w:rsidP="00C66B7C">
      <w:pPr>
        <w:jc w:val="both"/>
        <w:rPr>
          <w:rFonts w:ascii="Calibri" w:hAnsi="Calibri" w:cs="Calibri"/>
          <w:lang w:val="es-AR"/>
        </w:rPr>
      </w:pPr>
      <w:r w:rsidRPr="00DC036C">
        <w:rPr>
          <w:rFonts w:ascii="Calibri" w:hAnsi="Calibri" w:cs="Calibri"/>
          <w:lang w:val="es-AR"/>
        </w:rPr>
        <w:br/>
      </w:r>
      <w:r w:rsidRPr="00DC036C">
        <w:rPr>
          <w:rFonts w:ascii="Calibri" w:hAnsi="Calibri" w:cs="Calibri"/>
          <w:b/>
          <w:bCs/>
          <w:lang w:val="es-AR"/>
        </w:rPr>
        <w:t>ARTÍCULO 16</w:t>
      </w:r>
      <w:r w:rsidR="00E16264" w:rsidRPr="00DC036C">
        <w:rPr>
          <w:rFonts w:ascii="Calibri" w:hAnsi="Calibri" w:cs="Calibri"/>
          <w:b/>
          <w:bCs/>
          <w:lang w:val="es-AR"/>
        </w:rPr>
        <w:t>7</w:t>
      </w:r>
      <w:r w:rsidRPr="00DC036C">
        <w:rPr>
          <w:rFonts w:ascii="Calibri" w:hAnsi="Calibri" w:cs="Calibri"/>
          <w:b/>
          <w:bCs/>
          <w:lang w:val="es-AR"/>
        </w:rPr>
        <w:t xml:space="preserve">.- </w:t>
      </w:r>
      <w:r w:rsidRPr="00DC036C">
        <w:rPr>
          <w:rFonts w:ascii="Calibri" w:hAnsi="Calibri" w:cs="Calibri"/>
          <w:lang w:val="es-AR"/>
        </w:rPr>
        <w:t xml:space="preserve">A efectos de lo previsto en el artículo 74 de la ley, deberá entenderse como momento del pago de los dividendos o distribución de utilidades, a aquél en que dichos conceptos sean pagados, puestos a disposición o cuando estando disponibles, se han acreditado </w:t>
      </w:r>
      <w:r w:rsidRPr="00DC036C">
        <w:rPr>
          <w:rFonts w:ascii="Calibri" w:hAnsi="Calibri" w:cs="Calibri"/>
          <w:lang w:val="es-AR"/>
        </w:rPr>
        <w:lastRenderedPageBreak/>
        <w:t>en la cuenta del titular, o con la autorización o conformidad expresa o tácita de éste, se han reinvertido, acumulado, capitalizado, puesto en reserva o en un fondo de amortización o de seguro, cualquiera sea su denominación, o dispuesto de ellos en otra forma.</w:t>
      </w:r>
    </w:p>
    <w:p w14:paraId="56C70FC8" w14:textId="77777777" w:rsidR="009854C8" w:rsidRPr="00DC036C" w:rsidRDefault="00346C56" w:rsidP="00C66B7C">
      <w:pPr>
        <w:jc w:val="both"/>
        <w:rPr>
          <w:rFonts w:ascii="Calibri" w:hAnsi="Calibri" w:cs="Calibri"/>
          <w:lang w:val="es-AR"/>
        </w:rPr>
      </w:pPr>
      <w:r w:rsidRPr="00DC036C">
        <w:rPr>
          <w:rFonts w:ascii="Calibri" w:hAnsi="Calibri" w:cs="Calibri"/>
          <w:lang w:val="es-AR"/>
        </w:rPr>
        <w:t>Atribución a beneficiarios</w:t>
      </w:r>
    </w:p>
    <w:p w14:paraId="5E2F6D12" w14:textId="6B487BEC" w:rsidR="00346C56" w:rsidRPr="00DC036C" w:rsidRDefault="00346C56" w:rsidP="00C66B7C">
      <w:pPr>
        <w:jc w:val="both"/>
        <w:rPr>
          <w:rFonts w:ascii="Calibri" w:hAnsi="Calibri" w:cs="Calibri"/>
          <w:lang w:val="es-AR"/>
        </w:rPr>
      </w:pPr>
      <w:r w:rsidRPr="00DC036C">
        <w:rPr>
          <w:rFonts w:ascii="Calibri" w:hAnsi="Calibri" w:cs="Calibri"/>
          <w:lang w:val="es-AR"/>
        </w:rPr>
        <w:br/>
      </w:r>
      <w:r w:rsidRPr="00DC036C">
        <w:rPr>
          <w:rFonts w:ascii="Calibri" w:hAnsi="Calibri" w:cs="Calibri"/>
          <w:b/>
          <w:bCs/>
          <w:lang w:val="es-AR"/>
        </w:rPr>
        <w:t>ARTÍCULO 168.-</w:t>
      </w:r>
      <w:r w:rsidRPr="00DC036C">
        <w:rPr>
          <w:rFonts w:ascii="Calibri" w:hAnsi="Calibri" w:cs="Calibri"/>
          <w:lang w:val="es-AR"/>
        </w:rPr>
        <w:t xml:space="preserve"> Cuando se efectúen pagos de dividendos o, en su caso, distribuyan utilidades, en dinero o en especie, acumuladas al cierre del ejercicio inmediato anterior a la fecha de dicho pago o distribución, que excedan a las determinadas de acuerdo con las disposiciones de la ley, los excedentes se prorratearán entre los beneficiarios, debiendo practicarse la retención prevista en el artículo 74 de la ley, en función de la proporción que, del total de utilidades contables cuya distribución se haya aprobado, represente el aludido excedente.</w:t>
      </w:r>
    </w:p>
    <w:p w14:paraId="2B95FBF1" w14:textId="77777777" w:rsidR="003D7BBD" w:rsidRPr="00DC036C" w:rsidRDefault="003D7BBD" w:rsidP="00C66B7C">
      <w:pPr>
        <w:jc w:val="both"/>
        <w:rPr>
          <w:rFonts w:ascii="Calibri" w:hAnsi="Calibri" w:cs="Calibri"/>
          <w:lang w:val="es-AR"/>
        </w:rPr>
      </w:pPr>
    </w:p>
    <w:p w14:paraId="0CDE99F3" w14:textId="2ADD3B05" w:rsidR="00B321BE" w:rsidRPr="00DC036C" w:rsidRDefault="001817BF" w:rsidP="00C66B7C">
      <w:pPr>
        <w:jc w:val="both"/>
        <w:rPr>
          <w:rFonts w:ascii="Calibri" w:hAnsi="Calibri" w:cs="Calibri"/>
          <w:b/>
          <w:bCs/>
          <w:lang w:val="es-AR"/>
        </w:rPr>
      </w:pPr>
      <w:r w:rsidRPr="00DC036C">
        <w:rPr>
          <w:rFonts w:ascii="Calibri" w:hAnsi="Calibri" w:cs="Calibri"/>
          <w:b/>
          <w:bCs/>
          <w:lang w:val="es-AR"/>
        </w:rPr>
        <w:t xml:space="preserve">CASO </w:t>
      </w:r>
      <w:r w:rsidR="00014C28" w:rsidRPr="00DC036C">
        <w:rPr>
          <w:rFonts w:ascii="Calibri" w:hAnsi="Calibri" w:cs="Calibri"/>
          <w:b/>
          <w:bCs/>
          <w:lang w:val="es-AR"/>
        </w:rPr>
        <w:t>A</w:t>
      </w:r>
      <w:r w:rsidR="00907B20" w:rsidRPr="00DC036C">
        <w:rPr>
          <w:rFonts w:ascii="Calibri" w:hAnsi="Calibri" w:cs="Calibri"/>
          <w:b/>
          <w:bCs/>
          <w:lang w:val="es-AR"/>
        </w:rPr>
        <w:t xml:space="preserve">- EEPN </w:t>
      </w:r>
      <w:r w:rsidR="00D55C8F" w:rsidRPr="00DC036C">
        <w:rPr>
          <w:rFonts w:ascii="Calibri" w:hAnsi="Calibri" w:cs="Calibri"/>
          <w:b/>
          <w:bCs/>
          <w:lang w:val="es-AR"/>
        </w:rPr>
        <w:t>Histórico</w:t>
      </w:r>
    </w:p>
    <w:tbl>
      <w:tblPr>
        <w:tblStyle w:val="TableGrid"/>
        <w:tblW w:w="0" w:type="auto"/>
        <w:tblLook w:val="04A0" w:firstRow="1" w:lastRow="0" w:firstColumn="1" w:lastColumn="0" w:noHBand="0" w:noVBand="1"/>
      </w:tblPr>
      <w:tblGrid>
        <w:gridCol w:w="4675"/>
        <w:gridCol w:w="4675"/>
      </w:tblGrid>
      <w:tr w:rsidR="00014C28" w:rsidRPr="00DC036C" w14:paraId="1FE45F11" w14:textId="77777777" w:rsidTr="00014C28">
        <w:tc>
          <w:tcPr>
            <w:tcW w:w="4675" w:type="dxa"/>
          </w:tcPr>
          <w:p w14:paraId="23D6A9A0" w14:textId="6BC9C461" w:rsidR="00014C28" w:rsidRPr="00DC036C" w:rsidRDefault="008D6F9A" w:rsidP="00C66B7C">
            <w:pPr>
              <w:jc w:val="both"/>
              <w:rPr>
                <w:rFonts w:ascii="Calibri" w:hAnsi="Calibri" w:cs="Calibri"/>
                <w:b/>
                <w:bCs/>
                <w:lang w:val="es-AR"/>
              </w:rPr>
            </w:pPr>
            <w:r w:rsidRPr="00DC036C">
              <w:rPr>
                <w:rFonts w:ascii="Calibri" w:hAnsi="Calibri" w:cs="Calibri"/>
                <w:b/>
                <w:bCs/>
                <w:lang w:val="es-AR"/>
              </w:rPr>
              <w:t>DETALLE</w:t>
            </w:r>
          </w:p>
        </w:tc>
        <w:tc>
          <w:tcPr>
            <w:tcW w:w="4675" w:type="dxa"/>
          </w:tcPr>
          <w:p w14:paraId="7D361C30" w14:textId="367F9DF9" w:rsidR="00014C28" w:rsidRPr="00DC036C" w:rsidRDefault="008D6F9A" w:rsidP="00C66B7C">
            <w:pPr>
              <w:jc w:val="both"/>
              <w:rPr>
                <w:rFonts w:ascii="Calibri" w:hAnsi="Calibri" w:cs="Calibri"/>
                <w:b/>
                <w:bCs/>
                <w:lang w:val="es-AR"/>
              </w:rPr>
            </w:pPr>
            <w:r w:rsidRPr="00DC036C">
              <w:rPr>
                <w:rFonts w:ascii="Calibri" w:hAnsi="Calibri" w:cs="Calibri"/>
                <w:b/>
                <w:bCs/>
                <w:lang w:val="es-AR"/>
              </w:rPr>
              <w:t>BS HISTORICO</w:t>
            </w:r>
          </w:p>
        </w:tc>
      </w:tr>
      <w:tr w:rsidR="00014C28" w:rsidRPr="00DC036C" w14:paraId="7DEFE2CB" w14:textId="77777777" w:rsidTr="00014C28">
        <w:tc>
          <w:tcPr>
            <w:tcW w:w="4675" w:type="dxa"/>
          </w:tcPr>
          <w:p w14:paraId="0C6EB411" w14:textId="23527CCC" w:rsidR="00721101" w:rsidRPr="00DC036C" w:rsidRDefault="00721101" w:rsidP="00C66B7C">
            <w:pPr>
              <w:jc w:val="both"/>
              <w:rPr>
                <w:rFonts w:ascii="Calibri" w:hAnsi="Calibri" w:cs="Calibri"/>
                <w:lang w:val="es-AR"/>
              </w:rPr>
            </w:pPr>
            <w:r w:rsidRPr="00DC036C">
              <w:rPr>
                <w:rFonts w:ascii="Calibri" w:hAnsi="Calibri" w:cs="Calibri"/>
                <w:lang w:val="es-AR"/>
              </w:rPr>
              <w:t>PN al inicio</w:t>
            </w:r>
          </w:p>
        </w:tc>
        <w:tc>
          <w:tcPr>
            <w:tcW w:w="4675" w:type="dxa"/>
          </w:tcPr>
          <w:p w14:paraId="0DFEAAEC" w14:textId="154AD5B9" w:rsidR="00014C28" w:rsidRPr="00DC036C" w:rsidRDefault="0017180C" w:rsidP="00C66B7C">
            <w:pPr>
              <w:jc w:val="both"/>
              <w:rPr>
                <w:rFonts w:ascii="Calibri" w:hAnsi="Calibri" w:cs="Calibri"/>
                <w:color w:val="000000"/>
              </w:rPr>
            </w:pPr>
            <w:r w:rsidRPr="00DC036C">
              <w:rPr>
                <w:rFonts w:ascii="Calibri" w:hAnsi="Calibri" w:cs="Calibri"/>
                <w:color w:val="000000"/>
              </w:rPr>
              <w:t xml:space="preserve">86.794.825.510,83 </w:t>
            </w:r>
          </w:p>
        </w:tc>
      </w:tr>
      <w:tr w:rsidR="00014C28" w:rsidRPr="00DC036C" w14:paraId="2027A3EA" w14:textId="77777777" w:rsidTr="00014C28">
        <w:tc>
          <w:tcPr>
            <w:tcW w:w="4675" w:type="dxa"/>
          </w:tcPr>
          <w:p w14:paraId="746775A5" w14:textId="5F0255CD" w:rsidR="00721101" w:rsidRPr="00DC036C" w:rsidRDefault="002F74BA" w:rsidP="00C66B7C">
            <w:pPr>
              <w:jc w:val="both"/>
              <w:rPr>
                <w:rFonts w:ascii="Calibri" w:hAnsi="Calibri" w:cs="Calibri"/>
                <w:lang w:val="es-AR"/>
              </w:rPr>
            </w:pPr>
            <w:r w:rsidRPr="00DC036C">
              <w:rPr>
                <w:rFonts w:ascii="Calibri" w:hAnsi="Calibri" w:cs="Calibri"/>
                <w:lang w:val="es-AR"/>
              </w:rPr>
              <w:t xml:space="preserve">Dividendos distribuidos </w:t>
            </w:r>
          </w:p>
        </w:tc>
        <w:tc>
          <w:tcPr>
            <w:tcW w:w="4675" w:type="dxa"/>
          </w:tcPr>
          <w:p w14:paraId="40192831" w14:textId="077150F7" w:rsidR="00014C28" w:rsidRPr="00DC036C" w:rsidRDefault="00EC0E4E" w:rsidP="00C66B7C">
            <w:pPr>
              <w:jc w:val="both"/>
              <w:rPr>
                <w:rFonts w:ascii="Calibri" w:hAnsi="Calibri" w:cs="Calibri"/>
                <w:color w:val="000000"/>
              </w:rPr>
            </w:pPr>
            <w:r w:rsidRPr="00DC036C">
              <w:rPr>
                <w:rFonts w:ascii="Calibri" w:hAnsi="Calibri" w:cs="Calibri"/>
                <w:color w:val="000000"/>
              </w:rPr>
              <w:t xml:space="preserve">-988.000.000,00 </w:t>
            </w:r>
          </w:p>
        </w:tc>
      </w:tr>
      <w:tr w:rsidR="00014C28" w:rsidRPr="00DC036C" w14:paraId="1C17770B" w14:textId="77777777" w:rsidTr="00014C28">
        <w:tc>
          <w:tcPr>
            <w:tcW w:w="4675" w:type="dxa"/>
          </w:tcPr>
          <w:p w14:paraId="75B52100" w14:textId="43FAF0EB" w:rsidR="00014C28" w:rsidRPr="00DC036C" w:rsidRDefault="002F74BA" w:rsidP="00C66B7C">
            <w:pPr>
              <w:jc w:val="both"/>
              <w:rPr>
                <w:rFonts w:ascii="Calibri" w:hAnsi="Calibri" w:cs="Calibri"/>
                <w:lang w:val="es-AR"/>
              </w:rPr>
            </w:pPr>
            <w:r w:rsidRPr="00DC036C">
              <w:rPr>
                <w:rFonts w:ascii="Calibri" w:hAnsi="Calibri" w:cs="Calibri"/>
                <w:lang w:val="es-AR"/>
              </w:rPr>
              <w:t>AREA</w:t>
            </w:r>
          </w:p>
        </w:tc>
        <w:tc>
          <w:tcPr>
            <w:tcW w:w="4675" w:type="dxa"/>
          </w:tcPr>
          <w:p w14:paraId="40BFE094" w14:textId="6EA77A16" w:rsidR="00014C28" w:rsidRPr="00DC036C" w:rsidRDefault="00EC0E4E" w:rsidP="00C66B7C">
            <w:pPr>
              <w:jc w:val="both"/>
              <w:rPr>
                <w:rFonts w:ascii="Calibri" w:hAnsi="Calibri" w:cs="Calibri"/>
                <w:color w:val="000000"/>
              </w:rPr>
            </w:pPr>
            <w:r w:rsidRPr="00DC036C">
              <w:rPr>
                <w:rFonts w:ascii="Calibri" w:hAnsi="Calibri" w:cs="Calibri"/>
                <w:color w:val="000000"/>
              </w:rPr>
              <w:t xml:space="preserve">487.242,09 </w:t>
            </w:r>
          </w:p>
        </w:tc>
      </w:tr>
      <w:tr w:rsidR="002F74BA" w:rsidRPr="00DC036C" w14:paraId="4B000161" w14:textId="77777777" w:rsidTr="003D7BBD">
        <w:tc>
          <w:tcPr>
            <w:tcW w:w="4675" w:type="dxa"/>
            <w:tcBorders>
              <w:bottom w:val="single" w:sz="4" w:space="0" w:color="auto"/>
            </w:tcBorders>
          </w:tcPr>
          <w:p w14:paraId="78D30B9E" w14:textId="474F9311" w:rsidR="002F74BA" w:rsidRPr="00DC036C" w:rsidRDefault="002F74BA" w:rsidP="00C66B7C">
            <w:pPr>
              <w:jc w:val="both"/>
              <w:rPr>
                <w:rFonts w:ascii="Calibri" w:hAnsi="Calibri" w:cs="Calibri"/>
                <w:lang w:val="es-AR"/>
              </w:rPr>
            </w:pPr>
            <w:r w:rsidRPr="00DC036C">
              <w:rPr>
                <w:rFonts w:ascii="Calibri" w:hAnsi="Calibri" w:cs="Calibri"/>
                <w:lang w:val="es-AR"/>
              </w:rPr>
              <w:t>Resultado del ejercicio</w:t>
            </w:r>
          </w:p>
        </w:tc>
        <w:tc>
          <w:tcPr>
            <w:tcW w:w="4675" w:type="dxa"/>
            <w:tcBorders>
              <w:bottom w:val="single" w:sz="4" w:space="0" w:color="auto"/>
            </w:tcBorders>
          </w:tcPr>
          <w:p w14:paraId="5371ACD3" w14:textId="3C509137" w:rsidR="002F74BA" w:rsidRPr="00DC036C" w:rsidRDefault="00B57784" w:rsidP="00C66B7C">
            <w:pPr>
              <w:jc w:val="both"/>
              <w:rPr>
                <w:rFonts w:ascii="Calibri" w:hAnsi="Calibri" w:cs="Calibri"/>
                <w:color w:val="000000"/>
              </w:rPr>
            </w:pPr>
            <w:r w:rsidRPr="00DC036C">
              <w:rPr>
                <w:rFonts w:ascii="Calibri" w:hAnsi="Calibri" w:cs="Calibri"/>
                <w:color w:val="000000"/>
              </w:rPr>
              <w:t>7.670.448.121,60</w:t>
            </w:r>
          </w:p>
        </w:tc>
      </w:tr>
      <w:tr w:rsidR="002F74BA" w:rsidRPr="00DC036C" w14:paraId="674F54EF" w14:textId="77777777" w:rsidTr="003D7BBD">
        <w:tc>
          <w:tcPr>
            <w:tcW w:w="4675" w:type="dxa"/>
            <w:tcBorders>
              <w:top w:val="single" w:sz="4" w:space="0" w:color="auto"/>
              <w:bottom w:val="double" w:sz="4" w:space="0" w:color="auto"/>
            </w:tcBorders>
          </w:tcPr>
          <w:p w14:paraId="5A41C133" w14:textId="5B585363" w:rsidR="002F74BA" w:rsidRPr="00DC036C" w:rsidRDefault="00476891" w:rsidP="00C66B7C">
            <w:pPr>
              <w:jc w:val="both"/>
              <w:rPr>
                <w:rFonts w:ascii="Calibri" w:hAnsi="Calibri" w:cs="Calibri"/>
                <w:lang w:val="es-AR"/>
              </w:rPr>
            </w:pPr>
            <w:r w:rsidRPr="00DC036C">
              <w:rPr>
                <w:rFonts w:ascii="Calibri" w:hAnsi="Calibri" w:cs="Calibri"/>
                <w:lang w:val="es-AR"/>
              </w:rPr>
              <w:t xml:space="preserve">PN S/evolución </w:t>
            </w:r>
          </w:p>
        </w:tc>
        <w:tc>
          <w:tcPr>
            <w:tcW w:w="4675" w:type="dxa"/>
            <w:tcBorders>
              <w:top w:val="single" w:sz="4" w:space="0" w:color="auto"/>
              <w:bottom w:val="double" w:sz="4" w:space="0" w:color="auto"/>
            </w:tcBorders>
          </w:tcPr>
          <w:p w14:paraId="279DAF00" w14:textId="40066DE2" w:rsidR="002F74BA" w:rsidRPr="00DC036C" w:rsidRDefault="00873B8E" w:rsidP="00C66B7C">
            <w:pPr>
              <w:jc w:val="both"/>
              <w:rPr>
                <w:rFonts w:ascii="Calibri" w:hAnsi="Calibri" w:cs="Calibri"/>
                <w:b/>
                <w:bCs/>
              </w:rPr>
            </w:pPr>
            <w:r w:rsidRPr="00DC036C">
              <w:rPr>
                <w:rFonts w:ascii="Calibri" w:hAnsi="Calibri" w:cs="Calibri"/>
                <w:b/>
                <w:bCs/>
              </w:rPr>
              <w:t xml:space="preserve">88.046.760.874,52 </w:t>
            </w:r>
          </w:p>
        </w:tc>
      </w:tr>
      <w:tr w:rsidR="002F74BA" w:rsidRPr="00DC036C" w14:paraId="14DF631F" w14:textId="77777777" w:rsidTr="003D7BBD">
        <w:tc>
          <w:tcPr>
            <w:tcW w:w="4675" w:type="dxa"/>
            <w:tcBorders>
              <w:top w:val="double" w:sz="4" w:space="0" w:color="auto"/>
            </w:tcBorders>
          </w:tcPr>
          <w:p w14:paraId="697A4F08" w14:textId="20669EEF" w:rsidR="002F74BA" w:rsidRPr="00DC036C" w:rsidRDefault="009A46B4" w:rsidP="00C66B7C">
            <w:pPr>
              <w:jc w:val="both"/>
              <w:rPr>
                <w:rFonts w:ascii="Calibri" w:hAnsi="Calibri" w:cs="Calibri"/>
                <w:lang w:val="es-AR"/>
              </w:rPr>
            </w:pPr>
            <w:r w:rsidRPr="00DC036C">
              <w:rPr>
                <w:rFonts w:ascii="Calibri" w:hAnsi="Calibri" w:cs="Calibri"/>
                <w:lang w:val="es-AR"/>
              </w:rPr>
              <w:t>PN al cierre</w:t>
            </w:r>
          </w:p>
        </w:tc>
        <w:tc>
          <w:tcPr>
            <w:tcW w:w="4675" w:type="dxa"/>
            <w:tcBorders>
              <w:top w:val="double" w:sz="4" w:space="0" w:color="auto"/>
            </w:tcBorders>
          </w:tcPr>
          <w:p w14:paraId="1436C990" w14:textId="3B880EC9" w:rsidR="002F74BA" w:rsidRPr="00DC036C" w:rsidRDefault="00D12097" w:rsidP="00C66B7C">
            <w:pPr>
              <w:jc w:val="both"/>
              <w:rPr>
                <w:rFonts w:ascii="Calibri" w:hAnsi="Calibri" w:cs="Calibri"/>
                <w:color w:val="000000"/>
              </w:rPr>
            </w:pPr>
            <w:r w:rsidRPr="00DC036C">
              <w:rPr>
                <w:rFonts w:ascii="Calibri" w:hAnsi="Calibri" w:cs="Calibri"/>
                <w:b/>
                <w:bCs/>
              </w:rPr>
              <w:t>88.046.760.874,52</w:t>
            </w:r>
          </w:p>
        </w:tc>
      </w:tr>
    </w:tbl>
    <w:p w14:paraId="6AA0529D" w14:textId="77777777" w:rsidR="00014C28" w:rsidRPr="00DC036C" w:rsidRDefault="00014C28" w:rsidP="00C66B7C">
      <w:pPr>
        <w:jc w:val="both"/>
        <w:rPr>
          <w:rFonts w:ascii="Calibri" w:hAnsi="Calibri" w:cs="Calibri"/>
          <w:lang w:val="es-AR"/>
        </w:rPr>
      </w:pPr>
    </w:p>
    <w:p w14:paraId="1473B790" w14:textId="01CD3B1A" w:rsidR="00ED1CBB" w:rsidRPr="00DC036C" w:rsidRDefault="000268C6" w:rsidP="00C66B7C">
      <w:pPr>
        <w:jc w:val="both"/>
        <w:rPr>
          <w:rFonts w:ascii="Calibri" w:hAnsi="Calibri" w:cs="Calibri"/>
          <w:lang w:val="es-AR"/>
        </w:rPr>
      </w:pPr>
      <w:r w:rsidRPr="00DC036C">
        <w:rPr>
          <w:rFonts w:ascii="Calibri" w:hAnsi="Calibri" w:cs="Calibri"/>
          <w:color w:val="FF0000"/>
          <w:lang w:val="es-AR"/>
        </w:rPr>
        <w:t>(*)</w:t>
      </w:r>
      <w:r w:rsidRPr="00DC036C">
        <w:rPr>
          <w:rFonts w:ascii="Calibri" w:hAnsi="Calibri" w:cs="Calibri"/>
          <w:lang w:val="es-AR"/>
        </w:rPr>
        <w:t xml:space="preserve"> </w:t>
      </w:r>
      <w:r w:rsidR="002D5166" w:rsidRPr="00DC036C">
        <w:rPr>
          <w:rFonts w:ascii="Calibri" w:hAnsi="Calibri" w:cs="Calibri"/>
          <w:lang w:val="es-AR"/>
        </w:rPr>
        <w:t xml:space="preserve">A.R.E.A </w:t>
      </w:r>
      <w:r w:rsidR="00BD5B17" w:rsidRPr="00DC036C">
        <w:rPr>
          <w:rFonts w:ascii="Calibri" w:hAnsi="Calibri" w:cs="Calibri"/>
          <w:lang w:val="es-AR"/>
        </w:rPr>
        <w:t xml:space="preserve">por discontinuar el método de impuesto diferido </w:t>
      </w:r>
      <w:r w:rsidR="00A3014F" w:rsidRPr="00DC036C">
        <w:rPr>
          <w:rFonts w:ascii="Calibri" w:hAnsi="Calibri" w:cs="Calibri"/>
          <w:lang w:val="es-AR"/>
        </w:rPr>
        <w:t>por la RT 54</w:t>
      </w:r>
    </w:p>
    <w:p w14:paraId="59DEFFF1" w14:textId="77777777" w:rsidR="00EC2891" w:rsidRPr="00DC036C" w:rsidRDefault="00EC2891" w:rsidP="00C66B7C">
      <w:pPr>
        <w:jc w:val="both"/>
        <w:rPr>
          <w:rFonts w:ascii="Calibri" w:hAnsi="Calibri" w:cs="Calibri"/>
          <w:lang w:val="es-AR"/>
        </w:rPr>
      </w:pPr>
    </w:p>
    <w:p w14:paraId="3DFC07E9" w14:textId="040B1269" w:rsidR="00EC2891" w:rsidRPr="00DC036C" w:rsidRDefault="00EC2891" w:rsidP="00C66B7C">
      <w:pPr>
        <w:jc w:val="both"/>
        <w:rPr>
          <w:rFonts w:ascii="Calibri" w:hAnsi="Calibri" w:cs="Calibri"/>
          <w:b/>
          <w:bCs/>
          <w:lang w:val="es-AR"/>
        </w:rPr>
      </w:pPr>
      <w:r w:rsidRPr="00DC036C">
        <w:rPr>
          <w:rFonts w:ascii="Calibri" w:hAnsi="Calibri" w:cs="Calibri"/>
          <w:b/>
          <w:bCs/>
          <w:lang w:val="es-AR"/>
        </w:rPr>
        <w:t>CASO B</w:t>
      </w:r>
      <w:r w:rsidR="00907B20" w:rsidRPr="00DC036C">
        <w:rPr>
          <w:rFonts w:ascii="Calibri" w:hAnsi="Calibri" w:cs="Calibri"/>
          <w:b/>
          <w:bCs/>
          <w:lang w:val="es-AR"/>
        </w:rPr>
        <w:t>- EEPN Ajustado</w:t>
      </w:r>
    </w:p>
    <w:tbl>
      <w:tblPr>
        <w:tblStyle w:val="TableGrid"/>
        <w:tblW w:w="0" w:type="auto"/>
        <w:tblLook w:val="04A0" w:firstRow="1" w:lastRow="0" w:firstColumn="1" w:lastColumn="0" w:noHBand="0" w:noVBand="1"/>
      </w:tblPr>
      <w:tblGrid>
        <w:gridCol w:w="4675"/>
        <w:gridCol w:w="4675"/>
      </w:tblGrid>
      <w:tr w:rsidR="00EC2891" w:rsidRPr="00DC036C" w14:paraId="2C3EC4C3" w14:textId="77777777" w:rsidTr="00447490">
        <w:tc>
          <w:tcPr>
            <w:tcW w:w="4675" w:type="dxa"/>
          </w:tcPr>
          <w:p w14:paraId="08C844D9" w14:textId="77777777" w:rsidR="00EC2891" w:rsidRPr="00DC036C" w:rsidRDefault="00EC2891" w:rsidP="00C66B7C">
            <w:pPr>
              <w:jc w:val="both"/>
              <w:rPr>
                <w:rFonts w:ascii="Calibri" w:hAnsi="Calibri" w:cs="Calibri"/>
                <w:b/>
                <w:bCs/>
                <w:lang w:val="es-AR"/>
              </w:rPr>
            </w:pPr>
            <w:r w:rsidRPr="00DC036C">
              <w:rPr>
                <w:rFonts w:ascii="Calibri" w:hAnsi="Calibri" w:cs="Calibri"/>
                <w:b/>
                <w:bCs/>
                <w:lang w:val="es-AR"/>
              </w:rPr>
              <w:t>DETALLE</w:t>
            </w:r>
          </w:p>
        </w:tc>
        <w:tc>
          <w:tcPr>
            <w:tcW w:w="4675" w:type="dxa"/>
          </w:tcPr>
          <w:p w14:paraId="0605EC16" w14:textId="77777777" w:rsidR="00EC2891" w:rsidRPr="00DC036C" w:rsidRDefault="00EC2891" w:rsidP="00C66B7C">
            <w:pPr>
              <w:jc w:val="both"/>
              <w:rPr>
                <w:rFonts w:ascii="Calibri" w:hAnsi="Calibri" w:cs="Calibri"/>
                <w:b/>
                <w:bCs/>
                <w:lang w:val="es-AR"/>
              </w:rPr>
            </w:pPr>
            <w:r w:rsidRPr="00DC036C">
              <w:rPr>
                <w:rFonts w:ascii="Calibri" w:hAnsi="Calibri" w:cs="Calibri"/>
                <w:b/>
                <w:bCs/>
                <w:lang w:val="es-AR"/>
              </w:rPr>
              <w:t>BS HISTORICO</w:t>
            </w:r>
          </w:p>
        </w:tc>
      </w:tr>
      <w:tr w:rsidR="00EC2891" w:rsidRPr="00DC036C" w14:paraId="72BB7E29" w14:textId="77777777" w:rsidTr="00447490">
        <w:tc>
          <w:tcPr>
            <w:tcW w:w="4675" w:type="dxa"/>
          </w:tcPr>
          <w:p w14:paraId="7F0F2C3A" w14:textId="77777777" w:rsidR="00EC2891" w:rsidRPr="00DC036C" w:rsidRDefault="00EC2891" w:rsidP="00C66B7C">
            <w:pPr>
              <w:jc w:val="both"/>
              <w:rPr>
                <w:rFonts w:ascii="Calibri" w:hAnsi="Calibri" w:cs="Calibri"/>
                <w:lang w:val="es-AR"/>
              </w:rPr>
            </w:pPr>
            <w:r w:rsidRPr="00DC036C">
              <w:rPr>
                <w:rFonts w:ascii="Calibri" w:hAnsi="Calibri" w:cs="Calibri"/>
                <w:lang w:val="es-AR"/>
              </w:rPr>
              <w:t>PN al inicio</w:t>
            </w:r>
          </w:p>
        </w:tc>
        <w:tc>
          <w:tcPr>
            <w:tcW w:w="4675" w:type="dxa"/>
          </w:tcPr>
          <w:p w14:paraId="0420A08A" w14:textId="77777777" w:rsidR="00EC2891" w:rsidRPr="00DC036C" w:rsidRDefault="00EC2891" w:rsidP="00C66B7C">
            <w:pPr>
              <w:jc w:val="both"/>
              <w:rPr>
                <w:rFonts w:ascii="Calibri" w:hAnsi="Calibri" w:cs="Calibri"/>
                <w:color w:val="000000"/>
              </w:rPr>
            </w:pPr>
            <w:r w:rsidRPr="00DC036C">
              <w:rPr>
                <w:rFonts w:ascii="Calibri" w:hAnsi="Calibri" w:cs="Calibri"/>
                <w:color w:val="000000"/>
              </w:rPr>
              <w:t xml:space="preserve">86.794.825.510,83 </w:t>
            </w:r>
          </w:p>
        </w:tc>
      </w:tr>
      <w:tr w:rsidR="00EC2891" w:rsidRPr="00DC036C" w14:paraId="12F47ED5" w14:textId="77777777" w:rsidTr="00447490">
        <w:tc>
          <w:tcPr>
            <w:tcW w:w="4675" w:type="dxa"/>
          </w:tcPr>
          <w:p w14:paraId="18C29237" w14:textId="4DD6A140" w:rsidR="00EC2891" w:rsidRPr="00DC036C" w:rsidRDefault="00BB1D56" w:rsidP="00C66B7C">
            <w:pPr>
              <w:jc w:val="both"/>
              <w:rPr>
                <w:rFonts w:ascii="Calibri" w:hAnsi="Calibri" w:cs="Calibri"/>
                <w:lang w:val="es-AR"/>
              </w:rPr>
            </w:pPr>
            <w:r w:rsidRPr="00DC036C">
              <w:rPr>
                <w:rFonts w:ascii="Calibri" w:hAnsi="Calibri" w:cs="Calibri"/>
                <w:lang w:val="es-AR"/>
              </w:rPr>
              <w:t>Reexpresion del PN al inicio</w:t>
            </w:r>
            <w:r w:rsidR="00B11743" w:rsidRPr="00DC036C">
              <w:rPr>
                <w:rFonts w:ascii="Calibri" w:hAnsi="Calibri" w:cs="Calibri"/>
                <w:lang w:val="es-AR"/>
              </w:rPr>
              <w:t xml:space="preserve"> </w:t>
            </w:r>
            <w:r w:rsidR="00B11743" w:rsidRPr="00DC036C">
              <w:rPr>
                <w:rFonts w:ascii="Calibri" w:hAnsi="Calibri" w:cs="Calibri"/>
                <w:b/>
                <w:bCs/>
                <w:color w:val="FF0000"/>
                <w:lang w:val="es-AR"/>
              </w:rPr>
              <w:t>*</w:t>
            </w:r>
          </w:p>
        </w:tc>
        <w:tc>
          <w:tcPr>
            <w:tcW w:w="4675" w:type="dxa"/>
          </w:tcPr>
          <w:p w14:paraId="7B700172" w14:textId="5FD315CB" w:rsidR="00EC2891" w:rsidRPr="00DC036C" w:rsidRDefault="00867C0A" w:rsidP="00C66B7C">
            <w:pPr>
              <w:jc w:val="both"/>
              <w:rPr>
                <w:rFonts w:ascii="Calibri" w:hAnsi="Calibri" w:cs="Calibri"/>
                <w:color w:val="000000"/>
              </w:rPr>
            </w:pPr>
            <w:r w:rsidRPr="00DC036C">
              <w:rPr>
                <w:rFonts w:ascii="Calibri" w:hAnsi="Calibri" w:cs="Calibri"/>
                <w:color w:val="000000"/>
              </w:rPr>
              <w:t xml:space="preserve">27,382,691,637.78 </w:t>
            </w:r>
          </w:p>
        </w:tc>
      </w:tr>
      <w:tr w:rsidR="00EC2891" w:rsidRPr="00DC036C" w14:paraId="1CF63A52" w14:textId="77777777" w:rsidTr="00447490">
        <w:tc>
          <w:tcPr>
            <w:tcW w:w="4675" w:type="dxa"/>
          </w:tcPr>
          <w:p w14:paraId="1DE3D54C" w14:textId="77777777" w:rsidR="00EC2891" w:rsidRPr="00DC036C" w:rsidRDefault="00EC2891" w:rsidP="00C66B7C">
            <w:pPr>
              <w:jc w:val="both"/>
              <w:rPr>
                <w:rFonts w:ascii="Calibri" w:hAnsi="Calibri" w:cs="Calibri"/>
                <w:lang w:val="es-AR"/>
              </w:rPr>
            </w:pPr>
            <w:r w:rsidRPr="00DC036C">
              <w:rPr>
                <w:rFonts w:ascii="Calibri" w:hAnsi="Calibri" w:cs="Calibri"/>
                <w:lang w:val="es-AR"/>
              </w:rPr>
              <w:t xml:space="preserve">Dividendos distribuidos </w:t>
            </w:r>
          </w:p>
        </w:tc>
        <w:tc>
          <w:tcPr>
            <w:tcW w:w="4675" w:type="dxa"/>
          </w:tcPr>
          <w:p w14:paraId="487A7563" w14:textId="77777777" w:rsidR="00EC2891" w:rsidRPr="00DC036C" w:rsidRDefault="00EC2891" w:rsidP="00C66B7C">
            <w:pPr>
              <w:jc w:val="both"/>
              <w:rPr>
                <w:rFonts w:ascii="Calibri" w:hAnsi="Calibri" w:cs="Calibri"/>
                <w:color w:val="000000"/>
              </w:rPr>
            </w:pPr>
            <w:r w:rsidRPr="00DC036C">
              <w:rPr>
                <w:rFonts w:ascii="Calibri" w:hAnsi="Calibri" w:cs="Calibri"/>
                <w:color w:val="000000"/>
              </w:rPr>
              <w:t xml:space="preserve">-988.000.000,00 </w:t>
            </w:r>
          </w:p>
        </w:tc>
      </w:tr>
      <w:tr w:rsidR="00BB1D56" w:rsidRPr="00DC036C" w14:paraId="247BA4CE" w14:textId="77777777" w:rsidTr="00447490">
        <w:tc>
          <w:tcPr>
            <w:tcW w:w="4675" w:type="dxa"/>
          </w:tcPr>
          <w:p w14:paraId="07447D0D" w14:textId="788CDE47" w:rsidR="00BB1D56" w:rsidRPr="00DC036C" w:rsidRDefault="00867C0A" w:rsidP="00C66B7C">
            <w:pPr>
              <w:jc w:val="both"/>
              <w:rPr>
                <w:rFonts w:ascii="Calibri" w:hAnsi="Calibri" w:cs="Calibri"/>
              </w:rPr>
            </w:pPr>
            <w:r w:rsidRPr="00DC036C">
              <w:rPr>
                <w:rFonts w:ascii="Calibri" w:hAnsi="Calibri" w:cs="Calibri"/>
                <w:lang w:val="es-AR"/>
              </w:rPr>
              <w:t xml:space="preserve">Dividendos distribuidos </w:t>
            </w:r>
            <w:r w:rsidR="00B11743" w:rsidRPr="00DC036C">
              <w:rPr>
                <w:rFonts w:ascii="Calibri" w:hAnsi="Calibri" w:cs="Calibri"/>
                <w:lang w:val="es-AR"/>
              </w:rPr>
              <w:t>–</w:t>
            </w:r>
            <w:r w:rsidRPr="00DC036C">
              <w:rPr>
                <w:rFonts w:ascii="Calibri" w:hAnsi="Calibri" w:cs="Calibri"/>
                <w:lang w:val="es-AR"/>
              </w:rPr>
              <w:t xml:space="preserve"> AXI</w:t>
            </w:r>
            <w:r w:rsidR="00B11743" w:rsidRPr="00DC036C">
              <w:rPr>
                <w:rFonts w:ascii="Calibri" w:hAnsi="Calibri" w:cs="Calibri"/>
                <w:lang w:val="es-AR"/>
              </w:rPr>
              <w:t xml:space="preserve"> </w:t>
            </w:r>
            <w:r w:rsidR="00B11743" w:rsidRPr="00DC036C">
              <w:rPr>
                <w:rFonts w:ascii="Calibri" w:hAnsi="Calibri" w:cs="Calibri"/>
                <w:b/>
                <w:bCs/>
                <w:color w:val="FF0000"/>
                <w:lang w:val="es-AR"/>
              </w:rPr>
              <w:t>*</w:t>
            </w:r>
          </w:p>
        </w:tc>
        <w:tc>
          <w:tcPr>
            <w:tcW w:w="4675" w:type="dxa"/>
          </w:tcPr>
          <w:p w14:paraId="697E11BE" w14:textId="1781C413" w:rsidR="00BB1D56" w:rsidRPr="00DC036C" w:rsidRDefault="00867C0A" w:rsidP="00C66B7C">
            <w:pPr>
              <w:jc w:val="both"/>
              <w:rPr>
                <w:rFonts w:ascii="Calibri" w:hAnsi="Calibri" w:cs="Calibri"/>
                <w:color w:val="000000"/>
                <w:lang w:val="es-AR"/>
              </w:rPr>
            </w:pPr>
            <w:r w:rsidRPr="00DC036C">
              <w:rPr>
                <w:rFonts w:ascii="Calibri" w:hAnsi="Calibri" w:cs="Calibri"/>
                <w:color w:val="000000"/>
              </w:rPr>
              <w:t xml:space="preserve">-141,219,368.76 </w:t>
            </w:r>
          </w:p>
        </w:tc>
      </w:tr>
      <w:tr w:rsidR="00EC2891" w:rsidRPr="00DC036C" w14:paraId="41C2E960" w14:textId="77777777" w:rsidTr="00447490">
        <w:tc>
          <w:tcPr>
            <w:tcW w:w="4675" w:type="dxa"/>
          </w:tcPr>
          <w:p w14:paraId="2D283016" w14:textId="77777777" w:rsidR="00EC2891" w:rsidRPr="00DC036C" w:rsidRDefault="00EC2891" w:rsidP="00C66B7C">
            <w:pPr>
              <w:jc w:val="both"/>
              <w:rPr>
                <w:rFonts w:ascii="Calibri" w:hAnsi="Calibri" w:cs="Calibri"/>
                <w:lang w:val="es-AR"/>
              </w:rPr>
            </w:pPr>
            <w:r w:rsidRPr="00DC036C">
              <w:rPr>
                <w:rFonts w:ascii="Calibri" w:hAnsi="Calibri" w:cs="Calibri"/>
                <w:lang w:val="es-AR"/>
              </w:rPr>
              <w:t>AREA</w:t>
            </w:r>
          </w:p>
        </w:tc>
        <w:tc>
          <w:tcPr>
            <w:tcW w:w="4675" w:type="dxa"/>
          </w:tcPr>
          <w:p w14:paraId="79C97CBA" w14:textId="77777777" w:rsidR="00EC2891" w:rsidRPr="00DC036C" w:rsidRDefault="00EC2891" w:rsidP="00C66B7C">
            <w:pPr>
              <w:jc w:val="both"/>
              <w:rPr>
                <w:rFonts w:ascii="Calibri" w:hAnsi="Calibri" w:cs="Calibri"/>
                <w:color w:val="000000"/>
              </w:rPr>
            </w:pPr>
            <w:r w:rsidRPr="00DC036C">
              <w:rPr>
                <w:rFonts w:ascii="Calibri" w:hAnsi="Calibri" w:cs="Calibri"/>
                <w:color w:val="000000"/>
              </w:rPr>
              <w:t xml:space="preserve">487.242,09 </w:t>
            </w:r>
          </w:p>
        </w:tc>
      </w:tr>
      <w:tr w:rsidR="00EC2891" w:rsidRPr="00DC036C" w14:paraId="081CEA06" w14:textId="77777777" w:rsidTr="00447490">
        <w:tc>
          <w:tcPr>
            <w:tcW w:w="4675" w:type="dxa"/>
            <w:tcBorders>
              <w:bottom w:val="single" w:sz="4" w:space="0" w:color="auto"/>
            </w:tcBorders>
          </w:tcPr>
          <w:p w14:paraId="6D7FE0D0" w14:textId="77777777" w:rsidR="00EC2891" w:rsidRPr="00DC036C" w:rsidRDefault="00EC2891" w:rsidP="00C66B7C">
            <w:pPr>
              <w:jc w:val="both"/>
              <w:rPr>
                <w:rFonts w:ascii="Calibri" w:hAnsi="Calibri" w:cs="Calibri"/>
                <w:lang w:val="es-AR"/>
              </w:rPr>
            </w:pPr>
            <w:r w:rsidRPr="00DC036C">
              <w:rPr>
                <w:rFonts w:ascii="Calibri" w:hAnsi="Calibri" w:cs="Calibri"/>
                <w:lang w:val="es-AR"/>
              </w:rPr>
              <w:t>Resultado del ejercicio</w:t>
            </w:r>
          </w:p>
        </w:tc>
        <w:tc>
          <w:tcPr>
            <w:tcW w:w="4675" w:type="dxa"/>
            <w:tcBorders>
              <w:bottom w:val="single" w:sz="4" w:space="0" w:color="auto"/>
            </w:tcBorders>
          </w:tcPr>
          <w:p w14:paraId="5DE07CB4" w14:textId="77777777" w:rsidR="00EC2891" w:rsidRPr="00DC036C" w:rsidRDefault="00EC2891" w:rsidP="00C66B7C">
            <w:pPr>
              <w:jc w:val="both"/>
              <w:rPr>
                <w:rFonts w:ascii="Calibri" w:hAnsi="Calibri" w:cs="Calibri"/>
                <w:color w:val="000000"/>
              </w:rPr>
            </w:pPr>
            <w:r w:rsidRPr="00DC036C">
              <w:rPr>
                <w:rFonts w:ascii="Calibri" w:hAnsi="Calibri" w:cs="Calibri"/>
                <w:color w:val="000000"/>
              </w:rPr>
              <w:t>7.670.448.121,60</w:t>
            </w:r>
          </w:p>
        </w:tc>
      </w:tr>
      <w:tr w:rsidR="00EC2891" w:rsidRPr="00DC036C" w14:paraId="29B1CCF4" w14:textId="77777777" w:rsidTr="00447490">
        <w:tc>
          <w:tcPr>
            <w:tcW w:w="4675" w:type="dxa"/>
            <w:tcBorders>
              <w:top w:val="single" w:sz="4" w:space="0" w:color="auto"/>
              <w:bottom w:val="double" w:sz="4" w:space="0" w:color="auto"/>
            </w:tcBorders>
          </w:tcPr>
          <w:p w14:paraId="584A997B" w14:textId="77777777" w:rsidR="00EC2891" w:rsidRPr="00DC036C" w:rsidRDefault="00EC2891" w:rsidP="00C66B7C">
            <w:pPr>
              <w:jc w:val="both"/>
              <w:rPr>
                <w:rFonts w:ascii="Calibri" w:hAnsi="Calibri" w:cs="Calibri"/>
                <w:lang w:val="es-AR"/>
              </w:rPr>
            </w:pPr>
            <w:r w:rsidRPr="00DC036C">
              <w:rPr>
                <w:rFonts w:ascii="Calibri" w:hAnsi="Calibri" w:cs="Calibri"/>
                <w:lang w:val="es-AR"/>
              </w:rPr>
              <w:t xml:space="preserve">PN S/evolución </w:t>
            </w:r>
          </w:p>
        </w:tc>
        <w:tc>
          <w:tcPr>
            <w:tcW w:w="4675" w:type="dxa"/>
            <w:tcBorders>
              <w:top w:val="single" w:sz="4" w:space="0" w:color="auto"/>
              <w:bottom w:val="double" w:sz="4" w:space="0" w:color="auto"/>
            </w:tcBorders>
          </w:tcPr>
          <w:p w14:paraId="40EEF174" w14:textId="77777777" w:rsidR="00EC2891" w:rsidRPr="00DC036C" w:rsidRDefault="00EC2891" w:rsidP="00C66B7C">
            <w:pPr>
              <w:jc w:val="both"/>
              <w:rPr>
                <w:rFonts w:ascii="Calibri" w:hAnsi="Calibri" w:cs="Calibri"/>
                <w:b/>
                <w:bCs/>
              </w:rPr>
            </w:pPr>
            <w:r w:rsidRPr="00DC036C">
              <w:rPr>
                <w:rFonts w:ascii="Calibri" w:hAnsi="Calibri" w:cs="Calibri"/>
                <w:b/>
                <w:bCs/>
              </w:rPr>
              <w:t xml:space="preserve">88.046.760.874,52 </w:t>
            </w:r>
          </w:p>
        </w:tc>
      </w:tr>
      <w:tr w:rsidR="00EC2891" w:rsidRPr="00DC036C" w14:paraId="2557DB40" w14:textId="77777777" w:rsidTr="00447490">
        <w:tc>
          <w:tcPr>
            <w:tcW w:w="4675" w:type="dxa"/>
            <w:tcBorders>
              <w:top w:val="double" w:sz="4" w:space="0" w:color="auto"/>
            </w:tcBorders>
          </w:tcPr>
          <w:p w14:paraId="25107001" w14:textId="77777777" w:rsidR="00EC2891" w:rsidRPr="00DC036C" w:rsidRDefault="00EC2891" w:rsidP="00C66B7C">
            <w:pPr>
              <w:jc w:val="both"/>
              <w:rPr>
                <w:rFonts w:ascii="Calibri" w:hAnsi="Calibri" w:cs="Calibri"/>
                <w:lang w:val="es-AR"/>
              </w:rPr>
            </w:pPr>
            <w:r w:rsidRPr="00DC036C">
              <w:rPr>
                <w:rFonts w:ascii="Calibri" w:hAnsi="Calibri" w:cs="Calibri"/>
                <w:lang w:val="es-AR"/>
              </w:rPr>
              <w:t>PN al cierre</w:t>
            </w:r>
          </w:p>
        </w:tc>
        <w:tc>
          <w:tcPr>
            <w:tcW w:w="4675" w:type="dxa"/>
            <w:tcBorders>
              <w:top w:val="double" w:sz="4" w:space="0" w:color="auto"/>
            </w:tcBorders>
          </w:tcPr>
          <w:p w14:paraId="02A59528" w14:textId="77777777" w:rsidR="00EC2891" w:rsidRPr="00DC036C" w:rsidRDefault="00EC2891" w:rsidP="00C66B7C">
            <w:pPr>
              <w:jc w:val="both"/>
              <w:rPr>
                <w:rFonts w:ascii="Calibri" w:hAnsi="Calibri" w:cs="Calibri"/>
                <w:color w:val="000000"/>
              </w:rPr>
            </w:pPr>
            <w:r w:rsidRPr="00DC036C">
              <w:rPr>
                <w:rFonts w:ascii="Calibri" w:hAnsi="Calibri" w:cs="Calibri"/>
                <w:b/>
                <w:bCs/>
              </w:rPr>
              <w:t>88.046.760.874,52</w:t>
            </w:r>
          </w:p>
        </w:tc>
      </w:tr>
    </w:tbl>
    <w:p w14:paraId="3516926C" w14:textId="77777777" w:rsidR="00EC2891" w:rsidRPr="00DC036C" w:rsidRDefault="00EC2891" w:rsidP="00C66B7C">
      <w:pPr>
        <w:jc w:val="both"/>
        <w:rPr>
          <w:rFonts w:ascii="Calibri" w:hAnsi="Calibri" w:cs="Calibri"/>
          <w:lang w:val="es-AR"/>
        </w:rPr>
      </w:pPr>
    </w:p>
    <w:p w14:paraId="37A09BE5" w14:textId="1187794A" w:rsidR="007B654C" w:rsidRPr="00DC036C" w:rsidRDefault="007B654C" w:rsidP="00C66B7C">
      <w:pPr>
        <w:jc w:val="both"/>
        <w:rPr>
          <w:rFonts w:ascii="Calibri" w:hAnsi="Calibri" w:cs="Calibri"/>
          <w:i/>
          <w:iCs/>
          <w:lang w:val="es-AR"/>
        </w:rPr>
      </w:pPr>
      <w:r w:rsidRPr="00DC036C">
        <w:rPr>
          <w:rFonts w:ascii="Calibri" w:hAnsi="Calibri" w:cs="Calibri"/>
          <w:i/>
          <w:iCs/>
          <w:lang w:val="es-AR"/>
        </w:rPr>
        <w:t xml:space="preserve">Coeficiente IPC </w:t>
      </w:r>
    </w:p>
    <w:p w14:paraId="719F9B46" w14:textId="77777777" w:rsidR="00E942EB" w:rsidRPr="00DC036C" w:rsidRDefault="00067004" w:rsidP="00C66B7C">
      <w:pPr>
        <w:jc w:val="both"/>
        <w:rPr>
          <w:rFonts w:ascii="Calibri" w:hAnsi="Calibri" w:cs="Calibri"/>
          <w:noProof/>
          <w:lang w:val="es-AR"/>
        </w:rPr>
      </w:pPr>
      <w:r w:rsidRPr="00DC036C">
        <w:rPr>
          <w:rFonts w:ascii="Calibri" w:hAnsi="Calibri" w:cs="Calibri"/>
          <w:noProof/>
          <w:lang w:val="es-AR"/>
        </w:rPr>
        <w:lastRenderedPageBreak/>
        <w:drawing>
          <wp:anchor distT="0" distB="0" distL="114300" distR="114300" simplePos="0" relativeHeight="251660288" behindDoc="0" locked="0" layoutInCell="1" allowOverlap="1" wp14:anchorId="27CF86C1" wp14:editId="0D9C0715">
            <wp:simplePos x="0" y="0"/>
            <wp:positionH relativeFrom="column">
              <wp:posOffset>3524250</wp:posOffset>
            </wp:positionH>
            <wp:positionV relativeFrom="paragraph">
              <wp:posOffset>80010</wp:posOffset>
            </wp:positionV>
            <wp:extent cx="1809750" cy="258239"/>
            <wp:effectExtent l="0" t="0" r="0" b="8890"/>
            <wp:wrapNone/>
            <wp:docPr id="10497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677" name=""/>
                    <pic:cNvPicPr/>
                  </pic:nvPicPr>
                  <pic:blipFill>
                    <a:blip r:embed="rId5">
                      <a:extLst>
                        <a:ext uri="{28A0092B-C50C-407E-A947-70E740481C1C}">
                          <a14:useLocalDpi xmlns:a14="http://schemas.microsoft.com/office/drawing/2010/main" val="0"/>
                        </a:ext>
                      </a:extLst>
                    </a:blip>
                    <a:stretch>
                      <a:fillRect/>
                    </a:stretch>
                  </pic:blipFill>
                  <pic:spPr>
                    <a:xfrm>
                      <a:off x="0" y="0"/>
                      <a:ext cx="1831167" cy="261295"/>
                    </a:xfrm>
                    <a:prstGeom prst="rect">
                      <a:avLst/>
                    </a:prstGeom>
                  </pic:spPr>
                </pic:pic>
              </a:graphicData>
            </a:graphic>
            <wp14:sizeRelH relativeFrom="margin">
              <wp14:pctWidth>0</wp14:pctWidth>
            </wp14:sizeRelH>
            <wp14:sizeRelV relativeFrom="margin">
              <wp14:pctHeight>0</wp14:pctHeight>
            </wp14:sizeRelV>
          </wp:anchor>
        </w:drawing>
      </w:r>
      <w:r w:rsidRPr="00DC036C">
        <w:rPr>
          <w:rFonts w:ascii="Calibri" w:hAnsi="Calibri" w:cs="Calibri"/>
          <w:noProof/>
          <w:lang w:val="es-AR"/>
        </w:rPr>
        <mc:AlternateContent>
          <mc:Choice Requires="wps">
            <w:drawing>
              <wp:anchor distT="0" distB="0" distL="114300" distR="114300" simplePos="0" relativeHeight="251661312" behindDoc="0" locked="0" layoutInCell="1" allowOverlap="1" wp14:anchorId="1DE3668B" wp14:editId="2993BF1B">
                <wp:simplePos x="0" y="0"/>
                <wp:positionH relativeFrom="column">
                  <wp:posOffset>2825750</wp:posOffset>
                </wp:positionH>
                <wp:positionV relativeFrom="paragraph">
                  <wp:posOffset>162560</wp:posOffset>
                </wp:positionV>
                <wp:extent cx="615950" cy="6350"/>
                <wp:effectExtent l="0" t="76200" r="12700" b="88900"/>
                <wp:wrapNone/>
                <wp:docPr id="1574426143" name="Straight Arrow Connector 2"/>
                <wp:cNvGraphicFramePr/>
                <a:graphic xmlns:a="http://schemas.openxmlformats.org/drawingml/2006/main">
                  <a:graphicData uri="http://schemas.microsoft.com/office/word/2010/wordprocessingShape">
                    <wps:wsp>
                      <wps:cNvCnPr/>
                      <wps:spPr>
                        <a:xfrm flipV="1">
                          <a:off x="0" y="0"/>
                          <a:ext cx="6159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693B7B" id="_x0000_t32" coordsize="21600,21600" o:spt="32" o:oned="t" path="m,l21600,21600e" filled="f">
                <v:path arrowok="t" fillok="f" o:connecttype="none"/>
                <o:lock v:ext="edit" shapetype="t"/>
              </v:shapetype>
              <v:shape id="Straight Arrow Connector 2" o:spid="_x0000_s1026" type="#_x0000_t32" style="position:absolute;margin-left:222.5pt;margin-top:12.8pt;width:48.5pt;height:.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" strokecolor="#156082 [3204]" strokeweight=".5pt">
                <v:stroke endarrow="block" joinstyle="miter"/>
              </v:shape>
            </w:pict>
          </mc:Fallback>
        </mc:AlternateContent>
      </w:r>
      <w:r w:rsidR="00FB0B45" w:rsidRPr="00DC036C">
        <w:rPr>
          <w:rFonts w:ascii="Calibri" w:hAnsi="Calibri" w:cs="Calibri"/>
          <w:noProof/>
          <w:lang w:val="es-AR"/>
        </w:rPr>
        <w:drawing>
          <wp:inline distT="0" distB="0" distL="0" distR="0" wp14:anchorId="3FD6876F" wp14:editId="132173A4">
            <wp:extent cx="2754232" cy="1460500"/>
            <wp:effectExtent l="0" t="0" r="8255" b="6350"/>
            <wp:docPr id="95057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0257" name=""/>
                    <pic:cNvPicPr/>
                  </pic:nvPicPr>
                  <pic:blipFill>
                    <a:blip r:embed="rId6"/>
                    <a:stretch>
                      <a:fillRect/>
                    </a:stretch>
                  </pic:blipFill>
                  <pic:spPr>
                    <a:xfrm>
                      <a:off x="0" y="0"/>
                      <a:ext cx="2765074" cy="1466249"/>
                    </a:xfrm>
                    <a:prstGeom prst="rect">
                      <a:avLst/>
                    </a:prstGeom>
                  </pic:spPr>
                </pic:pic>
              </a:graphicData>
            </a:graphic>
          </wp:inline>
        </w:drawing>
      </w:r>
      <w:r w:rsidR="00130C2C" w:rsidRPr="00DC036C">
        <w:rPr>
          <w:rFonts w:ascii="Calibri" w:hAnsi="Calibri" w:cs="Calibri"/>
          <w:noProof/>
          <w:lang w:val="es-AR"/>
        </w:rPr>
        <w:t xml:space="preserve"> </w:t>
      </w:r>
    </w:p>
    <w:p w14:paraId="54C7D24F" w14:textId="1314CE35" w:rsidR="00B0536D" w:rsidRPr="00DC036C" w:rsidRDefault="00E942EB" w:rsidP="00C66B7C">
      <w:pPr>
        <w:jc w:val="both"/>
        <w:rPr>
          <w:rFonts w:ascii="Calibri" w:hAnsi="Calibri" w:cs="Calibri"/>
          <w:noProof/>
          <w:lang w:val="es-AR"/>
        </w:rPr>
      </w:pPr>
      <w:r w:rsidRPr="00DC036C">
        <w:rPr>
          <w:rFonts w:ascii="Calibri" w:hAnsi="Calibri" w:cs="Calibri"/>
          <w:noProof/>
          <w:color w:val="FF0000"/>
          <w:lang w:val="es-AR"/>
        </w:rPr>
        <w:t>*</w:t>
      </w:r>
      <w:r w:rsidR="002F269E" w:rsidRPr="00DC036C">
        <w:rPr>
          <w:rFonts w:ascii="Calibri" w:hAnsi="Calibri" w:cs="Calibri"/>
          <w:noProof/>
          <w:lang w:val="es-AR"/>
        </w:rPr>
        <w:t xml:space="preserve">Coeficiente x </w:t>
      </w:r>
      <w:r w:rsidR="00387522" w:rsidRPr="00DC036C">
        <w:rPr>
          <w:rFonts w:ascii="Calibri" w:hAnsi="Calibri" w:cs="Calibri"/>
          <w:noProof/>
          <w:lang w:val="es-AR"/>
        </w:rPr>
        <w:t xml:space="preserve">PN al inicio </w:t>
      </w:r>
    </w:p>
    <w:p w14:paraId="7B8F95DF" w14:textId="203791CF" w:rsidR="00387522" w:rsidRPr="00DC036C" w:rsidRDefault="00E942EB" w:rsidP="00C66B7C">
      <w:pPr>
        <w:jc w:val="both"/>
        <w:rPr>
          <w:rFonts w:ascii="Calibri" w:hAnsi="Calibri" w:cs="Calibri"/>
          <w:noProof/>
          <w:lang w:val="es-AR"/>
        </w:rPr>
      </w:pPr>
      <w:r w:rsidRPr="00DC036C">
        <w:rPr>
          <w:rFonts w:ascii="Calibri" w:hAnsi="Calibri" w:cs="Calibri"/>
          <w:noProof/>
          <w:color w:val="FF0000"/>
          <w:lang w:val="es-AR"/>
        </w:rPr>
        <w:t>*</w:t>
      </w:r>
      <w:r w:rsidR="00387522" w:rsidRPr="00DC036C">
        <w:rPr>
          <w:rFonts w:ascii="Calibri" w:hAnsi="Calibri" w:cs="Calibri"/>
          <w:noProof/>
          <w:lang w:val="es-AR"/>
        </w:rPr>
        <w:t xml:space="preserve">Coeficiente x Dividendos distribuidos </w:t>
      </w:r>
    </w:p>
    <w:p w14:paraId="08C74599" w14:textId="78A157BB" w:rsidR="007B654C" w:rsidRPr="00DC036C" w:rsidRDefault="007B654C" w:rsidP="00C66B7C">
      <w:pPr>
        <w:jc w:val="both"/>
        <w:rPr>
          <w:rFonts w:ascii="Calibri" w:hAnsi="Calibri" w:cs="Calibri"/>
          <w:lang w:val="es-AR"/>
        </w:rPr>
      </w:pPr>
    </w:p>
    <w:p w14:paraId="58FC5E73" w14:textId="77777777" w:rsidR="00600210" w:rsidRPr="00DC036C" w:rsidRDefault="00600210" w:rsidP="00C66B7C">
      <w:pPr>
        <w:jc w:val="both"/>
        <w:rPr>
          <w:rFonts w:ascii="Calibri" w:hAnsi="Calibri" w:cs="Calibri"/>
          <w:lang w:val="es-AR"/>
        </w:rPr>
      </w:pPr>
    </w:p>
    <w:sectPr w:rsidR="00600210" w:rsidRPr="00DC03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15FF0"/>
    <w:multiLevelType w:val="multilevel"/>
    <w:tmpl w:val="832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A738F"/>
    <w:multiLevelType w:val="multilevel"/>
    <w:tmpl w:val="30B2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04399A"/>
    <w:multiLevelType w:val="multilevel"/>
    <w:tmpl w:val="2C6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7517434">
    <w:abstractNumId w:val="1"/>
  </w:num>
  <w:num w:numId="2" w16cid:durableId="1079399470">
    <w:abstractNumId w:val="2"/>
  </w:num>
  <w:num w:numId="3" w16cid:durableId="70695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AD"/>
    <w:rsid w:val="00014C28"/>
    <w:rsid w:val="000268C6"/>
    <w:rsid w:val="00067004"/>
    <w:rsid w:val="00096284"/>
    <w:rsid w:val="000B3E23"/>
    <w:rsid w:val="000E0825"/>
    <w:rsid w:val="001018F1"/>
    <w:rsid w:val="001306D2"/>
    <w:rsid w:val="00130C2C"/>
    <w:rsid w:val="00130EDF"/>
    <w:rsid w:val="0017180C"/>
    <w:rsid w:val="001817BF"/>
    <w:rsid w:val="00182509"/>
    <w:rsid w:val="002044A2"/>
    <w:rsid w:val="002058F8"/>
    <w:rsid w:val="00212026"/>
    <w:rsid w:val="00212F44"/>
    <w:rsid w:val="00217D23"/>
    <w:rsid w:val="002D5166"/>
    <w:rsid w:val="002F269E"/>
    <w:rsid w:val="002F74BA"/>
    <w:rsid w:val="00307EB9"/>
    <w:rsid w:val="00317CE9"/>
    <w:rsid w:val="00341A3F"/>
    <w:rsid w:val="00346C56"/>
    <w:rsid w:val="00363C0F"/>
    <w:rsid w:val="00387522"/>
    <w:rsid w:val="003D7BBD"/>
    <w:rsid w:val="00416223"/>
    <w:rsid w:val="0041653B"/>
    <w:rsid w:val="00447521"/>
    <w:rsid w:val="00476891"/>
    <w:rsid w:val="004E1859"/>
    <w:rsid w:val="004E7720"/>
    <w:rsid w:val="004F2829"/>
    <w:rsid w:val="005251C7"/>
    <w:rsid w:val="005475A7"/>
    <w:rsid w:val="005A248C"/>
    <w:rsid w:val="005F3D09"/>
    <w:rsid w:val="005F7E06"/>
    <w:rsid w:val="00600210"/>
    <w:rsid w:val="00607EA9"/>
    <w:rsid w:val="00616C00"/>
    <w:rsid w:val="00632A40"/>
    <w:rsid w:val="00632F41"/>
    <w:rsid w:val="0064009E"/>
    <w:rsid w:val="00663836"/>
    <w:rsid w:val="006A2AE9"/>
    <w:rsid w:val="006B6286"/>
    <w:rsid w:val="00721101"/>
    <w:rsid w:val="0074596C"/>
    <w:rsid w:val="007548D5"/>
    <w:rsid w:val="007A6829"/>
    <w:rsid w:val="007A7529"/>
    <w:rsid w:val="007B654C"/>
    <w:rsid w:val="007E5524"/>
    <w:rsid w:val="00814054"/>
    <w:rsid w:val="00867C0A"/>
    <w:rsid w:val="00873B8E"/>
    <w:rsid w:val="008D6F9A"/>
    <w:rsid w:val="008E73DC"/>
    <w:rsid w:val="00907B20"/>
    <w:rsid w:val="00917763"/>
    <w:rsid w:val="00933398"/>
    <w:rsid w:val="009408AD"/>
    <w:rsid w:val="009854C8"/>
    <w:rsid w:val="009A46B4"/>
    <w:rsid w:val="009A5B40"/>
    <w:rsid w:val="009B7348"/>
    <w:rsid w:val="00A3014F"/>
    <w:rsid w:val="00A374CB"/>
    <w:rsid w:val="00AB271C"/>
    <w:rsid w:val="00B0536D"/>
    <w:rsid w:val="00B11743"/>
    <w:rsid w:val="00B25752"/>
    <w:rsid w:val="00B321BE"/>
    <w:rsid w:val="00B57784"/>
    <w:rsid w:val="00B97DC7"/>
    <w:rsid w:val="00BA54DE"/>
    <w:rsid w:val="00BA691E"/>
    <w:rsid w:val="00BB1D56"/>
    <w:rsid w:val="00BD5B17"/>
    <w:rsid w:val="00C1566C"/>
    <w:rsid w:val="00C60AE9"/>
    <w:rsid w:val="00C66B7C"/>
    <w:rsid w:val="00C83D41"/>
    <w:rsid w:val="00CD6681"/>
    <w:rsid w:val="00CF3F87"/>
    <w:rsid w:val="00D102FF"/>
    <w:rsid w:val="00D12097"/>
    <w:rsid w:val="00D13440"/>
    <w:rsid w:val="00D43899"/>
    <w:rsid w:val="00D52FE3"/>
    <w:rsid w:val="00D55C8F"/>
    <w:rsid w:val="00DA6350"/>
    <w:rsid w:val="00DC036C"/>
    <w:rsid w:val="00DD193F"/>
    <w:rsid w:val="00DF0F55"/>
    <w:rsid w:val="00E066F7"/>
    <w:rsid w:val="00E16264"/>
    <w:rsid w:val="00E52E33"/>
    <w:rsid w:val="00E679C3"/>
    <w:rsid w:val="00E942EB"/>
    <w:rsid w:val="00E9730D"/>
    <w:rsid w:val="00EC0E4E"/>
    <w:rsid w:val="00EC2891"/>
    <w:rsid w:val="00EC3A83"/>
    <w:rsid w:val="00EC5853"/>
    <w:rsid w:val="00ED1CBB"/>
    <w:rsid w:val="00EE2D0D"/>
    <w:rsid w:val="00F06B86"/>
    <w:rsid w:val="00F35430"/>
    <w:rsid w:val="00FB073D"/>
    <w:rsid w:val="00FB0B45"/>
    <w:rsid w:val="00FD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EFAB"/>
  <w15:chartTrackingRefBased/>
  <w15:docId w15:val="{2D5FF351-9437-48A4-AED9-955D0562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348"/>
  </w:style>
  <w:style w:type="paragraph" w:styleId="Heading1">
    <w:name w:val="heading 1"/>
    <w:basedOn w:val="Normal"/>
    <w:next w:val="Normal"/>
    <w:link w:val="Heading1Char"/>
    <w:uiPriority w:val="9"/>
    <w:qFormat/>
    <w:rsid w:val="00940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AD"/>
    <w:rPr>
      <w:rFonts w:eastAsiaTheme="majorEastAsia" w:cstheme="majorBidi"/>
      <w:color w:val="272727" w:themeColor="text1" w:themeTint="D8"/>
    </w:rPr>
  </w:style>
  <w:style w:type="paragraph" w:styleId="Title">
    <w:name w:val="Title"/>
    <w:basedOn w:val="Normal"/>
    <w:next w:val="Normal"/>
    <w:link w:val="TitleChar"/>
    <w:uiPriority w:val="10"/>
    <w:qFormat/>
    <w:rsid w:val="00940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AD"/>
    <w:pPr>
      <w:spacing w:before="160"/>
      <w:jc w:val="center"/>
    </w:pPr>
    <w:rPr>
      <w:i/>
      <w:iCs/>
      <w:color w:val="404040" w:themeColor="text1" w:themeTint="BF"/>
    </w:rPr>
  </w:style>
  <w:style w:type="character" w:customStyle="1" w:styleId="QuoteChar">
    <w:name w:val="Quote Char"/>
    <w:basedOn w:val="DefaultParagraphFont"/>
    <w:link w:val="Quote"/>
    <w:uiPriority w:val="29"/>
    <w:rsid w:val="009408AD"/>
    <w:rPr>
      <w:i/>
      <w:iCs/>
      <w:color w:val="404040" w:themeColor="text1" w:themeTint="BF"/>
    </w:rPr>
  </w:style>
  <w:style w:type="paragraph" w:styleId="ListParagraph">
    <w:name w:val="List Paragraph"/>
    <w:basedOn w:val="Normal"/>
    <w:uiPriority w:val="34"/>
    <w:qFormat/>
    <w:rsid w:val="009408AD"/>
    <w:pPr>
      <w:ind w:left="720"/>
      <w:contextualSpacing/>
    </w:pPr>
  </w:style>
  <w:style w:type="character" w:styleId="IntenseEmphasis">
    <w:name w:val="Intense Emphasis"/>
    <w:basedOn w:val="DefaultParagraphFont"/>
    <w:uiPriority w:val="21"/>
    <w:qFormat/>
    <w:rsid w:val="009408AD"/>
    <w:rPr>
      <w:i/>
      <w:iCs/>
      <w:color w:val="0F4761" w:themeColor="accent1" w:themeShade="BF"/>
    </w:rPr>
  </w:style>
  <w:style w:type="paragraph" w:styleId="IntenseQuote">
    <w:name w:val="Intense Quote"/>
    <w:basedOn w:val="Normal"/>
    <w:next w:val="Normal"/>
    <w:link w:val="IntenseQuoteChar"/>
    <w:uiPriority w:val="30"/>
    <w:qFormat/>
    <w:rsid w:val="00940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8AD"/>
    <w:rPr>
      <w:i/>
      <w:iCs/>
      <w:color w:val="0F4761" w:themeColor="accent1" w:themeShade="BF"/>
    </w:rPr>
  </w:style>
  <w:style w:type="character" w:styleId="IntenseReference">
    <w:name w:val="Intense Reference"/>
    <w:basedOn w:val="DefaultParagraphFont"/>
    <w:uiPriority w:val="32"/>
    <w:qFormat/>
    <w:rsid w:val="009408AD"/>
    <w:rPr>
      <w:b/>
      <w:bCs/>
      <w:smallCaps/>
      <w:color w:val="0F4761" w:themeColor="accent1" w:themeShade="BF"/>
      <w:spacing w:val="5"/>
    </w:rPr>
  </w:style>
  <w:style w:type="paragraph" w:customStyle="1" w:styleId="paragraph">
    <w:name w:val="paragraph"/>
    <w:basedOn w:val="Normal"/>
    <w:rsid w:val="007459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74596C"/>
  </w:style>
  <w:style w:type="character" w:customStyle="1" w:styleId="eop">
    <w:name w:val="eop"/>
    <w:basedOn w:val="DefaultParagraphFont"/>
    <w:rsid w:val="0074596C"/>
  </w:style>
  <w:style w:type="character" w:customStyle="1" w:styleId="annotation-a55176ef-377a-41e7-b1b6-67f09a59cd18">
    <w:name w:val="annotation-a55176ef-377a-41e7-b1b6-67f09a59cd18"/>
    <w:basedOn w:val="DefaultParagraphFont"/>
    <w:rsid w:val="00632F41"/>
  </w:style>
  <w:style w:type="character" w:customStyle="1" w:styleId="annotation-9cecb66f-f2a0-4ddf-a586-d13db4632cba">
    <w:name w:val="annotation-9cecb66f-f2a0-4ddf-a586-d13db4632cba"/>
    <w:basedOn w:val="DefaultParagraphFont"/>
    <w:rsid w:val="00632F41"/>
  </w:style>
  <w:style w:type="table" w:styleId="TableGrid">
    <w:name w:val="Table Grid"/>
    <w:basedOn w:val="TableNormal"/>
    <w:uiPriority w:val="39"/>
    <w:rsid w:val="00014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28247">
      <w:marLeft w:val="0"/>
      <w:marRight w:val="0"/>
      <w:marTop w:val="0"/>
      <w:marBottom w:val="0"/>
      <w:divBdr>
        <w:top w:val="none" w:sz="0" w:space="0" w:color="auto"/>
        <w:left w:val="none" w:sz="0" w:space="0" w:color="auto"/>
        <w:bottom w:val="none" w:sz="0" w:space="0" w:color="auto"/>
        <w:right w:val="none" w:sz="0" w:space="0" w:color="auto"/>
      </w:divBdr>
    </w:div>
    <w:div w:id="175072671">
      <w:marLeft w:val="0"/>
      <w:marRight w:val="0"/>
      <w:marTop w:val="0"/>
      <w:marBottom w:val="0"/>
      <w:divBdr>
        <w:top w:val="none" w:sz="0" w:space="0" w:color="auto"/>
        <w:left w:val="none" w:sz="0" w:space="0" w:color="auto"/>
        <w:bottom w:val="none" w:sz="0" w:space="0" w:color="auto"/>
        <w:right w:val="none" w:sz="0" w:space="0" w:color="auto"/>
      </w:divBdr>
    </w:div>
    <w:div w:id="436486018">
      <w:marLeft w:val="0"/>
      <w:marRight w:val="0"/>
      <w:marTop w:val="0"/>
      <w:marBottom w:val="0"/>
      <w:divBdr>
        <w:top w:val="none" w:sz="0" w:space="0" w:color="auto"/>
        <w:left w:val="none" w:sz="0" w:space="0" w:color="auto"/>
        <w:bottom w:val="none" w:sz="0" w:space="0" w:color="auto"/>
        <w:right w:val="none" w:sz="0" w:space="0" w:color="auto"/>
      </w:divBdr>
    </w:div>
    <w:div w:id="486366721">
      <w:marLeft w:val="0"/>
      <w:marRight w:val="0"/>
      <w:marTop w:val="0"/>
      <w:marBottom w:val="0"/>
      <w:divBdr>
        <w:top w:val="none" w:sz="0" w:space="0" w:color="auto"/>
        <w:left w:val="none" w:sz="0" w:space="0" w:color="auto"/>
        <w:bottom w:val="none" w:sz="0" w:space="0" w:color="auto"/>
        <w:right w:val="none" w:sz="0" w:space="0" w:color="auto"/>
      </w:divBdr>
    </w:div>
    <w:div w:id="697000570">
      <w:marLeft w:val="0"/>
      <w:marRight w:val="0"/>
      <w:marTop w:val="0"/>
      <w:marBottom w:val="0"/>
      <w:divBdr>
        <w:top w:val="none" w:sz="0" w:space="0" w:color="auto"/>
        <w:left w:val="none" w:sz="0" w:space="0" w:color="auto"/>
        <w:bottom w:val="none" w:sz="0" w:space="0" w:color="auto"/>
        <w:right w:val="none" w:sz="0" w:space="0" w:color="auto"/>
      </w:divBdr>
    </w:div>
    <w:div w:id="1588925309">
      <w:marLeft w:val="0"/>
      <w:marRight w:val="0"/>
      <w:marTop w:val="0"/>
      <w:marBottom w:val="0"/>
      <w:divBdr>
        <w:top w:val="none" w:sz="0" w:space="0" w:color="auto"/>
        <w:left w:val="none" w:sz="0" w:space="0" w:color="auto"/>
        <w:bottom w:val="none" w:sz="0" w:space="0" w:color="auto"/>
        <w:right w:val="none" w:sz="0" w:space="0" w:color="auto"/>
      </w:divBdr>
    </w:div>
    <w:div w:id="2039621544">
      <w:marLeft w:val="0"/>
      <w:marRight w:val="0"/>
      <w:marTop w:val="0"/>
      <w:marBottom w:val="0"/>
      <w:divBdr>
        <w:top w:val="none" w:sz="0" w:space="0" w:color="auto"/>
        <w:left w:val="none" w:sz="0" w:space="0" w:color="auto"/>
        <w:bottom w:val="none" w:sz="0" w:space="0" w:color="auto"/>
        <w:right w:val="none" w:sz="0" w:space="0" w:color="auto"/>
      </w:divBdr>
    </w:div>
    <w:div w:id="210923406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543</TotalTime>
  <Pages>7</Pages>
  <Words>2154</Words>
  <Characters>12283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Maidana, Florencia</dc:creator>
  <cp:keywords/>
  <dc:description/>
  <cp:lastModifiedBy>Maidana, Florencia</cp:lastModifiedBy>
  <cp:revision>91</cp:revision>
  <dcterms:created xsi:type="dcterms:W3CDTF">2026-06-29T13:11:00Z</dcterms:created>
  <dcterms:modified xsi:type="dcterms:W3CDTF">2026-07-23T17:59:00Z</dcterms:modified>
</cp:coreProperties>
</file>