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99E80" w14:textId="2B401688" w:rsidR="00CC0961" w:rsidRPr="00C9414B" w:rsidRDefault="00CC0961" w:rsidP="00CC0961">
      <w:pPr>
        <w:rPr>
          <w:rFonts w:ascii="Calibri" w:hAnsi="Calibri" w:cs="Calibri"/>
          <w:b/>
          <w:bCs/>
          <w:sz w:val="22"/>
          <w:szCs w:val="22"/>
          <w:lang w:val="es-MX"/>
        </w:rPr>
      </w:pPr>
      <w:r w:rsidRPr="00C9414B">
        <w:rPr>
          <w:rFonts w:ascii="Calibri" w:hAnsi="Calibri" w:cs="Calibri"/>
          <w:b/>
          <w:bCs/>
          <w:sz w:val="22"/>
          <w:szCs w:val="22"/>
          <w:lang w:val="es-MX"/>
        </w:rPr>
        <w:t>Previsión Juicios</w:t>
      </w:r>
      <w:r w:rsidR="005431B1" w:rsidRPr="00C9414B">
        <w:rPr>
          <w:rFonts w:ascii="Calibri" w:hAnsi="Calibri" w:cs="Calibri"/>
          <w:b/>
          <w:bCs/>
          <w:sz w:val="22"/>
          <w:szCs w:val="22"/>
          <w:lang w:val="es-MX"/>
        </w:rPr>
        <w:t xml:space="preserve"> y </w:t>
      </w:r>
      <w:r w:rsidRPr="00C9414B">
        <w:rPr>
          <w:rFonts w:ascii="Calibri" w:hAnsi="Calibri" w:cs="Calibri"/>
          <w:b/>
          <w:bCs/>
          <w:sz w:val="22"/>
          <w:szCs w:val="22"/>
          <w:lang w:val="es-MX"/>
        </w:rPr>
        <w:t>Contingencias</w:t>
      </w:r>
    </w:p>
    <w:p w14:paraId="79EA5C55" w14:textId="36AE523D" w:rsidR="00D230D1" w:rsidRPr="00C9414B" w:rsidRDefault="00DB3AF0" w:rsidP="00D230D1">
      <w:pPr>
        <w:rPr>
          <w:rFonts w:ascii="Calibri" w:hAnsi="Calibri" w:cs="Calibri"/>
          <w:b/>
          <w:bCs/>
          <w:sz w:val="22"/>
          <w:szCs w:val="22"/>
          <w:lang w:val="es-MX"/>
        </w:rPr>
      </w:pPr>
      <w:r w:rsidRPr="00C9414B">
        <w:rPr>
          <w:rFonts w:ascii="Calibri" w:hAnsi="Calibri" w:cs="Calibri"/>
          <w:b/>
          <w:bCs/>
          <w:sz w:val="22"/>
          <w:szCs w:val="22"/>
          <w:lang w:val="es-MX"/>
        </w:rPr>
        <w:t xml:space="preserve">¿Qué es una </w:t>
      </w:r>
      <w:r w:rsidR="00370883" w:rsidRPr="00C9414B">
        <w:rPr>
          <w:rFonts w:ascii="Calibri" w:hAnsi="Calibri" w:cs="Calibri"/>
          <w:b/>
          <w:bCs/>
          <w:sz w:val="22"/>
          <w:szCs w:val="22"/>
          <w:lang w:val="es-MX"/>
        </w:rPr>
        <w:t>previsión</w:t>
      </w:r>
      <w:r w:rsidR="00430DD5" w:rsidRPr="00C9414B">
        <w:rPr>
          <w:rFonts w:ascii="Calibri" w:hAnsi="Calibri" w:cs="Calibri"/>
          <w:b/>
          <w:bCs/>
          <w:sz w:val="22"/>
          <w:szCs w:val="22"/>
          <w:lang w:val="es-MX"/>
        </w:rPr>
        <w:t xml:space="preserve">? </w:t>
      </w:r>
    </w:p>
    <w:p w14:paraId="4816DBF7" w14:textId="58CED8CF" w:rsidR="004B1889" w:rsidRPr="00C9414B" w:rsidRDefault="00100E39" w:rsidP="00D230D1">
      <w:pPr>
        <w:rPr>
          <w:rFonts w:ascii="Calibri" w:hAnsi="Calibri" w:cs="Calibri"/>
          <w:sz w:val="22"/>
          <w:szCs w:val="22"/>
          <w:lang w:val="es-MX"/>
        </w:rPr>
      </w:pPr>
      <w:r w:rsidRPr="00C9414B">
        <w:rPr>
          <w:rFonts w:ascii="Calibri" w:hAnsi="Calibri" w:cs="Calibri"/>
          <w:sz w:val="22"/>
          <w:szCs w:val="22"/>
          <w:lang w:val="es-MX"/>
        </w:rPr>
        <w:t xml:space="preserve">La Resolución Técnica </w:t>
      </w:r>
      <w:proofErr w:type="spellStart"/>
      <w:r w:rsidRPr="00C9414B">
        <w:rPr>
          <w:rFonts w:ascii="Calibri" w:hAnsi="Calibri" w:cs="Calibri"/>
          <w:sz w:val="22"/>
          <w:szCs w:val="22"/>
          <w:lang w:val="es-MX"/>
        </w:rPr>
        <w:t>N.°</w:t>
      </w:r>
      <w:proofErr w:type="spellEnd"/>
      <w:r w:rsidRPr="00C9414B">
        <w:rPr>
          <w:rFonts w:ascii="Calibri" w:hAnsi="Calibri" w:cs="Calibri"/>
          <w:sz w:val="22"/>
          <w:szCs w:val="22"/>
          <w:lang w:val="es-MX"/>
        </w:rPr>
        <w:t xml:space="preserve"> 9 de la FACPCE define a las </w:t>
      </w:r>
      <w:r w:rsidRPr="00C9414B">
        <w:rPr>
          <w:rFonts w:ascii="Calibri" w:hAnsi="Calibri" w:cs="Calibri"/>
          <w:b/>
          <w:bCs/>
          <w:sz w:val="22"/>
          <w:szCs w:val="22"/>
          <w:lang w:val="es-MX"/>
        </w:rPr>
        <w:t>previsiones</w:t>
      </w:r>
      <w:r w:rsidRPr="00C9414B">
        <w:rPr>
          <w:rFonts w:ascii="Calibri" w:hAnsi="Calibri" w:cs="Calibri"/>
          <w:sz w:val="22"/>
          <w:szCs w:val="22"/>
          <w:lang w:val="es-MX"/>
        </w:rPr>
        <w:t xml:space="preserve"> como importes estimados que la empresa registra para hacer frente a situaciones contingentes que probablemente generen obligaciones en el futuro. Al determinar una previsión, la empresa debe estimar tanto el monto probable de la obligación como la posibilidad de que esta efectivamente ocurra.</w:t>
      </w:r>
    </w:p>
    <w:tbl>
      <w:tblPr>
        <w:tblStyle w:val="TableGrid"/>
        <w:tblW w:w="0" w:type="auto"/>
        <w:tblLook w:val="04A0" w:firstRow="1" w:lastRow="0" w:firstColumn="1" w:lastColumn="0" w:noHBand="0" w:noVBand="1"/>
      </w:tblPr>
      <w:tblGrid>
        <w:gridCol w:w="3116"/>
        <w:gridCol w:w="3117"/>
        <w:gridCol w:w="3117"/>
      </w:tblGrid>
      <w:tr w:rsidR="00D230D1" w:rsidRPr="00C9414B" w14:paraId="113977FA" w14:textId="77777777" w:rsidTr="000E4939">
        <w:tc>
          <w:tcPr>
            <w:tcW w:w="3116" w:type="dxa"/>
            <w:shd w:val="clear" w:color="auto" w:fill="DAE9F7" w:themeFill="text2" w:themeFillTint="1A"/>
          </w:tcPr>
          <w:p w14:paraId="299C4E69" w14:textId="77777777" w:rsidR="00D230D1" w:rsidRPr="00C9414B" w:rsidRDefault="00D230D1" w:rsidP="000E4939">
            <w:pPr>
              <w:jc w:val="center"/>
              <w:rPr>
                <w:rFonts w:ascii="Calibri" w:hAnsi="Calibri" w:cs="Calibri"/>
                <w:sz w:val="22"/>
                <w:szCs w:val="22"/>
                <w:lang w:val="es-AR"/>
              </w:rPr>
            </w:pPr>
          </w:p>
        </w:tc>
        <w:tc>
          <w:tcPr>
            <w:tcW w:w="3117" w:type="dxa"/>
            <w:shd w:val="clear" w:color="auto" w:fill="DAE9F7" w:themeFill="text2" w:themeFillTint="1A"/>
          </w:tcPr>
          <w:p w14:paraId="6C78DB6C" w14:textId="77777777" w:rsidR="00D230D1" w:rsidRPr="00C9414B" w:rsidRDefault="00D230D1" w:rsidP="000E4939">
            <w:pPr>
              <w:jc w:val="center"/>
              <w:rPr>
                <w:rFonts w:ascii="Calibri" w:hAnsi="Calibri" w:cs="Calibri"/>
                <w:sz w:val="22"/>
                <w:szCs w:val="22"/>
                <w:lang w:val="es-AR"/>
              </w:rPr>
            </w:pPr>
            <w:r w:rsidRPr="00C9414B">
              <w:rPr>
                <w:rFonts w:ascii="Calibri" w:hAnsi="Calibri" w:cs="Calibri"/>
                <w:sz w:val="22"/>
                <w:szCs w:val="22"/>
                <w:lang w:val="es-AR"/>
              </w:rPr>
              <w:t>Monto cierto</w:t>
            </w:r>
          </w:p>
        </w:tc>
        <w:tc>
          <w:tcPr>
            <w:tcW w:w="3117" w:type="dxa"/>
            <w:shd w:val="clear" w:color="auto" w:fill="DAE9F7" w:themeFill="text2" w:themeFillTint="1A"/>
          </w:tcPr>
          <w:p w14:paraId="7386B0CC" w14:textId="77777777" w:rsidR="00D230D1" w:rsidRPr="00C9414B" w:rsidRDefault="00D230D1" w:rsidP="000E4939">
            <w:pPr>
              <w:jc w:val="center"/>
              <w:rPr>
                <w:rFonts w:ascii="Calibri" w:hAnsi="Calibri" w:cs="Calibri"/>
                <w:sz w:val="22"/>
                <w:szCs w:val="22"/>
                <w:lang w:val="es-AR"/>
              </w:rPr>
            </w:pPr>
            <w:r w:rsidRPr="00C9414B">
              <w:rPr>
                <w:rFonts w:ascii="Calibri" w:hAnsi="Calibri" w:cs="Calibri"/>
                <w:sz w:val="22"/>
                <w:szCs w:val="22"/>
                <w:lang w:val="es-AR"/>
              </w:rPr>
              <w:t>Monto incierto</w:t>
            </w:r>
          </w:p>
        </w:tc>
      </w:tr>
      <w:tr w:rsidR="00D230D1" w:rsidRPr="00C9414B" w14:paraId="364E194B" w14:textId="77777777" w:rsidTr="000E4939">
        <w:tc>
          <w:tcPr>
            <w:tcW w:w="3116" w:type="dxa"/>
            <w:shd w:val="clear" w:color="auto" w:fill="DAE9F7" w:themeFill="text2" w:themeFillTint="1A"/>
          </w:tcPr>
          <w:p w14:paraId="64BC5AA8" w14:textId="77777777" w:rsidR="00D230D1" w:rsidRPr="00C9414B" w:rsidRDefault="00D230D1" w:rsidP="000E4939">
            <w:pPr>
              <w:jc w:val="center"/>
              <w:rPr>
                <w:rFonts w:ascii="Calibri" w:hAnsi="Calibri" w:cs="Calibri"/>
                <w:sz w:val="22"/>
                <w:szCs w:val="22"/>
                <w:lang w:val="es-AR"/>
              </w:rPr>
            </w:pPr>
            <w:r w:rsidRPr="00C9414B">
              <w:rPr>
                <w:rFonts w:ascii="Calibri" w:hAnsi="Calibri" w:cs="Calibri"/>
                <w:sz w:val="22"/>
                <w:szCs w:val="22"/>
                <w:lang w:val="es-AR"/>
              </w:rPr>
              <w:t>Hecho conocido</w:t>
            </w:r>
          </w:p>
        </w:tc>
        <w:tc>
          <w:tcPr>
            <w:tcW w:w="3117" w:type="dxa"/>
          </w:tcPr>
          <w:p w14:paraId="28EEB8A6" w14:textId="77777777" w:rsidR="00D230D1" w:rsidRPr="00C9414B" w:rsidRDefault="00D230D1" w:rsidP="000E4939">
            <w:pPr>
              <w:jc w:val="center"/>
              <w:rPr>
                <w:rFonts w:ascii="Calibri" w:hAnsi="Calibri" w:cs="Calibri"/>
                <w:sz w:val="22"/>
                <w:szCs w:val="22"/>
                <w:lang w:val="es-AR"/>
              </w:rPr>
            </w:pPr>
            <w:r w:rsidRPr="00C9414B">
              <w:rPr>
                <w:rFonts w:ascii="Calibri" w:hAnsi="Calibri" w:cs="Calibri"/>
                <w:sz w:val="22"/>
                <w:szCs w:val="22"/>
                <w:lang w:val="es-AR"/>
              </w:rPr>
              <w:t>Deuda</w:t>
            </w:r>
          </w:p>
        </w:tc>
        <w:tc>
          <w:tcPr>
            <w:tcW w:w="3117" w:type="dxa"/>
          </w:tcPr>
          <w:p w14:paraId="692E7512" w14:textId="77777777" w:rsidR="00D230D1" w:rsidRPr="00C9414B" w:rsidRDefault="00D230D1" w:rsidP="000E4939">
            <w:pPr>
              <w:jc w:val="center"/>
              <w:rPr>
                <w:rFonts w:ascii="Calibri" w:hAnsi="Calibri" w:cs="Calibri"/>
                <w:sz w:val="22"/>
                <w:szCs w:val="22"/>
                <w:lang w:val="es-AR"/>
              </w:rPr>
            </w:pPr>
            <w:r w:rsidRPr="00C9414B">
              <w:rPr>
                <w:rFonts w:ascii="Calibri" w:hAnsi="Calibri" w:cs="Calibri"/>
                <w:sz w:val="22"/>
                <w:szCs w:val="22"/>
                <w:lang w:val="es-AR"/>
              </w:rPr>
              <w:t>Provisión</w:t>
            </w:r>
          </w:p>
        </w:tc>
      </w:tr>
    </w:tbl>
    <w:p w14:paraId="5DA11AEF" w14:textId="77777777" w:rsidR="000A7573" w:rsidRDefault="000A7573">
      <w:pPr>
        <w:rPr>
          <w:rFonts w:ascii="Calibri" w:hAnsi="Calibri" w:cs="Calibri"/>
          <w:sz w:val="22"/>
          <w:szCs w:val="22"/>
        </w:rPr>
      </w:pPr>
    </w:p>
    <w:p w14:paraId="28F55572" w14:textId="77777777" w:rsidR="00977499" w:rsidRPr="00977499" w:rsidRDefault="00977499" w:rsidP="00977499">
      <w:pPr>
        <w:rPr>
          <w:rFonts w:ascii="Calibri" w:hAnsi="Calibri" w:cs="Calibri"/>
          <w:b/>
          <w:bCs/>
          <w:sz w:val="22"/>
          <w:szCs w:val="22"/>
          <w:lang w:val="es-MX"/>
        </w:rPr>
      </w:pPr>
      <w:r w:rsidRPr="00977499">
        <w:rPr>
          <w:rFonts w:ascii="Calibri" w:hAnsi="Calibri" w:cs="Calibri"/>
          <w:b/>
          <w:bCs/>
          <w:sz w:val="22"/>
          <w:szCs w:val="22"/>
          <w:lang w:val="es-MX"/>
        </w:rPr>
        <w:t>¿Qué es una previsión por juicios y contingencias?</w:t>
      </w:r>
    </w:p>
    <w:p w14:paraId="66DBB234" w14:textId="77777777" w:rsidR="00977499" w:rsidRPr="00977499" w:rsidRDefault="00977499" w:rsidP="00977499">
      <w:pPr>
        <w:rPr>
          <w:rFonts w:ascii="Calibri" w:hAnsi="Calibri" w:cs="Calibri"/>
          <w:sz w:val="22"/>
          <w:szCs w:val="22"/>
          <w:lang w:val="es-MX"/>
        </w:rPr>
      </w:pPr>
      <w:r w:rsidRPr="00977499">
        <w:rPr>
          <w:rFonts w:ascii="Calibri" w:hAnsi="Calibri" w:cs="Calibri"/>
          <w:sz w:val="22"/>
          <w:szCs w:val="22"/>
          <w:lang w:val="es-MX"/>
        </w:rPr>
        <w:t>Es una estimación del posible impacto económico derivado de juicios, reclamos o contingencias legales que pueden afectar a la empresa. Se basa en el análisis de los riesgos identificados y en la probabilidad de que dichos eventos generen una obligación futura.</w:t>
      </w:r>
    </w:p>
    <w:p w14:paraId="15507326" w14:textId="77777777" w:rsidR="00977499" w:rsidRPr="00977499" w:rsidRDefault="00977499" w:rsidP="00977499">
      <w:pPr>
        <w:rPr>
          <w:rFonts w:ascii="Calibri" w:hAnsi="Calibri" w:cs="Calibri"/>
          <w:b/>
          <w:bCs/>
          <w:sz w:val="22"/>
          <w:szCs w:val="22"/>
          <w:lang w:val="es-MX"/>
        </w:rPr>
      </w:pPr>
      <w:r w:rsidRPr="00977499">
        <w:rPr>
          <w:rFonts w:ascii="Calibri" w:hAnsi="Calibri" w:cs="Calibri"/>
          <w:b/>
          <w:bCs/>
          <w:sz w:val="22"/>
          <w:szCs w:val="22"/>
          <w:lang w:val="es-MX"/>
        </w:rPr>
        <w:t>¿Cuándo se deberá constituir esta previsión? ¿Cuál es su objetivo?</w:t>
      </w:r>
    </w:p>
    <w:p w14:paraId="4A5E2EC1" w14:textId="77777777" w:rsidR="00977499" w:rsidRPr="00977499" w:rsidRDefault="00977499" w:rsidP="00977499">
      <w:pPr>
        <w:rPr>
          <w:rFonts w:ascii="Calibri" w:hAnsi="Calibri" w:cs="Calibri"/>
          <w:sz w:val="22"/>
          <w:szCs w:val="22"/>
          <w:lang w:val="es-MX"/>
        </w:rPr>
      </w:pPr>
      <w:r w:rsidRPr="00977499">
        <w:rPr>
          <w:rFonts w:ascii="Calibri" w:hAnsi="Calibri" w:cs="Calibri"/>
          <w:sz w:val="22"/>
          <w:szCs w:val="22"/>
          <w:lang w:val="es-MX"/>
        </w:rPr>
        <w:t>La previsión deberá constituirse cuando existan juicios, reclamos o contingencias cuyo resultado pueda generar un impacto económico para la empresa y sea necesario evaluar dicho riesgo, por ejemplo, para la elaboración de presupuestos, la planificación financiera o el análisis de riesgos legales.</w:t>
      </w:r>
    </w:p>
    <w:p w14:paraId="28CAAFB3" w14:textId="1333D8CC" w:rsidR="00977499" w:rsidRDefault="00977499" w:rsidP="00977499">
      <w:pPr>
        <w:rPr>
          <w:rFonts w:ascii="Calibri" w:hAnsi="Calibri" w:cs="Calibri"/>
          <w:sz w:val="22"/>
          <w:szCs w:val="22"/>
          <w:lang w:val="es-MX"/>
        </w:rPr>
      </w:pPr>
      <w:r w:rsidRPr="00977499">
        <w:rPr>
          <w:rFonts w:ascii="Calibri" w:hAnsi="Calibri" w:cs="Calibri"/>
          <w:sz w:val="22"/>
          <w:szCs w:val="22"/>
          <w:lang w:val="es-MX"/>
        </w:rPr>
        <w:t>Su objetivo es reflejar adecuadamente los posibles efectos económicos de estas contingencias, facilitando la gestión de riesgos y la toma de decisiones por parte de la empresa.</w:t>
      </w:r>
    </w:p>
    <w:p w14:paraId="400238DB" w14:textId="77777777" w:rsidR="00BB314F" w:rsidRPr="00977499" w:rsidRDefault="00BB314F" w:rsidP="00BB314F">
      <w:pPr>
        <w:rPr>
          <w:rFonts w:ascii="Calibri" w:hAnsi="Calibri" w:cs="Calibri"/>
          <w:b/>
          <w:bCs/>
          <w:sz w:val="22"/>
          <w:szCs w:val="22"/>
          <w:lang w:val="es-MX"/>
        </w:rPr>
      </w:pPr>
      <w:r w:rsidRPr="00977499">
        <w:rPr>
          <w:rFonts w:ascii="Calibri" w:hAnsi="Calibri" w:cs="Calibri"/>
          <w:b/>
          <w:bCs/>
          <w:sz w:val="22"/>
          <w:szCs w:val="22"/>
          <w:lang w:val="es-MX"/>
        </w:rPr>
        <w:t>¿Cómo se registra contablemente la previsión por juicios?</w:t>
      </w:r>
    </w:p>
    <w:p w14:paraId="304BEF9E" w14:textId="77777777" w:rsidR="00BB314F" w:rsidRPr="00C9414B" w:rsidRDefault="00BB314F" w:rsidP="00BB314F">
      <w:pPr>
        <w:rPr>
          <w:rFonts w:ascii="Calibri" w:hAnsi="Calibri" w:cs="Calibri"/>
          <w:sz w:val="22"/>
          <w:szCs w:val="22"/>
          <w:lang w:val="es-MX"/>
        </w:rPr>
      </w:pPr>
      <w:r w:rsidRPr="00C9414B">
        <w:rPr>
          <w:rFonts w:ascii="Calibri" w:hAnsi="Calibri" w:cs="Calibri"/>
          <w:sz w:val="22"/>
          <w:szCs w:val="22"/>
          <w:lang w:val="es-MX"/>
        </w:rPr>
        <w:t xml:space="preserve">La previsión para juicios es una </w:t>
      </w:r>
      <w:r>
        <w:rPr>
          <w:rFonts w:ascii="Calibri" w:hAnsi="Calibri" w:cs="Calibri"/>
          <w:sz w:val="22"/>
          <w:szCs w:val="22"/>
          <w:lang w:val="es-MX"/>
        </w:rPr>
        <w:t xml:space="preserve">cuenta patrimonial </w:t>
      </w:r>
      <w:r w:rsidRPr="00C9414B">
        <w:rPr>
          <w:rFonts w:ascii="Calibri" w:hAnsi="Calibri" w:cs="Calibri"/>
          <w:sz w:val="22"/>
          <w:szCs w:val="22"/>
          <w:lang w:val="es-MX"/>
        </w:rPr>
        <w:t xml:space="preserve">del </w:t>
      </w:r>
      <w:r w:rsidRPr="00C9414B">
        <w:rPr>
          <w:rFonts w:ascii="Calibri" w:hAnsi="Calibri" w:cs="Calibri"/>
          <w:b/>
          <w:bCs/>
          <w:sz w:val="22"/>
          <w:szCs w:val="22"/>
          <w:lang w:val="es-MX"/>
        </w:rPr>
        <w:t>pasivo</w:t>
      </w:r>
      <w:r w:rsidRPr="00C9414B">
        <w:rPr>
          <w:rFonts w:ascii="Calibri" w:hAnsi="Calibri" w:cs="Calibri"/>
          <w:sz w:val="22"/>
          <w:szCs w:val="22"/>
          <w:lang w:val="es-MX"/>
        </w:rPr>
        <w:t xml:space="preserve"> que se expone en el Estado de Situación Patrimonial. </w:t>
      </w:r>
    </w:p>
    <w:p w14:paraId="6C3453DE" w14:textId="77777777" w:rsidR="00BB314F" w:rsidRPr="00C9414B" w:rsidRDefault="00BB314F" w:rsidP="00BB314F">
      <w:pPr>
        <w:rPr>
          <w:rFonts w:ascii="Calibri" w:hAnsi="Calibri" w:cs="Calibri"/>
          <w:sz w:val="22"/>
          <w:szCs w:val="22"/>
          <w:lang w:val="es-MX"/>
        </w:rPr>
      </w:pPr>
      <w:r w:rsidRPr="00C9414B">
        <w:rPr>
          <w:rFonts w:ascii="Calibri" w:hAnsi="Calibri" w:cs="Calibri"/>
          <w:sz w:val="22"/>
          <w:szCs w:val="22"/>
          <w:lang w:val="es-MX"/>
        </w:rPr>
        <w:t xml:space="preserve">Al momento de su </w:t>
      </w:r>
      <w:r w:rsidRPr="00C9414B">
        <w:rPr>
          <w:rFonts w:ascii="Calibri" w:hAnsi="Calibri" w:cs="Calibri"/>
          <w:b/>
          <w:bCs/>
          <w:sz w:val="22"/>
          <w:szCs w:val="22"/>
          <w:lang w:val="es-MX"/>
        </w:rPr>
        <w:t>constitución</w:t>
      </w:r>
      <w:r w:rsidRPr="00C9414B">
        <w:rPr>
          <w:rFonts w:ascii="Calibri" w:hAnsi="Calibri" w:cs="Calibri"/>
          <w:sz w:val="22"/>
          <w:szCs w:val="22"/>
          <w:lang w:val="es-MX"/>
        </w:rPr>
        <w:t xml:space="preserve">, la previsión se registra acreditando la cuenta Previsión </w:t>
      </w:r>
      <w:r>
        <w:rPr>
          <w:rFonts w:ascii="Calibri" w:hAnsi="Calibri" w:cs="Calibri"/>
          <w:sz w:val="22"/>
          <w:szCs w:val="22"/>
          <w:lang w:val="es-MX"/>
        </w:rPr>
        <w:t>para</w:t>
      </w:r>
      <w:r w:rsidRPr="00C9414B">
        <w:rPr>
          <w:rFonts w:ascii="Calibri" w:hAnsi="Calibri" w:cs="Calibri"/>
          <w:sz w:val="22"/>
          <w:szCs w:val="22"/>
          <w:lang w:val="es-MX"/>
        </w:rPr>
        <w:t xml:space="preserve"> Juicios y debitando una cuenta de resultado negativo, ya que se está reconociendo una pérdida estimada.</w:t>
      </w:r>
    </w:p>
    <w:p w14:paraId="2E8252D3" w14:textId="77777777" w:rsidR="00BB314F" w:rsidRPr="00C9414B" w:rsidRDefault="00BB314F" w:rsidP="00BB314F">
      <w:pPr>
        <w:rPr>
          <w:rFonts w:ascii="Calibri" w:hAnsi="Calibri" w:cs="Calibri"/>
          <w:sz w:val="22"/>
          <w:szCs w:val="22"/>
          <w:lang w:val="es-MX"/>
        </w:rPr>
      </w:pPr>
      <w:r w:rsidRPr="00C9414B">
        <w:rPr>
          <w:rFonts w:ascii="Calibri" w:hAnsi="Calibri" w:cs="Calibri"/>
          <w:sz w:val="22"/>
          <w:szCs w:val="22"/>
          <w:lang w:val="es-MX"/>
        </w:rPr>
        <w:t>Posteriormente, pueden producirse tres situaciones:</w:t>
      </w:r>
    </w:p>
    <w:p w14:paraId="58B04723" w14:textId="77777777" w:rsidR="00BB314F" w:rsidRPr="00C9414B" w:rsidRDefault="00BB314F" w:rsidP="00BB314F">
      <w:pPr>
        <w:numPr>
          <w:ilvl w:val="0"/>
          <w:numId w:val="2"/>
        </w:numPr>
        <w:spacing w:line="259" w:lineRule="auto"/>
        <w:rPr>
          <w:rFonts w:ascii="Calibri" w:hAnsi="Calibri" w:cs="Calibri"/>
          <w:sz w:val="22"/>
          <w:szCs w:val="22"/>
          <w:lang w:val="es-MX"/>
        </w:rPr>
      </w:pPr>
      <w:r w:rsidRPr="00C9414B">
        <w:rPr>
          <w:rFonts w:ascii="Calibri" w:hAnsi="Calibri" w:cs="Calibri"/>
          <w:b/>
          <w:bCs/>
          <w:sz w:val="22"/>
          <w:szCs w:val="22"/>
          <w:lang w:val="es-MX"/>
        </w:rPr>
        <w:t>Recupero de la previsión:</w:t>
      </w:r>
      <w:r w:rsidRPr="00C9414B">
        <w:rPr>
          <w:rFonts w:ascii="Calibri" w:hAnsi="Calibri" w:cs="Calibri"/>
          <w:sz w:val="22"/>
          <w:szCs w:val="22"/>
          <w:lang w:val="es-MX"/>
        </w:rPr>
        <w:t xml:space="preserve"> si al cierre del ejercicio se determina que una parte de la previsión ya no será necesaria, se disminuye el saldo de la previsión y se reconoce un resultado positivo, reflejando una menor pérdida estimada que la originalmente prevista.</w:t>
      </w:r>
    </w:p>
    <w:p w14:paraId="7DA5E56C" w14:textId="77777777" w:rsidR="00BB314F" w:rsidRPr="00C9414B" w:rsidRDefault="00BB314F" w:rsidP="00BB314F">
      <w:pPr>
        <w:numPr>
          <w:ilvl w:val="0"/>
          <w:numId w:val="2"/>
        </w:numPr>
        <w:spacing w:line="259" w:lineRule="auto"/>
        <w:rPr>
          <w:rFonts w:ascii="Calibri" w:hAnsi="Calibri" w:cs="Calibri"/>
          <w:sz w:val="22"/>
          <w:szCs w:val="22"/>
          <w:lang w:val="es-MX"/>
        </w:rPr>
      </w:pPr>
      <w:r w:rsidRPr="00C9414B">
        <w:rPr>
          <w:rFonts w:ascii="Calibri" w:hAnsi="Calibri" w:cs="Calibri"/>
          <w:b/>
          <w:bCs/>
          <w:sz w:val="22"/>
          <w:szCs w:val="22"/>
          <w:lang w:val="es-MX"/>
        </w:rPr>
        <w:t>Aplicación de la previsión:</w:t>
      </w:r>
      <w:r w:rsidRPr="00C9414B">
        <w:rPr>
          <w:rFonts w:ascii="Calibri" w:hAnsi="Calibri" w:cs="Calibri"/>
          <w:sz w:val="22"/>
          <w:szCs w:val="22"/>
          <w:lang w:val="es-MX"/>
        </w:rPr>
        <w:t xml:space="preserve"> ocurre cuando se concreta la situación que motivó su constitución, por ejemplo, </w:t>
      </w:r>
      <w:r>
        <w:rPr>
          <w:rFonts w:ascii="Calibri" w:hAnsi="Calibri" w:cs="Calibri"/>
          <w:sz w:val="22"/>
          <w:szCs w:val="22"/>
          <w:lang w:val="es-MX"/>
        </w:rPr>
        <w:t>cuando ya hay una sentencia firme con la documentación respaldatoria necesaria</w:t>
      </w:r>
      <w:r w:rsidRPr="00C9414B">
        <w:rPr>
          <w:rFonts w:ascii="Calibri" w:hAnsi="Calibri" w:cs="Calibri"/>
          <w:sz w:val="22"/>
          <w:szCs w:val="22"/>
          <w:lang w:val="es-MX"/>
        </w:rPr>
        <w:t xml:space="preserve">. En ese caso, se </w:t>
      </w:r>
      <w:r>
        <w:rPr>
          <w:rFonts w:ascii="Calibri" w:hAnsi="Calibri" w:cs="Calibri"/>
          <w:sz w:val="22"/>
          <w:szCs w:val="22"/>
          <w:lang w:val="es-MX"/>
        </w:rPr>
        <w:t>debe dar de baja tanto el activo</w:t>
      </w:r>
      <w:r w:rsidRPr="00C9414B">
        <w:rPr>
          <w:rFonts w:ascii="Calibri" w:hAnsi="Calibri" w:cs="Calibri"/>
          <w:sz w:val="22"/>
          <w:szCs w:val="22"/>
          <w:lang w:val="es-MX"/>
        </w:rPr>
        <w:t xml:space="preserve"> </w:t>
      </w:r>
      <w:r>
        <w:rPr>
          <w:rFonts w:ascii="Calibri" w:hAnsi="Calibri" w:cs="Calibri"/>
          <w:sz w:val="22"/>
          <w:szCs w:val="22"/>
          <w:lang w:val="es-MX"/>
        </w:rPr>
        <w:t xml:space="preserve">mediante el cual se cancela la obligación </w:t>
      </w:r>
      <w:r w:rsidRPr="00C9414B">
        <w:rPr>
          <w:rFonts w:ascii="Calibri" w:hAnsi="Calibri" w:cs="Calibri"/>
          <w:sz w:val="22"/>
          <w:szCs w:val="22"/>
          <w:lang w:val="es-MX"/>
        </w:rPr>
        <w:t>como la previsión previamente constituida. Dado que la pérdida ya había sido reconocida al constituirse la previsión, este movimiento no genera un nuevo resultado.</w:t>
      </w:r>
    </w:p>
    <w:p w14:paraId="605F6D06" w14:textId="77777777" w:rsidR="00BB314F" w:rsidRPr="00C9414B" w:rsidRDefault="00BB314F" w:rsidP="00BB314F">
      <w:pPr>
        <w:numPr>
          <w:ilvl w:val="0"/>
          <w:numId w:val="2"/>
        </w:numPr>
        <w:spacing w:line="259" w:lineRule="auto"/>
        <w:rPr>
          <w:rFonts w:ascii="Calibri" w:hAnsi="Calibri" w:cs="Calibri"/>
          <w:sz w:val="22"/>
          <w:szCs w:val="22"/>
          <w:lang w:val="es-MX"/>
        </w:rPr>
      </w:pPr>
      <w:r w:rsidRPr="00C9414B">
        <w:rPr>
          <w:rFonts w:ascii="Calibri" w:hAnsi="Calibri" w:cs="Calibri"/>
          <w:b/>
          <w:bCs/>
          <w:sz w:val="22"/>
          <w:szCs w:val="22"/>
          <w:lang w:val="es-MX"/>
        </w:rPr>
        <w:lastRenderedPageBreak/>
        <w:t>Reclasificación de la previsión:</w:t>
      </w:r>
      <w:r w:rsidRPr="00C9414B">
        <w:rPr>
          <w:rFonts w:ascii="Calibri" w:hAnsi="Calibri" w:cs="Calibri"/>
          <w:sz w:val="22"/>
          <w:szCs w:val="22"/>
          <w:lang w:val="es-MX"/>
        </w:rPr>
        <w:t xml:space="preserve"> </w:t>
      </w:r>
      <w:r w:rsidRPr="00C9414B">
        <w:rPr>
          <w:rFonts w:ascii="Calibri" w:hAnsi="Calibri" w:cs="Calibri"/>
          <w:sz w:val="22"/>
          <w:szCs w:val="22"/>
          <w:lang w:val="es-AR"/>
        </w:rPr>
        <w:t xml:space="preserve">Es el incremento o disminución de la previsión contra otra cuenta patrimonial.​ No cambia el importe de la previsión, sino su ubicación dentro del pasivo debido a una modificación en la expectativa sobre cuando se cancelará la obligación. </w:t>
      </w:r>
    </w:p>
    <w:p w14:paraId="47E664B5" w14:textId="77777777" w:rsidR="00BB314F" w:rsidRPr="00C9414B" w:rsidRDefault="00BB314F" w:rsidP="00BB314F">
      <w:pPr>
        <w:rPr>
          <w:rFonts w:ascii="Calibri" w:hAnsi="Calibri" w:cs="Calibri"/>
          <w:sz w:val="22"/>
          <w:szCs w:val="22"/>
          <w:lang w:val="es-MX"/>
        </w:rPr>
      </w:pPr>
      <w:r w:rsidRPr="00C9414B">
        <w:rPr>
          <w:rFonts w:ascii="Calibri" w:hAnsi="Calibri" w:cs="Calibri"/>
          <w:sz w:val="22"/>
          <w:szCs w:val="22"/>
          <w:lang w:val="es-MX"/>
        </w:rPr>
        <w:t>A continuación, se presentan los asientos contables correspondientes a cada una de estas situaciones:</w:t>
      </w:r>
    </w:p>
    <w:p w14:paraId="6CB25250" w14:textId="2D89C5E7" w:rsidR="00BB314F" w:rsidRPr="00C9414B" w:rsidRDefault="00BB314F" w:rsidP="00BB314F">
      <w:pPr>
        <w:rPr>
          <w:rFonts w:ascii="Calibri" w:hAnsi="Calibri" w:cs="Calibri"/>
          <w:b/>
          <w:bCs/>
          <w:sz w:val="22"/>
          <w:szCs w:val="22"/>
          <w:lang w:val="es-MX"/>
        </w:rPr>
      </w:pPr>
      <w:r w:rsidRPr="00C9414B">
        <w:rPr>
          <w:rFonts w:ascii="Calibri" w:hAnsi="Calibri" w:cs="Calibri"/>
          <w:b/>
          <w:bCs/>
          <w:sz w:val="22"/>
          <w:szCs w:val="22"/>
          <w:lang w:val="es-MX"/>
        </w:rPr>
        <w:t>Constitución:</w:t>
      </w:r>
    </w:p>
    <w:p w14:paraId="50D8C067" w14:textId="31C63A17" w:rsidR="00BB314F" w:rsidRPr="00C9414B" w:rsidRDefault="001E528F" w:rsidP="00BB314F">
      <w:pPr>
        <w:rPr>
          <w:rFonts w:ascii="Calibri" w:hAnsi="Calibri" w:cs="Calibri"/>
          <w:b/>
          <w:bCs/>
          <w:sz w:val="22"/>
          <w:szCs w:val="22"/>
          <w:lang w:val="es-MX"/>
        </w:rPr>
      </w:pPr>
      <w:r w:rsidRPr="001E528F">
        <w:rPr>
          <w:rFonts w:ascii="Calibri" w:hAnsi="Calibri" w:cs="Calibri"/>
          <w:b/>
          <w:bCs/>
          <w:noProof/>
          <w:sz w:val="22"/>
          <w:szCs w:val="22"/>
          <w:lang w:val="es-MX"/>
        </w:rPr>
        <w:drawing>
          <wp:inline distT="0" distB="0" distL="0" distR="0" wp14:anchorId="1CAF416D" wp14:editId="0A6DA780">
            <wp:extent cx="4887007" cy="685896"/>
            <wp:effectExtent l="0" t="0" r="0" b="0"/>
            <wp:docPr id="1195199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199219" name=""/>
                    <pic:cNvPicPr/>
                  </pic:nvPicPr>
                  <pic:blipFill>
                    <a:blip r:embed="rId5"/>
                    <a:stretch>
                      <a:fillRect/>
                    </a:stretch>
                  </pic:blipFill>
                  <pic:spPr>
                    <a:xfrm>
                      <a:off x="0" y="0"/>
                      <a:ext cx="4887007" cy="685896"/>
                    </a:xfrm>
                    <a:prstGeom prst="rect">
                      <a:avLst/>
                    </a:prstGeom>
                  </pic:spPr>
                </pic:pic>
              </a:graphicData>
            </a:graphic>
          </wp:inline>
        </w:drawing>
      </w:r>
    </w:p>
    <w:p w14:paraId="265A1C37" w14:textId="7D034EDC" w:rsidR="00BB314F" w:rsidRPr="00C9414B" w:rsidRDefault="00BB314F" w:rsidP="00BB314F">
      <w:pPr>
        <w:rPr>
          <w:rFonts w:ascii="Calibri" w:hAnsi="Calibri" w:cs="Calibri"/>
          <w:b/>
          <w:bCs/>
          <w:sz w:val="22"/>
          <w:szCs w:val="22"/>
          <w:lang w:val="es-MX"/>
        </w:rPr>
      </w:pPr>
      <w:r w:rsidRPr="00C9414B">
        <w:rPr>
          <w:rFonts w:ascii="Calibri" w:hAnsi="Calibri" w:cs="Calibri"/>
          <w:b/>
          <w:bCs/>
          <w:sz w:val="22"/>
          <w:szCs w:val="22"/>
          <w:lang w:val="es-MX"/>
        </w:rPr>
        <w:t>Recupero:</w:t>
      </w:r>
    </w:p>
    <w:p w14:paraId="19303209" w14:textId="04FD830D" w:rsidR="00BB314F" w:rsidRPr="00C9414B" w:rsidRDefault="001E528F" w:rsidP="00BB314F">
      <w:pPr>
        <w:rPr>
          <w:rFonts w:ascii="Calibri" w:hAnsi="Calibri" w:cs="Calibri"/>
          <w:noProof/>
          <w:sz w:val="22"/>
          <w:szCs w:val="22"/>
          <w:lang w:val="es-MX"/>
        </w:rPr>
      </w:pPr>
      <w:r w:rsidRPr="001E528F">
        <w:rPr>
          <w:rFonts w:ascii="Calibri" w:hAnsi="Calibri" w:cs="Calibri"/>
          <w:noProof/>
          <w:sz w:val="22"/>
          <w:szCs w:val="22"/>
          <w:lang w:val="es-MX"/>
        </w:rPr>
        <w:drawing>
          <wp:inline distT="0" distB="0" distL="0" distR="0" wp14:anchorId="3E0B23E5" wp14:editId="4C6CCCE6">
            <wp:extent cx="4934639" cy="695422"/>
            <wp:effectExtent l="0" t="0" r="0" b="9525"/>
            <wp:docPr id="364844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844125" name=""/>
                    <pic:cNvPicPr/>
                  </pic:nvPicPr>
                  <pic:blipFill>
                    <a:blip r:embed="rId6"/>
                    <a:stretch>
                      <a:fillRect/>
                    </a:stretch>
                  </pic:blipFill>
                  <pic:spPr>
                    <a:xfrm>
                      <a:off x="0" y="0"/>
                      <a:ext cx="4934639" cy="695422"/>
                    </a:xfrm>
                    <a:prstGeom prst="rect">
                      <a:avLst/>
                    </a:prstGeom>
                  </pic:spPr>
                </pic:pic>
              </a:graphicData>
            </a:graphic>
          </wp:inline>
        </w:drawing>
      </w:r>
    </w:p>
    <w:p w14:paraId="68FC3D30" w14:textId="6561E514" w:rsidR="00BB314F" w:rsidRPr="00C9414B" w:rsidRDefault="00C17404" w:rsidP="00BB314F">
      <w:pPr>
        <w:rPr>
          <w:rFonts w:ascii="Calibri" w:hAnsi="Calibri" w:cs="Calibri"/>
          <w:b/>
          <w:bCs/>
          <w:sz w:val="22"/>
          <w:szCs w:val="22"/>
          <w:lang w:val="es-MX"/>
        </w:rPr>
      </w:pPr>
      <w:r>
        <w:rPr>
          <w:noProof/>
        </w:rPr>
        <w:drawing>
          <wp:anchor distT="0" distB="0" distL="114300" distR="114300" simplePos="0" relativeHeight="251689984" behindDoc="1" locked="0" layoutInCell="1" allowOverlap="1" wp14:anchorId="3AA09976" wp14:editId="779E0C80">
            <wp:simplePos x="0" y="0"/>
            <wp:positionH relativeFrom="margin">
              <wp:align>left</wp:align>
            </wp:positionH>
            <wp:positionV relativeFrom="paragraph">
              <wp:posOffset>296692</wp:posOffset>
            </wp:positionV>
            <wp:extent cx="4904740" cy="650821"/>
            <wp:effectExtent l="0" t="0" r="0" b="0"/>
            <wp:wrapNone/>
            <wp:docPr id="224391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391136" name=""/>
                    <pic:cNvPicPr/>
                  </pic:nvPicPr>
                  <pic:blipFill>
                    <a:blip r:embed="rId7"/>
                    <a:stretch>
                      <a:fillRect/>
                    </a:stretch>
                  </pic:blipFill>
                  <pic:spPr>
                    <a:xfrm>
                      <a:off x="0" y="0"/>
                      <a:ext cx="4904740" cy="650821"/>
                    </a:xfrm>
                    <a:prstGeom prst="rect">
                      <a:avLst/>
                    </a:prstGeom>
                  </pic:spPr>
                </pic:pic>
              </a:graphicData>
            </a:graphic>
            <wp14:sizeRelH relativeFrom="margin">
              <wp14:pctWidth>0</wp14:pctWidth>
            </wp14:sizeRelH>
            <wp14:sizeRelV relativeFrom="margin">
              <wp14:pctHeight>0</wp14:pctHeight>
            </wp14:sizeRelV>
          </wp:anchor>
        </w:drawing>
      </w:r>
      <w:r w:rsidR="00BB314F" w:rsidRPr="00C9414B">
        <w:rPr>
          <w:rFonts w:ascii="Calibri" w:hAnsi="Calibri" w:cs="Calibri"/>
          <w:b/>
          <w:bCs/>
          <w:sz w:val="22"/>
          <w:szCs w:val="22"/>
          <w:lang w:val="es-MX"/>
        </w:rPr>
        <w:t>Aplicación:</w:t>
      </w:r>
    </w:p>
    <w:p w14:paraId="1CEF76C5" w14:textId="70A42D11" w:rsidR="00BB314F" w:rsidRPr="00C9414B" w:rsidRDefault="00BB314F" w:rsidP="00BB314F">
      <w:pPr>
        <w:rPr>
          <w:rFonts w:ascii="Calibri" w:hAnsi="Calibri" w:cs="Calibri"/>
          <w:sz w:val="22"/>
          <w:szCs w:val="22"/>
          <w:lang w:val="es-MX"/>
        </w:rPr>
      </w:pPr>
    </w:p>
    <w:p w14:paraId="01914BC9" w14:textId="77777777" w:rsidR="00C17404" w:rsidRDefault="00C17404" w:rsidP="00BB314F">
      <w:pPr>
        <w:rPr>
          <w:rFonts w:ascii="Calibri" w:hAnsi="Calibri" w:cs="Calibri"/>
          <w:b/>
          <w:bCs/>
          <w:sz w:val="22"/>
          <w:szCs w:val="22"/>
          <w:lang w:val="es-MX"/>
        </w:rPr>
      </w:pPr>
    </w:p>
    <w:p w14:paraId="4267EC39" w14:textId="77777777" w:rsidR="00C17404" w:rsidRDefault="00C17404" w:rsidP="00BB314F">
      <w:pPr>
        <w:rPr>
          <w:rFonts w:ascii="Calibri" w:hAnsi="Calibri" w:cs="Calibri"/>
          <w:b/>
          <w:bCs/>
          <w:sz w:val="22"/>
          <w:szCs w:val="22"/>
          <w:lang w:val="es-MX"/>
        </w:rPr>
      </w:pPr>
    </w:p>
    <w:p w14:paraId="29AC335E" w14:textId="466F99B1" w:rsidR="00BB314F" w:rsidRPr="00C9414B" w:rsidRDefault="00BB314F" w:rsidP="00BB314F">
      <w:pPr>
        <w:rPr>
          <w:rFonts w:ascii="Calibri" w:hAnsi="Calibri" w:cs="Calibri"/>
          <w:b/>
          <w:bCs/>
          <w:sz w:val="22"/>
          <w:szCs w:val="22"/>
          <w:lang w:val="es-MX"/>
        </w:rPr>
      </w:pPr>
      <w:proofErr w:type="spellStart"/>
      <w:r w:rsidRPr="00C9414B">
        <w:rPr>
          <w:rFonts w:ascii="Calibri" w:hAnsi="Calibri" w:cs="Calibri"/>
          <w:b/>
          <w:bCs/>
          <w:sz w:val="22"/>
          <w:szCs w:val="22"/>
          <w:lang w:val="es-MX"/>
        </w:rPr>
        <w:t>Reclasifición</w:t>
      </w:r>
      <w:proofErr w:type="spellEnd"/>
      <w:r w:rsidRPr="00C9414B">
        <w:rPr>
          <w:rFonts w:ascii="Calibri" w:hAnsi="Calibri" w:cs="Calibri"/>
          <w:b/>
          <w:bCs/>
          <w:sz w:val="22"/>
          <w:szCs w:val="22"/>
          <w:lang w:val="es-MX"/>
        </w:rPr>
        <w:t>:</w:t>
      </w:r>
    </w:p>
    <w:p w14:paraId="57231E2E" w14:textId="6A63E957" w:rsidR="00BB314F" w:rsidRPr="00C9414B" w:rsidRDefault="00694D6A" w:rsidP="00BB314F">
      <w:pPr>
        <w:rPr>
          <w:rFonts w:ascii="Calibri" w:hAnsi="Calibri" w:cs="Calibri"/>
          <w:b/>
          <w:bCs/>
          <w:sz w:val="22"/>
          <w:szCs w:val="22"/>
          <w:lang w:val="es-MX"/>
        </w:rPr>
      </w:pPr>
      <w:r>
        <w:rPr>
          <w:noProof/>
        </w:rPr>
        <w:drawing>
          <wp:inline distT="0" distB="0" distL="0" distR="0" wp14:anchorId="5B3456B6" wp14:editId="01EF67B3">
            <wp:extent cx="4904762" cy="695238"/>
            <wp:effectExtent l="0" t="0" r="0" b="0"/>
            <wp:docPr id="766605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605605" name=""/>
                    <pic:cNvPicPr/>
                  </pic:nvPicPr>
                  <pic:blipFill>
                    <a:blip r:embed="rId8"/>
                    <a:stretch>
                      <a:fillRect/>
                    </a:stretch>
                  </pic:blipFill>
                  <pic:spPr>
                    <a:xfrm>
                      <a:off x="0" y="0"/>
                      <a:ext cx="4904762" cy="695238"/>
                    </a:xfrm>
                    <a:prstGeom prst="rect">
                      <a:avLst/>
                    </a:prstGeom>
                  </pic:spPr>
                </pic:pic>
              </a:graphicData>
            </a:graphic>
          </wp:inline>
        </w:drawing>
      </w:r>
    </w:p>
    <w:p w14:paraId="6FA5A044" w14:textId="77777777" w:rsidR="00BB314F" w:rsidRDefault="00BB314F" w:rsidP="00977499">
      <w:pPr>
        <w:rPr>
          <w:rFonts w:ascii="Calibri" w:hAnsi="Calibri" w:cs="Calibri"/>
          <w:sz w:val="22"/>
          <w:szCs w:val="22"/>
          <w:lang w:val="es-MX"/>
        </w:rPr>
      </w:pPr>
    </w:p>
    <w:p w14:paraId="453384A4" w14:textId="7726DD80" w:rsidR="00AA3894" w:rsidRDefault="00A52965" w:rsidP="00977499">
      <w:pPr>
        <w:rPr>
          <w:rFonts w:ascii="Calibri" w:hAnsi="Calibri" w:cs="Calibri"/>
          <w:b/>
          <w:bCs/>
          <w:sz w:val="22"/>
          <w:szCs w:val="22"/>
          <w:lang w:val="es-MX"/>
        </w:rPr>
      </w:pPr>
      <w:r>
        <w:rPr>
          <w:rFonts w:ascii="Calibri" w:hAnsi="Calibri" w:cs="Calibri"/>
          <w:b/>
          <w:bCs/>
          <w:sz w:val="22"/>
          <w:szCs w:val="22"/>
          <w:lang w:val="es-MX"/>
        </w:rPr>
        <w:t>¿Qué dice la ley sobre este tipo de previsiones</w:t>
      </w:r>
      <w:r w:rsidR="00977499" w:rsidRPr="00977499">
        <w:rPr>
          <w:rFonts w:ascii="Calibri" w:hAnsi="Calibri" w:cs="Calibri"/>
          <w:b/>
          <w:bCs/>
          <w:sz w:val="22"/>
          <w:szCs w:val="22"/>
          <w:lang w:val="es-MX"/>
        </w:rPr>
        <w:t>?</w:t>
      </w:r>
      <w:r w:rsidR="00AA3894" w:rsidRPr="00AA3894">
        <w:rPr>
          <w:rFonts w:ascii="Calibri" w:hAnsi="Calibri" w:cs="Calibri"/>
          <w:noProof/>
          <w:sz w:val="22"/>
          <w:szCs w:val="22"/>
          <w:lang w:val="es-MX"/>
        </w:rPr>
        <mc:AlternateContent>
          <mc:Choice Requires="wps">
            <w:drawing>
              <wp:anchor distT="45720" distB="45720" distL="114300" distR="114300" simplePos="0" relativeHeight="251683840" behindDoc="0" locked="0" layoutInCell="1" allowOverlap="1" wp14:anchorId="5949E0F1" wp14:editId="4285AAD8">
                <wp:simplePos x="0" y="0"/>
                <wp:positionH relativeFrom="column">
                  <wp:posOffset>0</wp:posOffset>
                </wp:positionH>
                <wp:positionV relativeFrom="paragraph">
                  <wp:posOffset>344170</wp:posOffset>
                </wp:positionV>
                <wp:extent cx="5746750" cy="1600200"/>
                <wp:effectExtent l="0" t="0" r="2540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6750" cy="1600200"/>
                        </a:xfrm>
                        <a:prstGeom prst="rect">
                          <a:avLst/>
                        </a:prstGeom>
                        <a:solidFill>
                          <a:schemeClr val="tx2">
                            <a:lumMod val="10000"/>
                            <a:lumOff val="90000"/>
                          </a:schemeClr>
                        </a:solidFill>
                        <a:ln w="9525">
                          <a:solidFill>
                            <a:srgbClr val="000000"/>
                          </a:solidFill>
                          <a:miter lim="800000"/>
                          <a:headEnd/>
                          <a:tailEnd/>
                        </a:ln>
                      </wps:spPr>
                      <wps:txbx>
                        <w:txbxContent>
                          <w:p w14:paraId="2C9F307F" w14:textId="77777777" w:rsidR="00AA3894" w:rsidRDefault="00AA3894" w:rsidP="00AA3894">
                            <w:pPr>
                              <w:rPr>
                                <w:rFonts w:ascii="Calibri" w:hAnsi="Calibri" w:cs="Calibri"/>
                                <w:i/>
                                <w:iCs/>
                                <w:sz w:val="22"/>
                                <w:szCs w:val="22"/>
                                <w:lang w:val="es-MX"/>
                              </w:rPr>
                            </w:pPr>
                            <w:r w:rsidRPr="00A52965">
                              <w:rPr>
                                <w:rFonts w:ascii="Calibri" w:hAnsi="Calibri" w:cs="Calibri"/>
                                <w:b/>
                                <w:bCs/>
                                <w:i/>
                                <w:iCs/>
                                <w:sz w:val="22"/>
                                <w:szCs w:val="22"/>
                                <w:lang w:val="es-MX"/>
                              </w:rPr>
                              <w:t>Art. 91 LIG:</w:t>
                            </w:r>
                            <w:r w:rsidRPr="00A52965">
                              <w:rPr>
                                <w:rFonts w:ascii="Calibri" w:hAnsi="Calibri" w:cs="Calibri"/>
                                <w:i/>
                                <w:iCs/>
                                <w:sz w:val="22"/>
                                <w:szCs w:val="22"/>
                                <w:lang w:val="es-MX"/>
                              </w:rPr>
                              <w:t> De las ganancias de la tercera categoría y con las limitaciones de esta ley también se podrá deducir:</w:t>
                            </w:r>
                          </w:p>
                          <w:p w14:paraId="72143726" w14:textId="77777777" w:rsidR="00AA3894" w:rsidRPr="00A52965" w:rsidRDefault="00AA3894" w:rsidP="00AA3894">
                            <w:pPr>
                              <w:rPr>
                                <w:rFonts w:ascii="Calibri" w:hAnsi="Calibri" w:cs="Calibri"/>
                                <w:i/>
                                <w:iCs/>
                                <w:sz w:val="22"/>
                                <w:szCs w:val="22"/>
                                <w:lang w:val="es-MX"/>
                              </w:rPr>
                            </w:pPr>
                            <w:r w:rsidRPr="00A52965">
                              <w:rPr>
                                <w:rFonts w:ascii="Calibri" w:hAnsi="Calibri" w:cs="Calibri"/>
                                <w:i/>
                                <w:iCs/>
                                <w:sz w:val="22"/>
                                <w:szCs w:val="22"/>
                                <w:lang w:val="es-MX"/>
                              </w:rPr>
                              <w:t>a) Los gastos y demás erogaciones inherentes al giro del negocio.</w:t>
                            </w:r>
                          </w:p>
                          <w:p w14:paraId="0C94A3CB" w14:textId="77777777" w:rsidR="00AA3894" w:rsidRPr="00A52965" w:rsidRDefault="00AA3894" w:rsidP="00AA3894">
                            <w:pPr>
                              <w:rPr>
                                <w:rFonts w:ascii="Calibri" w:hAnsi="Calibri" w:cs="Calibri"/>
                                <w:i/>
                                <w:iCs/>
                                <w:sz w:val="22"/>
                                <w:szCs w:val="22"/>
                                <w:lang w:val="es-MX"/>
                              </w:rPr>
                            </w:pPr>
                            <w:r w:rsidRPr="00A52965">
                              <w:rPr>
                                <w:rFonts w:ascii="Calibri" w:hAnsi="Calibri" w:cs="Calibri"/>
                                <w:i/>
                                <w:iCs/>
                                <w:sz w:val="22"/>
                                <w:szCs w:val="22"/>
                                <w:lang w:val="es-MX"/>
                              </w:rPr>
                              <w:t>(…)</w:t>
                            </w:r>
                          </w:p>
                          <w:p w14:paraId="3D5C674E" w14:textId="77777777" w:rsidR="00AA3894" w:rsidRPr="00A52965" w:rsidRDefault="00AA3894" w:rsidP="00AA3894">
                            <w:pPr>
                              <w:rPr>
                                <w:rFonts w:ascii="Calibri" w:hAnsi="Calibri" w:cs="Calibri"/>
                                <w:i/>
                                <w:iCs/>
                                <w:sz w:val="22"/>
                                <w:szCs w:val="22"/>
                                <w:lang w:val="es-MX"/>
                              </w:rPr>
                            </w:pPr>
                            <w:r w:rsidRPr="00A52965">
                              <w:rPr>
                                <w:rFonts w:ascii="Calibri" w:hAnsi="Calibri" w:cs="Calibri"/>
                                <w:i/>
                                <w:iCs/>
                                <w:sz w:val="22"/>
                                <w:szCs w:val="22"/>
                                <w:lang w:val="es-MX"/>
                              </w:rPr>
                              <w:t>Las reservas y previsiones que esta ley admite deducir en el balance impositivo quedan sujetas al impuesto en el ejercicio en que se anulen los riesgos que cubrían (reserva para despidos, etcétera).</w:t>
                            </w:r>
                          </w:p>
                          <w:p w14:paraId="1CF3FCE5" w14:textId="77777777" w:rsidR="00AA3894" w:rsidRPr="00AA3894" w:rsidRDefault="00AA3894" w:rsidP="00AA3894">
                            <w:pPr>
                              <w:rPr>
                                <w:lang w:val="es-MX"/>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949E0F1" id="_x0000_t202" coordsize="21600,21600" o:spt="202" path="m,l,21600r21600,l21600,xe">
                <v:stroke joinstyle="miter"/>
                <v:path gradientshapeok="t" o:connecttype="rect"/>
              </v:shapetype>
              <v:shape id="Text Box 2" o:spid="_x0000_s1026" type="#_x0000_t202" style="position:absolute;margin-left:0;margin-top:27.1pt;width:452.5pt;height:126pt;z-index:2516838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a9jMAIAAFoEAAAOAAAAZHJzL2Uyb0RvYy54bWysVNuO0zAQfUfiHyy/0yRVL9uo6Wrpsghp&#10;WZAWPsB1nMbC9hjbbbJ8PWOnzbbwhsiDZc/YZ2bOmcn6tteKHIXzEkxFi0lOiTAcamn2Ff3+7eHd&#10;DSU+MFMzBUZU9EV4ert5+2bd2VJMoQVVC0cQxPiysxVtQ7BllnneCs38BKww6GzAaRbw6PZZ7ViH&#10;6Fpl0zxfZB242jrgwnu03g9Oukn4TSN4+NI0XgSiKoq5hbS6tO7imm3WrNw7ZlvJT2mwf8hCM2kw&#10;6Ah1zwIjByf/gtKSO/DQhAkHnUHTSC5SDVhNkf9RzXPLrEi1IDnejjT5/wfLn47P9qsjoX8PPQqY&#10;ivD2EfgPTwxsW2b24s456FrBagxcRMqyzvry9DRS7UsfQXbdZ6hRZHYIkID6xunICtZJEB0FeBlJ&#10;F30gHI3z5WyxnKOLo69Y5DnKmmKw8vzcOh8+CtAkbirqUNUEz46PPsR0WHm+EqN5ULJ+kEqlQ+wk&#10;sVWOHBn2QOin6ak6aMx1sBU5fkMnoBn7ZTCvzmaET/0YUVKwqwDKkK6iq/l0noCvfN7td2PoCDeW&#10;dnVNy4BDoKSu6M14iZWR8Q+mTi0amFTDHrNR5iRBZH3gP/S7Hi9GKXZQv6AYDoZmx+HETQvuFyUd&#10;NnpF/c8Dc4IS9cmgoKtiNouTkQ6z+XKKB3fp2V16mOEIhTxSMmy3IU1TpNrAHQrfyCTJayanXLGB&#10;E3mnYYsTcnlOt15/CZvfAAAA//8DAFBLAwQUAAYACAAAACEAZgt/Bd4AAAAHAQAADwAAAGRycy9k&#10;b3ducmV2LnhtbEyPwU7DMBBE70j8g7VIXBB1CLQqIZuqICpV6onApTcnNnHUeB3FThP+nuVEjzsz&#10;mnmbb2bXibMZQusJ4WGRgDBUe91Sg/D1ubtfgwhRkVadJ4PwYwJsiuurXGXaT/RhzmVsBJdQyBSC&#10;jbHPpAy1NU6Fhe8NsfftB6cin0Mj9aAmLnedTJNkJZ1qiRes6s2bNfWpHB3CYazmw+nufbsPx3Zf&#10;ysnu9PiKeHszb19ARDPH/zD84TM6FMxU+ZF0EB0CPxIRlk8pCHafkyULFcJjskpBFrm85C9+AQAA&#10;//8DAFBLAQItABQABgAIAAAAIQC2gziS/gAAAOEBAAATAAAAAAAAAAAAAAAAAAAAAABbQ29udGVu&#10;dF9UeXBlc10ueG1sUEsBAi0AFAAGAAgAAAAhADj9If/WAAAAlAEAAAsAAAAAAAAAAAAAAAAALwEA&#10;AF9yZWxzLy5yZWxzUEsBAi0AFAAGAAgAAAAhANNtr2MwAgAAWgQAAA4AAAAAAAAAAAAAAAAALgIA&#10;AGRycy9lMm9Eb2MueG1sUEsBAi0AFAAGAAgAAAAhAGYLfwXeAAAABwEAAA8AAAAAAAAAAAAAAAAA&#10;igQAAGRycy9kb3ducmV2LnhtbFBLBQYAAAAABAAEAPMAAACVBQAAAAA=&#10;" fillcolor="#dceaf7 [351]">
                <v:textbox>
                  <w:txbxContent>
                    <w:p w14:paraId="2C9F307F" w14:textId="77777777" w:rsidR="00AA3894" w:rsidRDefault="00AA3894" w:rsidP="00AA3894">
                      <w:pPr>
                        <w:rPr>
                          <w:rFonts w:ascii="Calibri" w:hAnsi="Calibri" w:cs="Calibri"/>
                          <w:i/>
                          <w:iCs/>
                          <w:sz w:val="22"/>
                          <w:szCs w:val="22"/>
                          <w:lang w:val="es-MX"/>
                        </w:rPr>
                      </w:pPr>
                      <w:r w:rsidRPr="00A52965">
                        <w:rPr>
                          <w:rFonts w:ascii="Calibri" w:hAnsi="Calibri" w:cs="Calibri"/>
                          <w:b/>
                          <w:bCs/>
                          <w:i/>
                          <w:iCs/>
                          <w:sz w:val="22"/>
                          <w:szCs w:val="22"/>
                          <w:lang w:val="es-MX"/>
                        </w:rPr>
                        <w:t>Art. 91 LIG:</w:t>
                      </w:r>
                      <w:r w:rsidRPr="00A52965">
                        <w:rPr>
                          <w:rFonts w:ascii="Calibri" w:hAnsi="Calibri" w:cs="Calibri"/>
                          <w:i/>
                          <w:iCs/>
                          <w:sz w:val="22"/>
                          <w:szCs w:val="22"/>
                          <w:lang w:val="es-MX"/>
                        </w:rPr>
                        <w:t> De las ganancias de la tercera categoría y con las limitaciones de esta ley también se podrá deducir:</w:t>
                      </w:r>
                    </w:p>
                    <w:p w14:paraId="72143726" w14:textId="77777777" w:rsidR="00AA3894" w:rsidRPr="00A52965" w:rsidRDefault="00AA3894" w:rsidP="00AA3894">
                      <w:pPr>
                        <w:rPr>
                          <w:rFonts w:ascii="Calibri" w:hAnsi="Calibri" w:cs="Calibri"/>
                          <w:i/>
                          <w:iCs/>
                          <w:sz w:val="22"/>
                          <w:szCs w:val="22"/>
                          <w:lang w:val="es-MX"/>
                        </w:rPr>
                      </w:pPr>
                      <w:r w:rsidRPr="00A52965">
                        <w:rPr>
                          <w:rFonts w:ascii="Calibri" w:hAnsi="Calibri" w:cs="Calibri"/>
                          <w:i/>
                          <w:iCs/>
                          <w:sz w:val="22"/>
                          <w:szCs w:val="22"/>
                          <w:lang w:val="es-MX"/>
                        </w:rPr>
                        <w:t>a) Los gastos y demás erogaciones inherentes al giro del negocio.</w:t>
                      </w:r>
                    </w:p>
                    <w:p w14:paraId="0C94A3CB" w14:textId="77777777" w:rsidR="00AA3894" w:rsidRPr="00A52965" w:rsidRDefault="00AA3894" w:rsidP="00AA3894">
                      <w:pPr>
                        <w:rPr>
                          <w:rFonts w:ascii="Calibri" w:hAnsi="Calibri" w:cs="Calibri"/>
                          <w:i/>
                          <w:iCs/>
                          <w:sz w:val="22"/>
                          <w:szCs w:val="22"/>
                          <w:lang w:val="es-MX"/>
                        </w:rPr>
                      </w:pPr>
                      <w:r w:rsidRPr="00A52965">
                        <w:rPr>
                          <w:rFonts w:ascii="Calibri" w:hAnsi="Calibri" w:cs="Calibri"/>
                          <w:i/>
                          <w:iCs/>
                          <w:sz w:val="22"/>
                          <w:szCs w:val="22"/>
                          <w:lang w:val="es-MX"/>
                        </w:rPr>
                        <w:t>(…)</w:t>
                      </w:r>
                    </w:p>
                    <w:p w14:paraId="3D5C674E" w14:textId="77777777" w:rsidR="00AA3894" w:rsidRPr="00A52965" w:rsidRDefault="00AA3894" w:rsidP="00AA3894">
                      <w:pPr>
                        <w:rPr>
                          <w:rFonts w:ascii="Calibri" w:hAnsi="Calibri" w:cs="Calibri"/>
                          <w:i/>
                          <w:iCs/>
                          <w:sz w:val="22"/>
                          <w:szCs w:val="22"/>
                          <w:lang w:val="es-MX"/>
                        </w:rPr>
                      </w:pPr>
                      <w:r w:rsidRPr="00A52965">
                        <w:rPr>
                          <w:rFonts w:ascii="Calibri" w:hAnsi="Calibri" w:cs="Calibri"/>
                          <w:i/>
                          <w:iCs/>
                          <w:sz w:val="22"/>
                          <w:szCs w:val="22"/>
                          <w:lang w:val="es-MX"/>
                        </w:rPr>
                        <w:t>Las reservas y previsiones que esta ley admite deducir en el balance impositivo quedan sujetas al impuesto en el ejercicio en que se anulen los riesgos que cubrían (reserva para despidos, etcétera).</w:t>
                      </w:r>
                    </w:p>
                    <w:p w14:paraId="1CF3FCE5" w14:textId="77777777" w:rsidR="00AA3894" w:rsidRPr="00AA3894" w:rsidRDefault="00AA3894" w:rsidP="00AA3894">
                      <w:pPr>
                        <w:rPr>
                          <w:lang w:val="es-MX"/>
                        </w:rPr>
                      </w:pPr>
                    </w:p>
                  </w:txbxContent>
                </v:textbox>
                <w10:wrap type="square"/>
              </v:shape>
            </w:pict>
          </mc:Fallback>
        </mc:AlternateContent>
      </w:r>
    </w:p>
    <w:p w14:paraId="4ADCFDB2" w14:textId="77777777" w:rsidR="00D34743" w:rsidRDefault="00D34743" w:rsidP="00A52965">
      <w:pPr>
        <w:rPr>
          <w:rFonts w:ascii="Calibri" w:hAnsi="Calibri" w:cs="Calibri"/>
          <w:sz w:val="22"/>
          <w:szCs w:val="22"/>
          <w:lang w:val="es-MX"/>
        </w:rPr>
      </w:pPr>
    </w:p>
    <w:p w14:paraId="2199CF61" w14:textId="228E5EF1" w:rsidR="00A52965" w:rsidRDefault="00A52965" w:rsidP="00A52965">
      <w:pPr>
        <w:rPr>
          <w:rFonts w:ascii="Calibri" w:hAnsi="Calibri" w:cs="Calibri"/>
          <w:sz w:val="22"/>
          <w:szCs w:val="22"/>
          <w:lang w:val="es-MX"/>
        </w:rPr>
      </w:pPr>
      <w:r w:rsidRPr="00A52965">
        <w:rPr>
          <w:rFonts w:ascii="Calibri" w:hAnsi="Calibri" w:cs="Calibri"/>
          <w:sz w:val="22"/>
          <w:szCs w:val="22"/>
          <w:lang w:val="es-MX"/>
        </w:rPr>
        <w:lastRenderedPageBreak/>
        <w:t>Este artículo establece que las previsiones solo serán deducibles cuando la propia ley lo permita expresamente. Asimismo, si el riesgo que dio origen a la previsión desaparece, el importe previamente deducido deberá reincorporarse a la base imponible.</w:t>
      </w:r>
    </w:p>
    <w:p w14:paraId="1380C83D" w14:textId="72D8C58D" w:rsidR="00AA3894" w:rsidRPr="00A52965" w:rsidRDefault="00AA3894" w:rsidP="00A52965">
      <w:pPr>
        <w:rPr>
          <w:rFonts w:ascii="Calibri" w:hAnsi="Calibri" w:cs="Calibri"/>
          <w:sz w:val="22"/>
          <w:szCs w:val="22"/>
          <w:lang w:val="es-MX"/>
        </w:rPr>
      </w:pPr>
      <w:r w:rsidRPr="00AA3894">
        <w:rPr>
          <w:rFonts w:ascii="Calibri" w:hAnsi="Calibri" w:cs="Calibri"/>
          <w:noProof/>
          <w:sz w:val="22"/>
          <w:szCs w:val="22"/>
          <w:lang w:val="es-MX"/>
        </w:rPr>
        <mc:AlternateContent>
          <mc:Choice Requires="wps">
            <w:drawing>
              <wp:anchor distT="45720" distB="45720" distL="114300" distR="114300" simplePos="0" relativeHeight="251685888" behindDoc="0" locked="0" layoutInCell="1" allowOverlap="1" wp14:anchorId="271C00F1" wp14:editId="5531CED6">
                <wp:simplePos x="0" y="0"/>
                <wp:positionH relativeFrom="margin">
                  <wp:align>left</wp:align>
                </wp:positionH>
                <wp:positionV relativeFrom="paragraph">
                  <wp:posOffset>342900</wp:posOffset>
                </wp:positionV>
                <wp:extent cx="5746750" cy="723900"/>
                <wp:effectExtent l="0" t="0" r="25400" b="19050"/>
                <wp:wrapSquare wrapText="bothSides"/>
                <wp:docPr id="19553925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6750" cy="723900"/>
                        </a:xfrm>
                        <a:prstGeom prst="rect">
                          <a:avLst/>
                        </a:prstGeom>
                        <a:solidFill>
                          <a:schemeClr val="tx2">
                            <a:lumMod val="10000"/>
                            <a:lumOff val="90000"/>
                          </a:schemeClr>
                        </a:solidFill>
                        <a:ln w="9525">
                          <a:solidFill>
                            <a:srgbClr val="000000"/>
                          </a:solidFill>
                          <a:miter lim="800000"/>
                          <a:headEnd/>
                          <a:tailEnd/>
                        </a:ln>
                      </wps:spPr>
                      <wps:txbx>
                        <w:txbxContent>
                          <w:p w14:paraId="466DB0A1" w14:textId="77777777" w:rsidR="00AA3894" w:rsidRPr="00AA3894" w:rsidRDefault="00AA3894" w:rsidP="00AA3894">
                            <w:pPr>
                              <w:rPr>
                                <w:rFonts w:ascii="Calibri" w:hAnsi="Calibri" w:cs="Calibri"/>
                                <w:i/>
                                <w:iCs/>
                                <w:sz w:val="22"/>
                                <w:szCs w:val="22"/>
                                <w:lang w:val="es-MX"/>
                              </w:rPr>
                            </w:pPr>
                            <w:r w:rsidRPr="00AA3894">
                              <w:rPr>
                                <w:rFonts w:ascii="Calibri" w:hAnsi="Calibri" w:cs="Calibri"/>
                                <w:b/>
                                <w:bCs/>
                                <w:i/>
                                <w:iCs/>
                                <w:sz w:val="22"/>
                                <w:szCs w:val="22"/>
                                <w:lang w:val="es-MX"/>
                              </w:rPr>
                              <w:t xml:space="preserve">Art 83 LIG: </w:t>
                            </w:r>
                            <w:r w:rsidRPr="00AA3894">
                              <w:rPr>
                                <w:rFonts w:ascii="Calibri" w:hAnsi="Calibri" w:cs="Calibri"/>
                                <w:i/>
                                <w:iCs/>
                                <w:sz w:val="22"/>
                                <w:szCs w:val="22"/>
                                <w:lang w:val="es-MX"/>
                              </w:rPr>
                              <w:t>Los gastos cuya deducción admite esta ley, con las restricciones expresas contenidas en ella, son los efectuados para obtener, mantener y conservar las ganancias gravadas por este impuesto se restarán de las ganancias producidas por la fuente que las origina. (…)</w:t>
                            </w:r>
                          </w:p>
                          <w:p w14:paraId="2A2914C6" w14:textId="77777777" w:rsidR="00AA3894" w:rsidRPr="00AA3894" w:rsidRDefault="00AA3894" w:rsidP="00AA3894">
                            <w:pPr>
                              <w:rPr>
                                <w:lang w:val="es-MX"/>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1C00F1" id="_x0000_s1027" type="#_x0000_t202" style="position:absolute;margin-left:0;margin-top:27pt;width:452.5pt;height:57pt;z-index:2516858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uznMgIAAGAEAAAOAAAAZHJzL2Uyb0RvYy54bWysVNtu2zAMfR+wfxD0vtjJkqYx4hRdug4D&#10;ugvQ7QNkWY6FSaImKbG7rx8lu066vQ3zgyCK0iF5DuntTa8VOQnnJZiSzmc5JcJwqKU5lPT7t/s3&#10;15T4wEzNFBhR0ifh6c3u9attZwuxgBZULRxBEOOLzpa0DcEWWeZ5KzTzM7DCoLMBp1lA0x2y2rEO&#10;0bXKFnl+lXXgauuAC+/x9G5w0l3CbxrBw5em8SIQVVLMLaTVpbWKa7bbsuLgmG0lH9Ng/5CFZtJg&#10;0AnqjgVGjk7+BaUld+ChCTMOOoOmkVykGrCaef5HNY8tsyLVguR4O9Hk/x8s/3x6tF8dCf076FHA&#10;VIS3D8B/eGJg3zJzELfOQdcKVmPgeaQs66wvxqeRal/4CFJ1n6BGkdkxQALqG6cjK1gnQXQU4Gki&#10;XfSBcDxcrZdX6xW6OPrWi7ebPKmSseL5tXU+fBCgSdyU1KGoCZ2dHnyI2bDi+UoM5kHJ+l4qlYzY&#10;SGKvHDkxbIHQL9JTddSY6nA2z/EbGgGPsV2GY8xjyiS1Y0RJwV4EUIZ0Jd2sFqsE/MLn3aGaQke4&#10;M+BljloGnAEldUmvp0usiIS/N3Xq0MCkGvZYrDKjApH0gf7QVz2R9ShPFKSC+gklcTC0PI4oblpw&#10;vyjpsN1L6n8emROUqI8GZd3Ml8s4H8lYrtYLNNylp7r0MMMRCumkZNjuQ5qpyLiBW5S/kUmZcyZj&#10;ytjGicNx5OKcXNrp1vnHsPsNAAD//wMAUEsDBBQABgAIAAAAIQDJos9q3QAAAAcBAAAPAAAAZHJz&#10;L2Rvd25yZXYueG1sTI9BT8MwDIXvSPyHyEhc0JaA2DRK02kgJk3aicJlt7QxTbXGqZp0Lf8ec4KT&#10;bb2n5+/l29l34oJDbANpuF8qEEh1sC01Gj4/9osNiJgMWdMFQg3fGGFbXF/lJrNhone8lKkRHEIx&#10;MxpcSn0mZawdehOXoUdi7SsM3iQ+h0bawUwc7jv5oNRaetMSf3Cmx1eH9bkcvYbjWM3H893b7hBP&#10;7aGUk9vb8UXr25t59wwi4Zz+zPCLz+hQMFMVRrJRdBq4SNKweuTJ6pNa8VKxbb1RIItc/ucvfgAA&#10;AP//AwBQSwECLQAUAAYACAAAACEAtoM4kv4AAADhAQAAEwAAAAAAAAAAAAAAAAAAAAAAW0NvbnRl&#10;bnRfVHlwZXNdLnhtbFBLAQItABQABgAIAAAAIQA4/SH/1gAAAJQBAAALAAAAAAAAAAAAAAAAAC8B&#10;AABfcmVscy8ucmVsc1BLAQItABQABgAIAAAAIQCuduznMgIAAGAEAAAOAAAAAAAAAAAAAAAAAC4C&#10;AABkcnMvZTJvRG9jLnhtbFBLAQItABQABgAIAAAAIQDJos9q3QAAAAcBAAAPAAAAAAAAAAAAAAAA&#10;AIwEAABkcnMvZG93bnJldi54bWxQSwUGAAAAAAQABADzAAAAlgUAAAAA&#10;" fillcolor="#dceaf7 [351]">
                <v:textbox>
                  <w:txbxContent>
                    <w:p w14:paraId="466DB0A1" w14:textId="77777777" w:rsidR="00AA3894" w:rsidRPr="00AA3894" w:rsidRDefault="00AA3894" w:rsidP="00AA3894">
                      <w:pPr>
                        <w:rPr>
                          <w:rFonts w:ascii="Calibri" w:hAnsi="Calibri" w:cs="Calibri"/>
                          <w:i/>
                          <w:iCs/>
                          <w:sz w:val="22"/>
                          <w:szCs w:val="22"/>
                          <w:lang w:val="es-MX"/>
                        </w:rPr>
                      </w:pPr>
                      <w:r w:rsidRPr="00AA3894">
                        <w:rPr>
                          <w:rFonts w:ascii="Calibri" w:hAnsi="Calibri" w:cs="Calibri"/>
                          <w:b/>
                          <w:bCs/>
                          <w:i/>
                          <w:iCs/>
                          <w:sz w:val="22"/>
                          <w:szCs w:val="22"/>
                          <w:lang w:val="es-MX"/>
                        </w:rPr>
                        <w:t xml:space="preserve">Art 83 LIG: </w:t>
                      </w:r>
                      <w:r w:rsidRPr="00AA3894">
                        <w:rPr>
                          <w:rFonts w:ascii="Calibri" w:hAnsi="Calibri" w:cs="Calibri"/>
                          <w:i/>
                          <w:iCs/>
                          <w:sz w:val="22"/>
                          <w:szCs w:val="22"/>
                          <w:lang w:val="es-MX"/>
                        </w:rPr>
                        <w:t>Los gastos cuya deducción admite esta ley, con las restricciones expresas contenidas en ella, son los efectuados para obtener, mantener y conservar las ganancias gravadas por este impuesto se restarán de las ganancias producidas por la fuente que las origina. (…)</w:t>
                      </w:r>
                    </w:p>
                    <w:p w14:paraId="2A2914C6" w14:textId="77777777" w:rsidR="00AA3894" w:rsidRPr="00AA3894" w:rsidRDefault="00AA3894" w:rsidP="00AA3894">
                      <w:pPr>
                        <w:rPr>
                          <w:lang w:val="es-MX"/>
                        </w:rPr>
                      </w:pPr>
                    </w:p>
                  </w:txbxContent>
                </v:textbox>
                <w10:wrap type="square" anchorx="margin"/>
              </v:shape>
            </w:pict>
          </mc:Fallback>
        </mc:AlternateContent>
      </w:r>
    </w:p>
    <w:p w14:paraId="1D4E6DC2" w14:textId="77777777" w:rsidR="00AA3894" w:rsidRDefault="00AA3894" w:rsidP="00AA3894">
      <w:pPr>
        <w:rPr>
          <w:rFonts w:ascii="Calibri" w:hAnsi="Calibri" w:cs="Calibri"/>
          <w:sz w:val="22"/>
          <w:szCs w:val="22"/>
          <w:lang w:val="es-MX"/>
        </w:rPr>
      </w:pPr>
    </w:p>
    <w:p w14:paraId="2443E621" w14:textId="2BB73FA2" w:rsidR="00AA3894" w:rsidRDefault="00AA3894" w:rsidP="00A52965">
      <w:pPr>
        <w:rPr>
          <w:rFonts w:ascii="Calibri" w:hAnsi="Calibri" w:cs="Calibri"/>
          <w:sz w:val="22"/>
          <w:szCs w:val="22"/>
          <w:lang w:val="es-MX"/>
        </w:rPr>
      </w:pPr>
      <w:r w:rsidRPr="00AA3894">
        <w:rPr>
          <w:rFonts w:ascii="Calibri" w:hAnsi="Calibri" w:cs="Calibri"/>
          <w:noProof/>
          <w:sz w:val="22"/>
          <w:szCs w:val="22"/>
          <w:lang w:val="es-MX"/>
        </w:rPr>
        <mc:AlternateContent>
          <mc:Choice Requires="wps">
            <w:drawing>
              <wp:anchor distT="45720" distB="45720" distL="114300" distR="114300" simplePos="0" relativeHeight="251687936" behindDoc="0" locked="0" layoutInCell="1" allowOverlap="1" wp14:anchorId="5BF020BE" wp14:editId="3011050A">
                <wp:simplePos x="0" y="0"/>
                <wp:positionH relativeFrom="margin">
                  <wp:align>left</wp:align>
                </wp:positionH>
                <wp:positionV relativeFrom="paragraph">
                  <wp:posOffset>598170</wp:posOffset>
                </wp:positionV>
                <wp:extent cx="5746750" cy="723900"/>
                <wp:effectExtent l="0" t="0" r="25400" b="19050"/>
                <wp:wrapSquare wrapText="bothSides"/>
                <wp:docPr id="15159967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6750" cy="723900"/>
                        </a:xfrm>
                        <a:prstGeom prst="rect">
                          <a:avLst/>
                        </a:prstGeom>
                        <a:solidFill>
                          <a:schemeClr val="tx2">
                            <a:lumMod val="10000"/>
                            <a:lumOff val="90000"/>
                          </a:schemeClr>
                        </a:solidFill>
                        <a:ln w="9525">
                          <a:solidFill>
                            <a:srgbClr val="000000"/>
                          </a:solidFill>
                          <a:miter lim="800000"/>
                          <a:headEnd/>
                          <a:tailEnd/>
                        </a:ln>
                      </wps:spPr>
                      <wps:txbx>
                        <w:txbxContent>
                          <w:p w14:paraId="1373D8D1" w14:textId="6B11DF3E" w:rsidR="00AA3894" w:rsidRPr="00AA3894" w:rsidRDefault="00AA3894" w:rsidP="00AA3894">
                            <w:pPr>
                              <w:rPr>
                                <w:rFonts w:ascii="Calibri" w:hAnsi="Calibri" w:cs="Calibri"/>
                                <w:i/>
                                <w:iCs/>
                                <w:sz w:val="22"/>
                                <w:szCs w:val="22"/>
                                <w:lang w:val="es-MX"/>
                              </w:rPr>
                            </w:pPr>
                            <w:r w:rsidRPr="00AA3894">
                              <w:rPr>
                                <w:rFonts w:ascii="Calibri" w:hAnsi="Calibri" w:cs="Calibri"/>
                                <w:b/>
                                <w:bCs/>
                                <w:i/>
                                <w:iCs/>
                                <w:sz w:val="22"/>
                                <w:szCs w:val="22"/>
                                <w:lang w:val="es-MX"/>
                              </w:rPr>
                              <w:t>Art. 231 DR LIG:</w:t>
                            </w:r>
                            <w:r w:rsidRPr="00AA3894">
                              <w:rPr>
                                <w:rFonts w:ascii="Calibri" w:hAnsi="Calibri" w:cs="Calibri"/>
                                <w:i/>
                                <w:iCs/>
                                <w:sz w:val="22"/>
                                <w:szCs w:val="22"/>
                                <w:lang w:val="es-MX"/>
                              </w:rPr>
                              <w:t> En el balance impositivo solo se deducirán las reservas expresamente admitidas por la ley. Por consiguiente, no son deducibles otras reservas o previsiones, aun cuando fuesen creadas por disposición de organismos oficiales.</w:t>
                            </w:r>
                          </w:p>
                          <w:p w14:paraId="2DC8E0C8" w14:textId="77777777" w:rsidR="00AA3894" w:rsidRPr="00AA3894" w:rsidRDefault="00AA3894" w:rsidP="00AA3894">
                            <w:pPr>
                              <w:rPr>
                                <w:lang w:val="es-MX"/>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F020BE" id="_x0000_s1028" type="#_x0000_t202" style="position:absolute;margin-left:0;margin-top:47.1pt;width:452.5pt;height:57pt;z-index:25168793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C4mNAIAAGAEAAAOAAAAZHJzL2Uyb0RvYy54bWysVNtu2zAMfR+wfxD0vtjxkqYx4hRdug4D&#10;ugvQ7QNkWY6FSaImKbG7rx8lp066vQ3zgyCK0iF5DunNzaAVOQrnJZiKzmc5JcJwaKTZV/T7t/s3&#10;15T4wEzDFBhR0Sfh6c329atNb0tRQAeqEY4giPFlbyvahWDLLPO8E5r5GVhh0NmC0yyg6fZZ41iP&#10;6FplRZ5fZT24xjrgwns8vRuddJvw21bw8KVtvQhEVRRzC2l1aa3jmm03rNw7ZjvJT2mwf8hCM2kw&#10;6AR1xwIjByf/gtKSO/DQhhkHnUHbSi5SDVjNPP+jmseOWZFqQXK8nWjy/w+Wfz4+2q+OhOEdDChg&#10;KsLbB+A/PDGw65jZi1vnoO8EazDwPFKW9daXp6eRal/6CFL3n6BBkdkhQAIaWqcjK1gnQXQU4Gki&#10;XQyBcDxcrhZXqyW6OPpWxdt1nlTJWPn82jofPgjQJG4q6lDUhM6ODz7EbFj5fCUG86Bkcy+VSkZs&#10;JLFTjhwZtkAYivRUHTSmOp7Nc/zGRsBjbJfxGPOYMkntGFFSsBcBlCF9RdfLYpmAX/i829dT6Ah3&#10;BrzMUcuAM6Ckruj1dImVkfD3pkkdGphU4x6LVeakQCR9pD8M9UBkU9EiFhIFqaF5QkkcjC2PI4qb&#10;DtwvSnps94r6nwfmBCXqo0FZ1/PFIs5HMhbLVYGGu/TUlx5mOEIhnZSM211IMxUZN3CL8rcyKXPO&#10;5JQytnHi8DRycU4u7XTr/GPY/gYAAP//AwBQSwMEFAAGAAgAAAAhAK9bIfPdAAAABwEAAA8AAABk&#10;cnMvZG93bnJldi54bWxMj8FOwzAQRO9I/IO1SFwQtYkAtSFOVRCVKvVE4MLNiZc4aryOYqcJf89y&#10;guPOjGbeFtvF9+KMY+wCabhbKRBITbAdtRo+3ve3axAxGbKmD4QavjHCtry8KExuw0xveK5SK7iE&#10;Ym40uJSGXMrYOPQmrsKAxN5XGL1JfI6ttKOZudz3MlPqUXrTES84M+CLw+ZUTV7DcaqX4+nmdXeI&#10;n92hkrPb2+lZ6+urZfcEIuGS/sLwi8/oUDJTHSayUfQa+JGkYXOfgWB3ox5YqDVkap2BLAv5n7/8&#10;AQAA//8DAFBLAQItABQABgAIAAAAIQC2gziS/gAAAOEBAAATAAAAAAAAAAAAAAAAAAAAAABbQ29u&#10;dGVudF9UeXBlc10ueG1sUEsBAi0AFAAGAAgAAAAhADj9If/WAAAAlAEAAAsAAAAAAAAAAAAAAAAA&#10;LwEAAF9yZWxzLy5yZWxzUEsBAi0AFAAGAAgAAAAhAJmoLiY0AgAAYAQAAA4AAAAAAAAAAAAAAAAA&#10;LgIAAGRycy9lMm9Eb2MueG1sUEsBAi0AFAAGAAgAAAAhAK9bIfPdAAAABwEAAA8AAAAAAAAAAAAA&#10;AAAAjgQAAGRycy9kb3ducmV2LnhtbFBLBQYAAAAABAAEAPMAAACYBQAAAAA=&#10;" fillcolor="#dceaf7 [351]">
                <v:textbox>
                  <w:txbxContent>
                    <w:p w14:paraId="1373D8D1" w14:textId="6B11DF3E" w:rsidR="00AA3894" w:rsidRPr="00AA3894" w:rsidRDefault="00AA3894" w:rsidP="00AA3894">
                      <w:pPr>
                        <w:rPr>
                          <w:rFonts w:ascii="Calibri" w:hAnsi="Calibri" w:cs="Calibri"/>
                          <w:i/>
                          <w:iCs/>
                          <w:sz w:val="22"/>
                          <w:szCs w:val="22"/>
                          <w:lang w:val="es-MX"/>
                        </w:rPr>
                      </w:pPr>
                      <w:r w:rsidRPr="00AA3894">
                        <w:rPr>
                          <w:rFonts w:ascii="Calibri" w:hAnsi="Calibri" w:cs="Calibri"/>
                          <w:b/>
                          <w:bCs/>
                          <w:i/>
                          <w:iCs/>
                          <w:sz w:val="22"/>
                          <w:szCs w:val="22"/>
                          <w:lang w:val="es-MX"/>
                        </w:rPr>
                        <w:t>Art. 231 DR LIG</w:t>
                      </w:r>
                      <w:r w:rsidRPr="00AA3894">
                        <w:rPr>
                          <w:rFonts w:ascii="Calibri" w:hAnsi="Calibri" w:cs="Calibri"/>
                          <w:b/>
                          <w:bCs/>
                          <w:i/>
                          <w:iCs/>
                          <w:sz w:val="22"/>
                          <w:szCs w:val="22"/>
                          <w:lang w:val="es-MX"/>
                        </w:rPr>
                        <w:t>:</w:t>
                      </w:r>
                      <w:r w:rsidRPr="00AA3894">
                        <w:rPr>
                          <w:rFonts w:ascii="Calibri" w:hAnsi="Calibri" w:cs="Calibri"/>
                          <w:i/>
                          <w:iCs/>
                          <w:sz w:val="22"/>
                          <w:szCs w:val="22"/>
                          <w:lang w:val="es-MX"/>
                        </w:rPr>
                        <w:t> En el balance impositivo solo se deducirán las reservas expresamente admitidas por la ley. Por consiguiente, no son deducibles otras reservas o previsiones, aun cuando fuesen creadas por disposición de organismos oficiales.</w:t>
                      </w:r>
                    </w:p>
                    <w:p w14:paraId="2DC8E0C8" w14:textId="77777777" w:rsidR="00AA3894" w:rsidRPr="00AA3894" w:rsidRDefault="00AA3894" w:rsidP="00AA3894">
                      <w:pPr>
                        <w:rPr>
                          <w:lang w:val="es-MX"/>
                        </w:rPr>
                      </w:pPr>
                    </w:p>
                  </w:txbxContent>
                </v:textbox>
                <w10:wrap type="square" anchorx="margin"/>
              </v:shape>
            </w:pict>
          </mc:Fallback>
        </mc:AlternateContent>
      </w:r>
      <w:r w:rsidRPr="00AA3894">
        <w:rPr>
          <w:rFonts w:ascii="Calibri" w:hAnsi="Calibri" w:cs="Calibri"/>
          <w:sz w:val="22"/>
          <w:szCs w:val="22"/>
          <w:lang w:val="es-MX"/>
        </w:rPr>
        <w:t>Este artículo establece el principio general de deducción de gastos, disponiendo que solo podrán computarse aquellos vinculados con la obtención, mantenimiento y conservación de ganancias gravadas.</w:t>
      </w:r>
    </w:p>
    <w:p w14:paraId="0A2CFD62" w14:textId="77777777" w:rsidR="00A52965" w:rsidRDefault="00A52965" w:rsidP="00977499">
      <w:pPr>
        <w:rPr>
          <w:rFonts w:ascii="Calibri" w:hAnsi="Calibri" w:cs="Calibri"/>
          <w:b/>
          <w:bCs/>
          <w:sz w:val="22"/>
          <w:szCs w:val="22"/>
          <w:lang w:val="es-MX"/>
        </w:rPr>
      </w:pPr>
    </w:p>
    <w:p w14:paraId="2B82D80B" w14:textId="74D40668" w:rsidR="00AA3894" w:rsidRPr="00AA3894" w:rsidRDefault="00AA3894" w:rsidP="00977499">
      <w:pPr>
        <w:rPr>
          <w:rFonts w:ascii="Calibri" w:hAnsi="Calibri" w:cs="Calibri"/>
          <w:sz w:val="22"/>
          <w:szCs w:val="22"/>
          <w:lang w:val="es-MX"/>
        </w:rPr>
      </w:pPr>
      <w:r w:rsidRPr="00AA3894">
        <w:rPr>
          <w:rFonts w:ascii="Calibri" w:hAnsi="Calibri" w:cs="Calibri"/>
          <w:sz w:val="22"/>
          <w:szCs w:val="22"/>
          <w:lang w:val="es-MX"/>
        </w:rPr>
        <w:t>Este artículo refuerza el criterio restrictivo de la ley, al aclarar que las previsiones y reservas no son deducibles salvo que exista una disposición legal expresa que así lo establezca.</w:t>
      </w:r>
    </w:p>
    <w:p w14:paraId="248BF9A1" w14:textId="02165B97" w:rsidR="00BB314F" w:rsidRPr="00BB314F" w:rsidRDefault="00BB314F" w:rsidP="00977499">
      <w:pPr>
        <w:rPr>
          <w:rFonts w:ascii="Calibri" w:hAnsi="Calibri" w:cs="Calibri"/>
          <w:b/>
          <w:bCs/>
          <w:sz w:val="22"/>
          <w:szCs w:val="22"/>
          <w:lang w:val="es-MX"/>
        </w:rPr>
      </w:pPr>
      <w:r w:rsidRPr="00BB314F">
        <w:rPr>
          <w:rFonts w:ascii="Calibri" w:hAnsi="Calibri" w:cs="Calibri"/>
          <w:b/>
          <w:bCs/>
          <w:sz w:val="22"/>
          <w:szCs w:val="22"/>
          <w:lang w:val="es-MX"/>
        </w:rPr>
        <w:t>Tratamiento fiscal</w:t>
      </w:r>
    </w:p>
    <w:p w14:paraId="0383E6BB" w14:textId="77777777" w:rsidR="00694D6A" w:rsidRPr="00694D6A" w:rsidRDefault="00694D6A" w:rsidP="00694D6A">
      <w:pPr>
        <w:rPr>
          <w:rFonts w:ascii="Calibri" w:hAnsi="Calibri" w:cs="Calibri"/>
          <w:sz w:val="22"/>
          <w:szCs w:val="22"/>
          <w:lang w:val="es-MX"/>
        </w:rPr>
      </w:pPr>
      <w:r w:rsidRPr="00694D6A">
        <w:rPr>
          <w:rFonts w:ascii="Calibri" w:hAnsi="Calibri" w:cs="Calibri"/>
          <w:sz w:val="22"/>
          <w:szCs w:val="22"/>
          <w:lang w:val="es-MX"/>
        </w:rPr>
        <w:t xml:space="preserve">En cuanto a su tratamiento fiscal, </w:t>
      </w:r>
      <w:r w:rsidRPr="00694D6A">
        <w:rPr>
          <w:rFonts w:ascii="Calibri" w:hAnsi="Calibri" w:cs="Calibri"/>
          <w:b/>
          <w:bCs/>
          <w:sz w:val="22"/>
          <w:szCs w:val="22"/>
          <w:lang w:val="es-MX"/>
        </w:rPr>
        <w:t>las previsiones por juicios y contingencias constituidas contablemente no son deducibles de la base imponible</w:t>
      </w:r>
      <w:r w:rsidRPr="00694D6A">
        <w:rPr>
          <w:rFonts w:ascii="Calibri" w:hAnsi="Calibri" w:cs="Calibri"/>
          <w:sz w:val="22"/>
          <w:szCs w:val="22"/>
          <w:lang w:val="es-MX"/>
        </w:rPr>
        <w:t xml:space="preserve">, por no encontrarse entre las previsiones expresamente admitidas por la Ley del Impuesto a las Ganancias. Ello se debe a que representan pérdidas estimadas y no pérdidas efectivamente ocurridas. En consecuencia, su reconocimiento genera, en principio, una diferencia entre el resultado contable y el resultado impositivo. </w:t>
      </w:r>
      <w:r w:rsidRPr="00694D6A">
        <w:rPr>
          <w:rFonts w:ascii="Calibri" w:hAnsi="Calibri" w:cs="Calibri"/>
          <w:b/>
          <w:bCs/>
          <w:sz w:val="22"/>
          <w:szCs w:val="22"/>
          <w:lang w:val="es-MX"/>
        </w:rPr>
        <w:t>La deducción solo podrá producirse cuando la pérdida deje de ser una estimación y se encuentre jurídicamente devengada</w:t>
      </w:r>
      <w:r w:rsidRPr="00694D6A">
        <w:rPr>
          <w:rFonts w:ascii="Calibri" w:hAnsi="Calibri" w:cs="Calibri"/>
          <w:sz w:val="22"/>
          <w:szCs w:val="22"/>
          <w:lang w:val="es-MX"/>
        </w:rPr>
        <w:t>, es decir, cuando exista una obligación cierta, determinada y exigible, debidamente respaldada por la documentación correspondiente y cumplidos los requisitos previstos por la normativa fiscal.</w:t>
      </w:r>
    </w:p>
    <w:p w14:paraId="32FB3DAB" w14:textId="77777777" w:rsidR="007C3491" w:rsidRPr="00C9414B" w:rsidRDefault="007C3491" w:rsidP="007C3491">
      <w:pPr>
        <w:rPr>
          <w:rFonts w:ascii="Calibri" w:hAnsi="Calibri" w:cs="Calibri"/>
          <w:b/>
          <w:bCs/>
          <w:sz w:val="22"/>
          <w:szCs w:val="22"/>
          <w:lang w:val="es-AR"/>
        </w:rPr>
      </w:pPr>
      <w:r w:rsidRPr="00C9414B">
        <w:rPr>
          <w:rFonts w:ascii="Calibri" w:hAnsi="Calibri" w:cs="Calibri"/>
          <w:b/>
          <w:bCs/>
          <w:sz w:val="22"/>
          <w:szCs w:val="22"/>
          <w:lang w:val="es-AR"/>
        </w:rPr>
        <w:t>Situación práctica</w:t>
      </w:r>
    </w:p>
    <w:p w14:paraId="6B7994A6" w14:textId="44A5F22A" w:rsidR="007C3491" w:rsidRPr="00C9414B" w:rsidRDefault="007C3491" w:rsidP="007C3491">
      <w:pPr>
        <w:rPr>
          <w:rFonts w:ascii="Calibri" w:hAnsi="Calibri" w:cs="Calibri"/>
          <w:sz w:val="22"/>
          <w:szCs w:val="22"/>
          <w:lang w:val="es-AR"/>
        </w:rPr>
      </w:pPr>
      <w:r w:rsidRPr="00C9414B">
        <w:rPr>
          <w:rFonts w:ascii="Calibri" w:hAnsi="Calibri" w:cs="Calibri"/>
          <w:sz w:val="22"/>
          <w:szCs w:val="22"/>
          <w:lang w:val="es-AR"/>
        </w:rPr>
        <w:t xml:space="preserve">La empresa </w:t>
      </w:r>
      <w:r w:rsidRPr="00C9414B">
        <w:rPr>
          <w:rFonts w:ascii="Calibri" w:hAnsi="Calibri" w:cs="Calibri"/>
          <w:b/>
          <w:bCs/>
          <w:sz w:val="22"/>
          <w:szCs w:val="22"/>
          <w:lang w:val="es-AR"/>
        </w:rPr>
        <w:t>TRANSPORTE DEL SUR S.A.</w:t>
      </w:r>
      <w:r w:rsidRPr="00C9414B">
        <w:rPr>
          <w:rFonts w:ascii="Calibri" w:hAnsi="Calibri" w:cs="Calibri"/>
          <w:sz w:val="22"/>
          <w:szCs w:val="22"/>
          <w:lang w:val="es-AR"/>
        </w:rPr>
        <w:t xml:space="preserve"> se dedica al transporte de cargas y se encuentra demandada por un empleado que tuvo la </w:t>
      </w:r>
      <w:r w:rsidR="0011416F" w:rsidRPr="00C9414B">
        <w:rPr>
          <w:rFonts w:ascii="Calibri" w:hAnsi="Calibri" w:cs="Calibri"/>
          <w:sz w:val="22"/>
          <w:szCs w:val="22"/>
          <w:lang w:val="es-AR"/>
        </w:rPr>
        <w:t>compañía el año anterior, el cual</w:t>
      </w:r>
      <w:r w:rsidRPr="00C9414B">
        <w:rPr>
          <w:rFonts w:ascii="Calibri" w:hAnsi="Calibri" w:cs="Calibri"/>
          <w:sz w:val="22"/>
          <w:szCs w:val="22"/>
          <w:lang w:val="es-AR"/>
        </w:rPr>
        <w:t xml:space="preserve"> reclama diferencias salariales e indemnizaciones laborales.</w:t>
      </w:r>
    </w:p>
    <w:p w14:paraId="324881BE" w14:textId="77777777" w:rsidR="007C3491" w:rsidRPr="00C9414B" w:rsidRDefault="007C3491" w:rsidP="007C3491">
      <w:pPr>
        <w:rPr>
          <w:rFonts w:ascii="Calibri" w:hAnsi="Calibri" w:cs="Calibri"/>
          <w:sz w:val="22"/>
          <w:szCs w:val="22"/>
          <w:lang w:val="es-AR"/>
        </w:rPr>
      </w:pPr>
      <w:r w:rsidRPr="00C9414B">
        <w:rPr>
          <w:rFonts w:ascii="Calibri" w:hAnsi="Calibri" w:cs="Calibri"/>
          <w:sz w:val="22"/>
          <w:szCs w:val="22"/>
          <w:lang w:val="es-AR"/>
        </w:rPr>
        <w:t>A fin de cubrir el riesgo derivado de este litigio, la compañía constituye una previsión para juicios sobre la base del informe de sus asesores legales, quienes estiman una pérdida probable.</w:t>
      </w:r>
    </w:p>
    <w:p w14:paraId="59B2A38C" w14:textId="3DC48475" w:rsidR="007C3491" w:rsidRPr="00C9414B" w:rsidRDefault="007C3491" w:rsidP="007C3491">
      <w:pPr>
        <w:rPr>
          <w:rFonts w:ascii="Calibri" w:hAnsi="Calibri" w:cs="Calibri"/>
          <w:sz w:val="22"/>
          <w:szCs w:val="22"/>
          <w:lang w:val="es-AR"/>
        </w:rPr>
      </w:pPr>
      <w:r w:rsidRPr="00C9414B">
        <w:rPr>
          <w:rFonts w:ascii="Calibri" w:hAnsi="Calibri" w:cs="Calibri"/>
          <w:sz w:val="22"/>
          <w:szCs w:val="22"/>
          <w:lang w:val="es-AR"/>
        </w:rPr>
        <w:lastRenderedPageBreak/>
        <w:t>Durante el período fiscal 2025 se imputó a resultados un total de $</w:t>
      </w:r>
      <w:r w:rsidR="009E7F30" w:rsidRPr="00C9414B">
        <w:rPr>
          <w:rFonts w:ascii="Calibri" w:hAnsi="Calibri" w:cs="Calibri"/>
          <w:sz w:val="22"/>
          <w:szCs w:val="22"/>
          <w:lang w:val="es-AR"/>
        </w:rPr>
        <w:t>7.000.000</w:t>
      </w:r>
      <w:r w:rsidRPr="00C9414B">
        <w:rPr>
          <w:rFonts w:ascii="Calibri" w:hAnsi="Calibri" w:cs="Calibri"/>
          <w:sz w:val="22"/>
          <w:szCs w:val="22"/>
          <w:lang w:val="es-AR"/>
        </w:rPr>
        <w:t xml:space="preserve"> en concepto de previsión para juicios.</w:t>
      </w:r>
      <w:r w:rsidR="009F584A">
        <w:rPr>
          <w:rFonts w:ascii="Calibri" w:hAnsi="Calibri" w:cs="Calibri"/>
          <w:sz w:val="22"/>
          <w:szCs w:val="22"/>
          <w:lang w:val="es-AR"/>
        </w:rPr>
        <w:t xml:space="preserve"> </w:t>
      </w:r>
      <w:r w:rsidRPr="00C9414B">
        <w:rPr>
          <w:rFonts w:ascii="Calibri" w:hAnsi="Calibri" w:cs="Calibri"/>
          <w:sz w:val="22"/>
          <w:szCs w:val="22"/>
          <w:lang w:val="es-AR"/>
        </w:rPr>
        <w:t>Asimismo, durante el ejercicio se dictó sentencia firme en uno de los expedientes judiciales, debiendo la sociedad abonar $</w:t>
      </w:r>
      <w:r w:rsidR="009E7F30" w:rsidRPr="00C9414B">
        <w:rPr>
          <w:rFonts w:ascii="Calibri" w:hAnsi="Calibri" w:cs="Calibri"/>
          <w:sz w:val="22"/>
          <w:szCs w:val="22"/>
          <w:lang w:val="es-AR"/>
        </w:rPr>
        <w:t>5.000.000</w:t>
      </w:r>
      <w:r w:rsidRPr="00C9414B">
        <w:rPr>
          <w:rFonts w:ascii="Calibri" w:hAnsi="Calibri" w:cs="Calibri"/>
          <w:sz w:val="22"/>
          <w:szCs w:val="22"/>
          <w:lang w:val="es-AR"/>
        </w:rPr>
        <w:t>.</w:t>
      </w:r>
    </w:p>
    <w:p w14:paraId="35390DF2" w14:textId="4F13F822" w:rsidR="007C3491" w:rsidRPr="00C9414B" w:rsidRDefault="007C3491" w:rsidP="007C3491">
      <w:pPr>
        <w:rPr>
          <w:rFonts w:ascii="Calibri" w:hAnsi="Calibri" w:cs="Calibri"/>
          <w:sz w:val="22"/>
          <w:szCs w:val="22"/>
        </w:rPr>
      </w:pPr>
      <w:proofErr w:type="spellStart"/>
      <w:r w:rsidRPr="00C9414B">
        <w:rPr>
          <w:rFonts w:ascii="Calibri" w:hAnsi="Calibri" w:cs="Calibri"/>
          <w:sz w:val="22"/>
          <w:szCs w:val="22"/>
        </w:rPr>
        <w:t>Otros</w:t>
      </w:r>
      <w:proofErr w:type="spellEnd"/>
      <w:r w:rsidRPr="00C9414B">
        <w:rPr>
          <w:rFonts w:ascii="Calibri" w:hAnsi="Calibri" w:cs="Calibri"/>
          <w:sz w:val="22"/>
          <w:szCs w:val="22"/>
        </w:rPr>
        <w:t xml:space="preserve"> </w:t>
      </w:r>
      <w:proofErr w:type="spellStart"/>
      <w:r w:rsidRPr="00C9414B">
        <w:rPr>
          <w:rFonts w:ascii="Calibri" w:hAnsi="Calibri" w:cs="Calibri"/>
          <w:sz w:val="22"/>
          <w:szCs w:val="22"/>
        </w:rPr>
        <w:t>datos</w:t>
      </w:r>
      <w:proofErr w:type="spellEnd"/>
      <w:r w:rsidR="00A9067B" w:rsidRPr="00C9414B">
        <w:rPr>
          <w:rFonts w:ascii="Calibri" w:hAnsi="Calibri" w:cs="Calibri"/>
          <w:sz w:val="22"/>
          <w:szCs w:val="22"/>
        </w:rPr>
        <w:t>:</w:t>
      </w:r>
    </w:p>
    <w:p w14:paraId="7FDEDFBB" w14:textId="77777777" w:rsidR="00220F9E" w:rsidRPr="00220F9E" w:rsidRDefault="00220F9E" w:rsidP="00220F9E">
      <w:pPr>
        <w:pStyle w:val="ListParagraph"/>
        <w:numPr>
          <w:ilvl w:val="0"/>
          <w:numId w:val="1"/>
        </w:numPr>
        <w:rPr>
          <w:rFonts w:ascii="Calibri" w:eastAsia="Times New Roman" w:hAnsi="Calibri" w:cs="Calibri"/>
          <w:sz w:val="22"/>
          <w:szCs w:val="22"/>
          <w:lang w:val="es-MX"/>
        </w:rPr>
      </w:pPr>
      <w:r w:rsidRPr="00220F9E">
        <w:rPr>
          <w:rFonts w:ascii="Calibri" w:eastAsia="Times New Roman" w:hAnsi="Calibri" w:cs="Calibri"/>
          <w:sz w:val="22"/>
          <w:szCs w:val="22"/>
          <w:lang w:val="es-MX"/>
        </w:rPr>
        <w:t>La previsión por juicios se encuentra registrada en la cuenta #203030 – Previsión por juicios. Al 31/12/2025, el saldo contable de dicha cuenta asciende a $11.000.000. Por su parte, al 31/12/2024 el saldo contable ascendía a $4.000.000, importe considerado como saldo final en la Declaración Jurada del Impuesto a las Ganancias correspondiente al período fiscal 2024, mientras que el saldo final impositivo de la provisión ascendía a $3.000.000.</w:t>
      </w:r>
    </w:p>
    <w:p w14:paraId="3444E645" w14:textId="32D85452" w:rsidR="005903EC" w:rsidRPr="00694D6A" w:rsidRDefault="005A71AF" w:rsidP="00694D6A">
      <w:pPr>
        <w:numPr>
          <w:ilvl w:val="0"/>
          <w:numId w:val="1"/>
        </w:numPr>
        <w:spacing w:line="259" w:lineRule="auto"/>
        <w:rPr>
          <w:rFonts w:ascii="Calibri" w:hAnsi="Calibri" w:cs="Calibri"/>
          <w:sz w:val="22"/>
          <w:szCs w:val="22"/>
          <w:lang w:val="es-MX"/>
        </w:rPr>
      </w:pPr>
      <w:r w:rsidRPr="005A71AF">
        <w:rPr>
          <w:rFonts w:ascii="Calibri" w:hAnsi="Calibri" w:cs="Calibri"/>
          <w:sz w:val="22"/>
          <w:szCs w:val="22"/>
          <w:lang w:val="es-MX"/>
        </w:rPr>
        <w:t>Los cargos a resultados se registran en la cuenta #</w:t>
      </w:r>
      <w:r>
        <w:rPr>
          <w:rFonts w:ascii="Calibri" w:hAnsi="Calibri" w:cs="Calibri"/>
          <w:sz w:val="22"/>
          <w:szCs w:val="22"/>
          <w:lang w:val="es-MX"/>
        </w:rPr>
        <w:t>505050</w:t>
      </w:r>
      <w:r w:rsidRPr="005A71AF">
        <w:rPr>
          <w:rFonts w:ascii="Calibri" w:hAnsi="Calibri" w:cs="Calibri"/>
          <w:sz w:val="22"/>
          <w:szCs w:val="22"/>
          <w:lang w:val="es-MX"/>
        </w:rPr>
        <w:t xml:space="preserve"> – Cargos por </w:t>
      </w:r>
      <w:r>
        <w:rPr>
          <w:rFonts w:ascii="Calibri" w:hAnsi="Calibri" w:cs="Calibri"/>
          <w:sz w:val="22"/>
          <w:szCs w:val="22"/>
          <w:lang w:val="es-MX"/>
        </w:rPr>
        <w:t>juicios</w:t>
      </w:r>
      <w:r w:rsidRPr="005A71AF">
        <w:rPr>
          <w:rFonts w:ascii="Calibri" w:hAnsi="Calibri" w:cs="Calibri"/>
          <w:sz w:val="22"/>
          <w:szCs w:val="22"/>
          <w:lang w:val="es-MX"/>
        </w:rPr>
        <w:t>. Al 31/12/2025 el saldo de la cuenta asciende a $</w:t>
      </w:r>
      <w:r w:rsidR="006A43CC">
        <w:rPr>
          <w:rFonts w:ascii="Calibri" w:hAnsi="Calibri" w:cs="Calibri"/>
          <w:sz w:val="22"/>
          <w:szCs w:val="22"/>
          <w:lang w:val="es-MX"/>
        </w:rPr>
        <w:t>7</w:t>
      </w:r>
      <w:r w:rsidRPr="005A71AF">
        <w:rPr>
          <w:rFonts w:ascii="Calibri" w:hAnsi="Calibri" w:cs="Calibri"/>
          <w:sz w:val="22"/>
          <w:szCs w:val="22"/>
          <w:lang w:val="es-MX"/>
        </w:rPr>
        <w:t>.000.000.</w:t>
      </w:r>
    </w:p>
    <w:p w14:paraId="1C7F6F07" w14:textId="24C935A9" w:rsidR="00FF7F07" w:rsidRPr="00C9414B" w:rsidRDefault="00FF7F07" w:rsidP="00FF7F07">
      <w:pPr>
        <w:rPr>
          <w:rFonts w:ascii="Calibri" w:hAnsi="Calibri" w:cs="Calibri"/>
          <w:b/>
          <w:bCs/>
          <w:sz w:val="22"/>
          <w:szCs w:val="22"/>
          <w:lang w:val="es-AR"/>
        </w:rPr>
      </w:pPr>
      <w:r w:rsidRPr="00C9414B">
        <w:rPr>
          <w:rFonts w:ascii="Calibri" w:hAnsi="Calibri" w:cs="Calibri"/>
          <w:b/>
          <w:bCs/>
          <w:sz w:val="22"/>
          <w:szCs w:val="22"/>
          <w:lang w:val="es-AR"/>
        </w:rPr>
        <w:t>Resolución:</w:t>
      </w:r>
    </w:p>
    <w:p w14:paraId="796AA3D4" w14:textId="63DC2D07" w:rsidR="00FF7F07" w:rsidRDefault="00694D6A" w:rsidP="00FF7F07">
      <w:pPr>
        <w:rPr>
          <w:rFonts w:ascii="Calibri" w:hAnsi="Calibri" w:cs="Calibri"/>
          <w:b/>
          <w:bCs/>
          <w:sz w:val="22"/>
          <w:szCs w:val="22"/>
          <w:lang w:val="es-AR"/>
        </w:rPr>
      </w:pPr>
      <w:r w:rsidRPr="00694D6A">
        <w:rPr>
          <w:rFonts w:ascii="Calibri" w:hAnsi="Calibri" w:cs="Calibri"/>
          <w:b/>
          <w:bCs/>
          <w:noProof/>
          <w:sz w:val="22"/>
          <w:szCs w:val="22"/>
          <w:lang w:val="es-AR"/>
        </w:rPr>
        <w:drawing>
          <wp:inline distT="0" distB="0" distL="0" distR="0" wp14:anchorId="10B85770" wp14:editId="0AFF1AC3">
            <wp:extent cx="4839375" cy="2324424"/>
            <wp:effectExtent l="0" t="0" r="0" b="0"/>
            <wp:docPr id="1857297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297863" name=""/>
                    <pic:cNvPicPr/>
                  </pic:nvPicPr>
                  <pic:blipFill>
                    <a:blip r:embed="rId9"/>
                    <a:stretch>
                      <a:fillRect/>
                    </a:stretch>
                  </pic:blipFill>
                  <pic:spPr>
                    <a:xfrm>
                      <a:off x="0" y="0"/>
                      <a:ext cx="4839375" cy="2324424"/>
                    </a:xfrm>
                    <a:prstGeom prst="rect">
                      <a:avLst/>
                    </a:prstGeom>
                  </pic:spPr>
                </pic:pic>
              </a:graphicData>
            </a:graphic>
          </wp:inline>
        </w:drawing>
      </w:r>
    </w:p>
    <w:p w14:paraId="13C1999B" w14:textId="68B89AE5" w:rsidR="00694D6A" w:rsidRPr="00C9414B" w:rsidRDefault="00694D6A" w:rsidP="00FF7F07">
      <w:pPr>
        <w:rPr>
          <w:rFonts w:ascii="Calibri" w:hAnsi="Calibri" w:cs="Calibri"/>
          <w:b/>
          <w:bCs/>
          <w:sz w:val="22"/>
          <w:szCs w:val="22"/>
          <w:lang w:val="es-AR"/>
        </w:rPr>
      </w:pPr>
      <w:r w:rsidRPr="00694D6A">
        <w:rPr>
          <w:rFonts w:ascii="Calibri" w:hAnsi="Calibri" w:cs="Calibri"/>
          <w:b/>
          <w:bCs/>
          <w:noProof/>
          <w:sz w:val="22"/>
          <w:szCs w:val="22"/>
          <w:lang w:val="es-AR"/>
        </w:rPr>
        <w:lastRenderedPageBreak/>
        <w:drawing>
          <wp:inline distT="0" distB="0" distL="0" distR="0" wp14:anchorId="0D1B40C6" wp14:editId="6990AFE3">
            <wp:extent cx="4839375" cy="3077004"/>
            <wp:effectExtent l="0" t="0" r="0" b="9525"/>
            <wp:docPr id="1086056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056656" name=""/>
                    <pic:cNvPicPr/>
                  </pic:nvPicPr>
                  <pic:blipFill>
                    <a:blip r:embed="rId10"/>
                    <a:stretch>
                      <a:fillRect/>
                    </a:stretch>
                  </pic:blipFill>
                  <pic:spPr>
                    <a:xfrm>
                      <a:off x="0" y="0"/>
                      <a:ext cx="4839375" cy="3077004"/>
                    </a:xfrm>
                    <a:prstGeom prst="rect">
                      <a:avLst/>
                    </a:prstGeom>
                  </pic:spPr>
                </pic:pic>
              </a:graphicData>
            </a:graphic>
          </wp:inline>
        </w:drawing>
      </w:r>
    </w:p>
    <w:p w14:paraId="1919D7F9" w14:textId="77777777" w:rsidR="00694D6A" w:rsidRDefault="00694D6A" w:rsidP="00C9414B">
      <w:pPr>
        <w:rPr>
          <w:rFonts w:ascii="Calibri" w:hAnsi="Calibri" w:cs="Calibri"/>
          <w:sz w:val="22"/>
          <w:szCs w:val="22"/>
          <w:lang w:val="es-MX"/>
        </w:rPr>
      </w:pPr>
      <w:r w:rsidRPr="00694D6A">
        <w:rPr>
          <w:rFonts w:ascii="Calibri" w:hAnsi="Calibri" w:cs="Calibri"/>
          <w:noProof/>
          <w:sz w:val="22"/>
          <w:szCs w:val="22"/>
          <w:lang w:val="es-MX"/>
        </w:rPr>
        <w:drawing>
          <wp:inline distT="0" distB="0" distL="0" distR="0" wp14:anchorId="13E28356" wp14:editId="73D54312">
            <wp:extent cx="4858428" cy="1657581"/>
            <wp:effectExtent l="0" t="0" r="0" b="0"/>
            <wp:docPr id="1012876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876954" name=""/>
                    <pic:cNvPicPr/>
                  </pic:nvPicPr>
                  <pic:blipFill>
                    <a:blip r:embed="rId11"/>
                    <a:stretch>
                      <a:fillRect/>
                    </a:stretch>
                  </pic:blipFill>
                  <pic:spPr>
                    <a:xfrm>
                      <a:off x="0" y="0"/>
                      <a:ext cx="4858428" cy="1657581"/>
                    </a:xfrm>
                    <a:prstGeom prst="rect">
                      <a:avLst/>
                    </a:prstGeom>
                  </pic:spPr>
                </pic:pic>
              </a:graphicData>
            </a:graphic>
          </wp:inline>
        </w:drawing>
      </w:r>
    </w:p>
    <w:p w14:paraId="1E1CC29B" w14:textId="77777777" w:rsidR="00694D6A" w:rsidRDefault="00694D6A" w:rsidP="00C9414B">
      <w:pPr>
        <w:rPr>
          <w:rFonts w:ascii="Calibri" w:hAnsi="Calibri" w:cs="Calibri"/>
          <w:sz w:val="22"/>
          <w:szCs w:val="22"/>
          <w:lang w:val="es-MX"/>
        </w:rPr>
      </w:pPr>
    </w:p>
    <w:p w14:paraId="4D15663C" w14:textId="0F7F34E4" w:rsidR="00C9414B" w:rsidRPr="00C9414B" w:rsidRDefault="00845A5E" w:rsidP="00C9414B">
      <w:pPr>
        <w:rPr>
          <w:rFonts w:ascii="Calibri" w:hAnsi="Calibri" w:cs="Calibri"/>
          <w:sz w:val="22"/>
          <w:szCs w:val="22"/>
          <w:lang w:val="es-MX"/>
        </w:rPr>
      </w:pPr>
      <w:r w:rsidRPr="00C9414B">
        <w:rPr>
          <w:rFonts w:ascii="Calibri" w:hAnsi="Calibri" w:cs="Calibri"/>
          <w:b/>
          <w:bCs/>
          <w:noProof/>
          <w:sz w:val="22"/>
          <w:szCs w:val="22"/>
          <w:lang w:val="es-MX"/>
        </w:rPr>
        <w:drawing>
          <wp:anchor distT="0" distB="0" distL="114300" distR="114300" simplePos="0" relativeHeight="251659264" behindDoc="1" locked="0" layoutInCell="1" allowOverlap="1" wp14:anchorId="71576EF1" wp14:editId="6EA51BA2">
            <wp:simplePos x="0" y="0"/>
            <wp:positionH relativeFrom="margin">
              <wp:align>right</wp:align>
            </wp:positionH>
            <wp:positionV relativeFrom="paragraph">
              <wp:posOffset>4075238</wp:posOffset>
            </wp:positionV>
            <wp:extent cx="5943600" cy="4398645"/>
            <wp:effectExtent l="0" t="0" r="0" b="1905"/>
            <wp:wrapNone/>
            <wp:docPr id="1603166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166576" name=""/>
                    <pic:cNvPicPr/>
                  </pic:nvPicPr>
                  <pic:blipFill>
                    <a:blip r:embed="rId12"/>
                    <a:stretch>
                      <a:fillRect/>
                    </a:stretch>
                  </pic:blipFill>
                  <pic:spPr>
                    <a:xfrm>
                      <a:off x="0" y="0"/>
                      <a:ext cx="5943600" cy="4398645"/>
                    </a:xfrm>
                    <a:prstGeom prst="rect">
                      <a:avLst/>
                    </a:prstGeom>
                  </pic:spPr>
                </pic:pic>
              </a:graphicData>
            </a:graphic>
          </wp:anchor>
        </w:drawing>
      </w:r>
      <w:r w:rsidR="00FF7F07" w:rsidRPr="00C9414B">
        <w:rPr>
          <w:rFonts w:ascii="Calibri" w:hAnsi="Calibri" w:cs="Calibri"/>
          <w:b/>
          <w:bCs/>
          <w:sz w:val="22"/>
          <w:szCs w:val="22"/>
          <w:lang w:val="es-AR"/>
        </w:rPr>
        <w:t>Conclusi</w:t>
      </w:r>
      <w:r w:rsidR="005372A6" w:rsidRPr="00C9414B">
        <w:rPr>
          <w:rFonts w:ascii="Calibri" w:hAnsi="Calibri" w:cs="Calibri"/>
          <w:b/>
          <w:bCs/>
          <w:sz w:val="22"/>
          <w:szCs w:val="22"/>
          <w:lang w:val="es-AR"/>
        </w:rPr>
        <w:t>ó</w:t>
      </w:r>
      <w:r w:rsidR="00FF7F07" w:rsidRPr="00C9414B">
        <w:rPr>
          <w:rFonts w:ascii="Calibri" w:hAnsi="Calibri" w:cs="Calibri"/>
          <w:b/>
          <w:bCs/>
          <w:sz w:val="22"/>
          <w:szCs w:val="22"/>
          <w:lang w:val="es-AR"/>
        </w:rPr>
        <w:t>n:</w:t>
      </w:r>
      <w:r w:rsidR="00C9414B" w:rsidRPr="00C9414B">
        <w:rPr>
          <w:rFonts w:ascii="Calibri" w:hAnsi="Calibri" w:cs="Calibri"/>
          <w:b/>
          <w:bCs/>
          <w:sz w:val="22"/>
          <w:szCs w:val="22"/>
          <w:lang w:val="es-AR"/>
        </w:rPr>
        <w:t xml:space="preserve"> </w:t>
      </w:r>
      <w:r w:rsidR="00C9414B" w:rsidRPr="00C9414B">
        <w:rPr>
          <w:rFonts w:ascii="Calibri" w:hAnsi="Calibri" w:cs="Calibri"/>
          <w:sz w:val="22"/>
          <w:szCs w:val="22"/>
          <w:lang w:val="es-MX"/>
        </w:rPr>
        <w:t>La compañía consideró deducible fiscalmente una previsión por juicios de $7.000.000. Sin embargo, de dicho importe, solo pudo acreditar mediante una sentencia judicial firme por $5.000.000.</w:t>
      </w:r>
    </w:p>
    <w:p w14:paraId="48FFFA17" w14:textId="675B5CEF" w:rsidR="00C9414B" w:rsidRPr="00C9414B" w:rsidRDefault="00C9414B" w:rsidP="00C9414B">
      <w:pPr>
        <w:rPr>
          <w:rFonts w:ascii="Calibri" w:hAnsi="Calibri" w:cs="Calibri"/>
          <w:sz w:val="22"/>
          <w:szCs w:val="22"/>
          <w:lang w:val="es-MX"/>
        </w:rPr>
      </w:pPr>
      <w:r w:rsidRPr="00C9414B">
        <w:rPr>
          <w:rFonts w:ascii="Calibri" w:hAnsi="Calibri" w:cs="Calibri"/>
          <w:sz w:val="22"/>
          <w:szCs w:val="22"/>
          <w:lang w:val="es-MX"/>
        </w:rPr>
        <w:t>En consecuencia, corresponde impugnar la deducción de $2.000.000, por tratarse de una pérdida no materializada o insuficientemente respaldada, que no cumple con los requisitos exigidos por la Ley del Impuesto a las Ganancias para su deducción.</w:t>
      </w:r>
    </w:p>
    <w:p w14:paraId="780F12E9" w14:textId="1F2A2C95" w:rsidR="00FD5964" w:rsidRPr="00C9414B" w:rsidRDefault="00FD5964">
      <w:pPr>
        <w:rPr>
          <w:b/>
          <w:bCs/>
          <w:lang w:val="es-MX"/>
        </w:rPr>
      </w:pPr>
    </w:p>
    <w:sectPr w:rsidR="00FD5964" w:rsidRPr="00C9414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B267A"/>
    <w:multiLevelType w:val="multilevel"/>
    <w:tmpl w:val="C1A42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0F24C9"/>
    <w:multiLevelType w:val="multilevel"/>
    <w:tmpl w:val="E9366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5440438"/>
    <w:multiLevelType w:val="multilevel"/>
    <w:tmpl w:val="031CB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7094363">
    <w:abstractNumId w:val="1"/>
  </w:num>
  <w:num w:numId="2" w16cid:durableId="2121878049">
    <w:abstractNumId w:val="2"/>
  </w:num>
  <w:num w:numId="3" w16cid:durableId="15265542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90F"/>
    <w:rsid w:val="00002D72"/>
    <w:rsid w:val="00010F00"/>
    <w:rsid w:val="000549D6"/>
    <w:rsid w:val="00086363"/>
    <w:rsid w:val="00090E21"/>
    <w:rsid w:val="00093088"/>
    <w:rsid w:val="000A7573"/>
    <w:rsid w:val="000D2249"/>
    <w:rsid w:val="000E079F"/>
    <w:rsid w:val="00100E39"/>
    <w:rsid w:val="001134C0"/>
    <w:rsid w:val="0011416F"/>
    <w:rsid w:val="00156CC7"/>
    <w:rsid w:val="00175AB9"/>
    <w:rsid w:val="00176EC9"/>
    <w:rsid w:val="00195077"/>
    <w:rsid w:val="001B3F8C"/>
    <w:rsid w:val="001D5032"/>
    <w:rsid w:val="001E528F"/>
    <w:rsid w:val="001F4D51"/>
    <w:rsid w:val="002200DF"/>
    <w:rsid w:val="00220F9E"/>
    <w:rsid w:val="00227202"/>
    <w:rsid w:val="0024097F"/>
    <w:rsid w:val="00250DEF"/>
    <w:rsid w:val="00252FA7"/>
    <w:rsid w:val="0027135D"/>
    <w:rsid w:val="00273D30"/>
    <w:rsid w:val="00293532"/>
    <w:rsid w:val="002A1ACC"/>
    <w:rsid w:val="002A6837"/>
    <w:rsid w:val="002A79C6"/>
    <w:rsid w:val="002D705E"/>
    <w:rsid w:val="002D7870"/>
    <w:rsid w:val="002E510E"/>
    <w:rsid w:val="002F1EC0"/>
    <w:rsid w:val="00310E69"/>
    <w:rsid w:val="0031198C"/>
    <w:rsid w:val="0032285A"/>
    <w:rsid w:val="003304B2"/>
    <w:rsid w:val="003310A0"/>
    <w:rsid w:val="0033734B"/>
    <w:rsid w:val="00337D6A"/>
    <w:rsid w:val="00350E81"/>
    <w:rsid w:val="00370883"/>
    <w:rsid w:val="003A1E24"/>
    <w:rsid w:val="003B44FA"/>
    <w:rsid w:val="004040A1"/>
    <w:rsid w:val="004125A6"/>
    <w:rsid w:val="00430DD5"/>
    <w:rsid w:val="004469D8"/>
    <w:rsid w:val="00470408"/>
    <w:rsid w:val="00474FE9"/>
    <w:rsid w:val="00477D45"/>
    <w:rsid w:val="004838B4"/>
    <w:rsid w:val="004847DE"/>
    <w:rsid w:val="00487285"/>
    <w:rsid w:val="004872BA"/>
    <w:rsid w:val="004939EA"/>
    <w:rsid w:val="004B1889"/>
    <w:rsid w:val="004C5FDF"/>
    <w:rsid w:val="005049B0"/>
    <w:rsid w:val="005169C0"/>
    <w:rsid w:val="005372A6"/>
    <w:rsid w:val="005431B1"/>
    <w:rsid w:val="00570236"/>
    <w:rsid w:val="005715AE"/>
    <w:rsid w:val="00587A62"/>
    <w:rsid w:val="005903EC"/>
    <w:rsid w:val="005A190F"/>
    <w:rsid w:val="005A35DF"/>
    <w:rsid w:val="005A71AF"/>
    <w:rsid w:val="005B7F2F"/>
    <w:rsid w:val="00630779"/>
    <w:rsid w:val="006532BA"/>
    <w:rsid w:val="00694D6A"/>
    <w:rsid w:val="006A43CC"/>
    <w:rsid w:val="006D44D9"/>
    <w:rsid w:val="006E0689"/>
    <w:rsid w:val="007105C9"/>
    <w:rsid w:val="0072580D"/>
    <w:rsid w:val="00733821"/>
    <w:rsid w:val="007356B9"/>
    <w:rsid w:val="0078010C"/>
    <w:rsid w:val="00784081"/>
    <w:rsid w:val="00785EF6"/>
    <w:rsid w:val="007A565F"/>
    <w:rsid w:val="007B2D94"/>
    <w:rsid w:val="007B42E5"/>
    <w:rsid w:val="007C3491"/>
    <w:rsid w:val="007C392B"/>
    <w:rsid w:val="007E4153"/>
    <w:rsid w:val="00841F4E"/>
    <w:rsid w:val="00845A5E"/>
    <w:rsid w:val="008866DF"/>
    <w:rsid w:val="008B01A4"/>
    <w:rsid w:val="008C289A"/>
    <w:rsid w:val="00901421"/>
    <w:rsid w:val="00923187"/>
    <w:rsid w:val="00953247"/>
    <w:rsid w:val="00977499"/>
    <w:rsid w:val="00981AA8"/>
    <w:rsid w:val="009A04F0"/>
    <w:rsid w:val="009A4BC4"/>
    <w:rsid w:val="009B594C"/>
    <w:rsid w:val="009C5F9C"/>
    <w:rsid w:val="009D0AE3"/>
    <w:rsid w:val="009D36DA"/>
    <w:rsid w:val="009E7F30"/>
    <w:rsid w:val="009F584A"/>
    <w:rsid w:val="00A01827"/>
    <w:rsid w:val="00A52965"/>
    <w:rsid w:val="00A647EB"/>
    <w:rsid w:val="00A70B78"/>
    <w:rsid w:val="00A72C15"/>
    <w:rsid w:val="00A80525"/>
    <w:rsid w:val="00A84219"/>
    <w:rsid w:val="00A9067B"/>
    <w:rsid w:val="00AA3894"/>
    <w:rsid w:val="00AA41AC"/>
    <w:rsid w:val="00AA5956"/>
    <w:rsid w:val="00AC14BE"/>
    <w:rsid w:val="00AC7070"/>
    <w:rsid w:val="00AD4807"/>
    <w:rsid w:val="00AF7DA9"/>
    <w:rsid w:val="00B067ED"/>
    <w:rsid w:val="00B12B26"/>
    <w:rsid w:val="00B17757"/>
    <w:rsid w:val="00B51F78"/>
    <w:rsid w:val="00B52635"/>
    <w:rsid w:val="00B54984"/>
    <w:rsid w:val="00B653FB"/>
    <w:rsid w:val="00B7120B"/>
    <w:rsid w:val="00B71635"/>
    <w:rsid w:val="00B91A5A"/>
    <w:rsid w:val="00BB314F"/>
    <w:rsid w:val="00BD25F3"/>
    <w:rsid w:val="00BF4738"/>
    <w:rsid w:val="00BF72E1"/>
    <w:rsid w:val="00C025B0"/>
    <w:rsid w:val="00C15D31"/>
    <w:rsid w:val="00C17404"/>
    <w:rsid w:val="00C65C3E"/>
    <w:rsid w:val="00C82597"/>
    <w:rsid w:val="00C9414B"/>
    <w:rsid w:val="00CB37C3"/>
    <w:rsid w:val="00CB675F"/>
    <w:rsid w:val="00CC0961"/>
    <w:rsid w:val="00CF310F"/>
    <w:rsid w:val="00D21660"/>
    <w:rsid w:val="00D21B1F"/>
    <w:rsid w:val="00D230D1"/>
    <w:rsid w:val="00D34743"/>
    <w:rsid w:val="00D65A02"/>
    <w:rsid w:val="00D67BBF"/>
    <w:rsid w:val="00D964DF"/>
    <w:rsid w:val="00DA2C73"/>
    <w:rsid w:val="00DA5FFB"/>
    <w:rsid w:val="00DA7EBE"/>
    <w:rsid w:val="00DB3AF0"/>
    <w:rsid w:val="00DE40C3"/>
    <w:rsid w:val="00DE4429"/>
    <w:rsid w:val="00E2072C"/>
    <w:rsid w:val="00E21C7A"/>
    <w:rsid w:val="00E25088"/>
    <w:rsid w:val="00E66D98"/>
    <w:rsid w:val="00EA7007"/>
    <w:rsid w:val="00EB11E7"/>
    <w:rsid w:val="00EB1914"/>
    <w:rsid w:val="00ED47BC"/>
    <w:rsid w:val="00EE25C1"/>
    <w:rsid w:val="00EF251D"/>
    <w:rsid w:val="00EF2DE3"/>
    <w:rsid w:val="00EF4C7F"/>
    <w:rsid w:val="00F074EF"/>
    <w:rsid w:val="00F52C74"/>
    <w:rsid w:val="00FA7912"/>
    <w:rsid w:val="00FD5964"/>
    <w:rsid w:val="00FF7F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EEB2D"/>
  <w15:chartTrackingRefBased/>
  <w15:docId w15:val="{00C158CB-74AC-46D0-B1EE-82ECE01C1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3894"/>
  </w:style>
  <w:style w:type="paragraph" w:styleId="Heading1">
    <w:name w:val="heading 1"/>
    <w:basedOn w:val="Normal"/>
    <w:next w:val="Normal"/>
    <w:link w:val="Heading1Char"/>
    <w:uiPriority w:val="9"/>
    <w:qFormat/>
    <w:rsid w:val="005A19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19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19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19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19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19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19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19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19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19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19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19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19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19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19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19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19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190F"/>
    <w:rPr>
      <w:rFonts w:eastAsiaTheme="majorEastAsia" w:cstheme="majorBidi"/>
      <w:color w:val="272727" w:themeColor="text1" w:themeTint="D8"/>
    </w:rPr>
  </w:style>
  <w:style w:type="paragraph" w:styleId="Title">
    <w:name w:val="Title"/>
    <w:basedOn w:val="Normal"/>
    <w:next w:val="Normal"/>
    <w:link w:val="TitleChar"/>
    <w:uiPriority w:val="10"/>
    <w:qFormat/>
    <w:rsid w:val="005A19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19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19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19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190F"/>
    <w:pPr>
      <w:spacing w:before="160"/>
      <w:jc w:val="center"/>
    </w:pPr>
    <w:rPr>
      <w:i/>
      <w:iCs/>
      <w:color w:val="404040" w:themeColor="text1" w:themeTint="BF"/>
    </w:rPr>
  </w:style>
  <w:style w:type="character" w:customStyle="1" w:styleId="QuoteChar">
    <w:name w:val="Quote Char"/>
    <w:basedOn w:val="DefaultParagraphFont"/>
    <w:link w:val="Quote"/>
    <w:uiPriority w:val="29"/>
    <w:rsid w:val="005A190F"/>
    <w:rPr>
      <w:i/>
      <w:iCs/>
      <w:color w:val="404040" w:themeColor="text1" w:themeTint="BF"/>
    </w:rPr>
  </w:style>
  <w:style w:type="paragraph" w:styleId="ListParagraph">
    <w:name w:val="List Paragraph"/>
    <w:basedOn w:val="Normal"/>
    <w:uiPriority w:val="34"/>
    <w:qFormat/>
    <w:rsid w:val="005A190F"/>
    <w:pPr>
      <w:ind w:left="720"/>
      <w:contextualSpacing/>
    </w:pPr>
  </w:style>
  <w:style w:type="character" w:styleId="IntenseEmphasis">
    <w:name w:val="Intense Emphasis"/>
    <w:basedOn w:val="DefaultParagraphFont"/>
    <w:uiPriority w:val="21"/>
    <w:qFormat/>
    <w:rsid w:val="005A190F"/>
    <w:rPr>
      <w:i/>
      <w:iCs/>
      <w:color w:val="0F4761" w:themeColor="accent1" w:themeShade="BF"/>
    </w:rPr>
  </w:style>
  <w:style w:type="paragraph" w:styleId="IntenseQuote">
    <w:name w:val="Intense Quote"/>
    <w:basedOn w:val="Normal"/>
    <w:next w:val="Normal"/>
    <w:link w:val="IntenseQuoteChar"/>
    <w:uiPriority w:val="30"/>
    <w:qFormat/>
    <w:rsid w:val="005A19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190F"/>
    <w:rPr>
      <w:i/>
      <w:iCs/>
      <w:color w:val="0F4761" w:themeColor="accent1" w:themeShade="BF"/>
    </w:rPr>
  </w:style>
  <w:style w:type="character" w:styleId="IntenseReference">
    <w:name w:val="Intense Reference"/>
    <w:basedOn w:val="DefaultParagraphFont"/>
    <w:uiPriority w:val="32"/>
    <w:qFormat/>
    <w:rsid w:val="005A190F"/>
    <w:rPr>
      <w:b/>
      <w:bCs/>
      <w:smallCaps/>
      <w:color w:val="0F4761" w:themeColor="accent1" w:themeShade="BF"/>
      <w:spacing w:val="5"/>
    </w:rPr>
  </w:style>
  <w:style w:type="table" w:styleId="TableGrid">
    <w:name w:val="Table Grid"/>
    <w:basedOn w:val="TableNormal"/>
    <w:uiPriority w:val="39"/>
    <w:rsid w:val="009A4B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Normal</Template>
  <TotalTime>530</TotalTime>
  <Pages>5</Pages>
  <Words>915</Words>
  <Characters>5220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Freire, Eros</dc:creator>
  <cp:keywords/>
  <dc:description/>
  <cp:lastModifiedBy>Freire, Eros</cp:lastModifiedBy>
  <cp:revision>160</cp:revision>
  <dcterms:created xsi:type="dcterms:W3CDTF">2026-07-13T02:04:00Z</dcterms:created>
  <dcterms:modified xsi:type="dcterms:W3CDTF">2026-07-29T15:43:00Z</dcterms:modified>
</cp:coreProperties>
</file>