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651E8" w14:textId="2A1131BF" w:rsidR="00681163" w:rsidRPr="00955947" w:rsidRDefault="00A36AA8" w:rsidP="00681163">
      <w:pPr>
        <w:rPr>
          <w:rFonts w:ascii="Calibri" w:hAnsi="Calibri" w:cs="Calibri"/>
          <w:b/>
          <w:bCs/>
          <w:sz w:val="22"/>
          <w:szCs w:val="22"/>
          <w:u w:val="single"/>
          <w:lang w:val="es-MX"/>
        </w:rPr>
      </w:pPr>
      <w:r w:rsidRPr="00955947">
        <w:rPr>
          <w:rFonts w:ascii="Calibri" w:hAnsi="Calibri" w:cs="Calibri"/>
          <w:b/>
          <w:bCs/>
          <w:sz w:val="22"/>
          <w:szCs w:val="22"/>
          <w:u w:val="single"/>
          <w:lang w:val="es-MX"/>
        </w:rPr>
        <w:t>Provis</w:t>
      </w:r>
      <w:r w:rsidR="008D246B" w:rsidRPr="00955947">
        <w:rPr>
          <w:rFonts w:ascii="Calibri" w:hAnsi="Calibri" w:cs="Calibri"/>
          <w:b/>
          <w:bCs/>
          <w:sz w:val="22"/>
          <w:szCs w:val="22"/>
          <w:u w:val="single"/>
          <w:lang w:val="es-MX"/>
        </w:rPr>
        <w:t>ión</w:t>
      </w:r>
      <w:r w:rsidR="00681163" w:rsidRPr="00955947">
        <w:rPr>
          <w:rFonts w:ascii="Calibri" w:hAnsi="Calibri" w:cs="Calibri"/>
          <w:b/>
          <w:bCs/>
          <w:sz w:val="22"/>
          <w:szCs w:val="22"/>
          <w:u w:val="single"/>
          <w:lang w:val="es-MX"/>
        </w:rPr>
        <w:t xml:space="preserve"> </w:t>
      </w:r>
      <w:r w:rsidR="002B1D22">
        <w:rPr>
          <w:rFonts w:ascii="Calibri" w:hAnsi="Calibri" w:cs="Calibri"/>
          <w:b/>
          <w:bCs/>
          <w:sz w:val="22"/>
          <w:szCs w:val="22"/>
          <w:u w:val="single"/>
          <w:lang w:val="es-MX"/>
        </w:rPr>
        <w:t>Gastos Varios</w:t>
      </w:r>
    </w:p>
    <w:p w14:paraId="6C1594DE" w14:textId="248725B9" w:rsidR="00681163" w:rsidRPr="0035618F" w:rsidRDefault="00681163" w:rsidP="00681163">
      <w:pPr>
        <w:rPr>
          <w:rFonts w:ascii="Calibri" w:hAnsi="Calibri" w:cs="Calibri"/>
          <w:b/>
          <w:bCs/>
          <w:sz w:val="22"/>
          <w:szCs w:val="22"/>
          <w:lang w:val="es-MX"/>
        </w:rPr>
      </w:pPr>
      <w:r w:rsidRPr="0035618F">
        <w:rPr>
          <w:rFonts w:ascii="Calibri" w:hAnsi="Calibri" w:cs="Calibri"/>
          <w:b/>
          <w:bCs/>
          <w:sz w:val="22"/>
          <w:szCs w:val="22"/>
          <w:lang w:val="es-MX"/>
        </w:rPr>
        <w:t xml:space="preserve">¿Qué es una </w:t>
      </w:r>
      <w:r w:rsidR="008D246B" w:rsidRPr="0035618F">
        <w:rPr>
          <w:rFonts w:ascii="Calibri" w:hAnsi="Calibri" w:cs="Calibri"/>
          <w:b/>
          <w:bCs/>
          <w:sz w:val="22"/>
          <w:szCs w:val="22"/>
          <w:lang w:val="es-MX"/>
        </w:rPr>
        <w:t>provisión</w:t>
      </w:r>
      <w:r w:rsidRPr="0035618F">
        <w:rPr>
          <w:rFonts w:ascii="Calibri" w:hAnsi="Calibri" w:cs="Calibri"/>
          <w:b/>
          <w:bCs/>
          <w:sz w:val="22"/>
          <w:szCs w:val="22"/>
          <w:lang w:val="es-MX"/>
        </w:rPr>
        <w:t xml:space="preserve">? </w:t>
      </w:r>
    </w:p>
    <w:p w14:paraId="4AECB427" w14:textId="77777777" w:rsidR="00610631" w:rsidRPr="00610631" w:rsidRDefault="00610631" w:rsidP="00610631">
      <w:pPr>
        <w:rPr>
          <w:rFonts w:ascii="Calibri" w:hAnsi="Calibri" w:cs="Calibri"/>
          <w:sz w:val="22"/>
          <w:szCs w:val="22"/>
          <w:lang w:val="es-MX"/>
        </w:rPr>
      </w:pPr>
      <w:r w:rsidRPr="00610631">
        <w:rPr>
          <w:rFonts w:ascii="Calibri" w:hAnsi="Calibri" w:cs="Calibri"/>
          <w:sz w:val="22"/>
          <w:szCs w:val="22"/>
          <w:lang w:val="es-MX"/>
        </w:rPr>
        <w:t xml:space="preserve">De acuerdo con las Resoluciones Técnicas </w:t>
      </w:r>
      <w:proofErr w:type="spellStart"/>
      <w:r w:rsidRPr="00610631">
        <w:rPr>
          <w:rFonts w:ascii="Calibri" w:hAnsi="Calibri" w:cs="Calibri"/>
          <w:sz w:val="22"/>
          <w:szCs w:val="22"/>
          <w:lang w:val="es-MX"/>
        </w:rPr>
        <w:t>N.°</w:t>
      </w:r>
      <w:proofErr w:type="spellEnd"/>
      <w:r w:rsidRPr="00610631">
        <w:rPr>
          <w:rFonts w:ascii="Calibri" w:hAnsi="Calibri" w:cs="Calibri"/>
          <w:sz w:val="22"/>
          <w:szCs w:val="22"/>
          <w:lang w:val="es-MX"/>
        </w:rPr>
        <w:t xml:space="preserve"> 16 y </w:t>
      </w:r>
      <w:proofErr w:type="spellStart"/>
      <w:r w:rsidRPr="00610631">
        <w:rPr>
          <w:rFonts w:ascii="Calibri" w:hAnsi="Calibri" w:cs="Calibri"/>
          <w:sz w:val="22"/>
          <w:szCs w:val="22"/>
          <w:lang w:val="es-MX"/>
        </w:rPr>
        <w:t>N.°</w:t>
      </w:r>
      <w:proofErr w:type="spellEnd"/>
      <w:r w:rsidRPr="00610631">
        <w:rPr>
          <w:rFonts w:ascii="Calibri" w:hAnsi="Calibri" w:cs="Calibri"/>
          <w:sz w:val="22"/>
          <w:szCs w:val="22"/>
          <w:lang w:val="es-MX"/>
        </w:rPr>
        <w:t xml:space="preserve"> 17 de la FACPCE, una </w:t>
      </w:r>
      <w:r w:rsidRPr="00610631">
        <w:rPr>
          <w:rFonts w:ascii="Calibri" w:hAnsi="Calibri" w:cs="Calibri"/>
          <w:b/>
          <w:bCs/>
          <w:sz w:val="22"/>
          <w:szCs w:val="22"/>
          <w:lang w:val="es-MX"/>
        </w:rPr>
        <w:t>provisión</w:t>
      </w:r>
      <w:r w:rsidRPr="00610631">
        <w:rPr>
          <w:rFonts w:ascii="Calibri" w:hAnsi="Calibri" w:cs="Calibri"/>
          <w:sz w:val="22"/>
          <w:szCs w:val="22"/>
          <w:lang w:val="es-MX"/>
        </w:rPr>
        <w:t xml:space="preserve"> es un pasivo originado en una obligación presente derivada de hechos pasados, respecto de la cual existe incertidumbre sobre su importe o la fecha de cancelación. Su reconocimiento procede cuando es probable la salida futura de recursos para su cancelación y puede efectuarse una estimación razonable de su monto. A diferencia de las deudas, en las provisiones subsiste un grado de incertidumbre vinculado a su cuantía o vencimiento.</w:t>
      </w:r>
    </w:p>
    <w:p w14:paraId="54DA7A84" w14:textId="77777777" w:rsidR="00AE26DA" w:rsidRPr="00C9414B" w:rsidRDefault="00AE26DA" w:rsidP="00AE26DA">
      <w:pPr>
        <w:rPr>
          <w:rFonts w:ascii="Calibri" w:hAnsi="Calibri" w:cs="Calibri"/>
          <w:sz w:val="22"/>
          <w:szCs w:val="22"/>
          <w:lang w:val="es-MX"/>
        </w:rPr>
      </w:pPr>
      <w:r w:rsidRPr="00C9414B">
        <w:rPr>
          <w:rFonts w:ascii="Calibri" w:hAnsi="Calibri" w:cs="Calibri"/>
          <w:sz w:val="22"/>
          <w:szCs w:val="22"/>
          <w:lang w:val="es-MX"/>
        </w:rPr>
        <w:t>A continuación, se expone un cuadro para comprender mejor esta distinción:</w:t>
      </w:r>
    </w:p>
    <w:tbl>
      <w:tblPr>
        <w:tblStyle w:val="TableGrid"/>
        <w:tblW w:w="0" w:type="auto"/>
        <w:tblLook w:val="04A0" w:firstRow="1" w:lastRow="0" w:firstColumn="1" w:lastColumn="0" w:noHBand="0" w:noVBand="1"/>
      </w:tblPr>
      <w:tblGrid>
        <w:gridCol w:w="3116"/>
        <w:gridCol w:w="3117"/>
        <w:gridCol w:w="3117"/>
      </w:tblGrid>
      <w:tr w:rsidR="00681163" w:rsidRPr="00955947" w14:paraId="09A7F456" w14:textId="77777777" w:rsidTr="00AD54D0">
        <w:tc>
          <w:tcPr>
            <w:tcW w:w="3116" w:type="dxa"/>
            <w:shd w:val="clear" w:color="auto" w:fill="DAE9F7" w:themeFill="text2" w:themeFillTint="1A"/>
          </w:tcPr>
          <w:p w14:paraId="0FE7A958" w14:textId="77777777" w:rsidR="00681163" w:rsidRPr="00AE26DA" w:rsidRDefault="00681163" w:rsidP="00AD54D0">
            <w:pPr>
              <w:jc w:val="center"/>
              <w:rPr>
                <w:rFonts w:ascii="Calibri" w:hAnsi="Calibri" w:cs="Calibri"/>
                <w:sz w:val="22"/>
                <w:szCs w:val="22"/>
                <w:lang w:val="es-MX"/>
              </w:rPr>
            </w:pPr>
          </w:p>
        </w:tc>
        <w:tc>
          <w:tcPr>
            <w:tcW w:w="3117" w:type="dxa"/>
            <w:shd w:val="clear" w:color="auto" w:fill="DAE9F7" w:themeFill="text2" w:themeFillTint="1A"/>
          </w:tcPr>
          <w:p w14:paraId="455841A0" w14:textId="77777777" w:rsidR="00681163" w:rsidRPr="00955947" w:rsidRDefault="00681163" w:rsidP="00AD54D0">
            <w:pPr>
              <w:jc w:val="center"/>
              <w:rPr>
                <w:rFonts w:ascii="Calibri" w:hAnsi="Calibri" w:cs="Calibri"/>
                <w:sz w:val="22"/>
                <w:szCs w:val="22"/>
                <w:lang w:val="es-AR"/>
              </w:rPr>
            </w:pPr>
            <w:r w:rsidRPr="00955947">
              <w:rPr>
                <w:rFonts w:ascii="Calibri" w:hAnsi="Calibri" w:cs="Calibri"/>
                <w:sz w:val="22"/>
                <w:szCs w:val="22"/>
                <w:lang w:val="es-AR"/>
              </w:rPr>
              <w:t>Monto cierto</w:t>
            </w:r>
          </w:p>
        </w:tc>
        <w:tc>
          <w:tcPr>
            <w:tcW w:w="3117" w:type="dxa"/>
            <w:shd w:val="clear" w:color="auto" w:fill="DAE9F7" w:themeFill="text2" w:themeFillTint="1A"/>
          </w:tcPr>
          <w:p w14:paraId="65DA7ADA" w14:textId="77777777" w:rsidR="00681163" w:rsidRPr="00955947" w:rsidRDefault="00681163" w:rsidP="00AD54D0">
            <w:pPr>
              <w:jc w:val="center"/>
              <w:rPr>
                <w:rFonts w:ascii="Calibri" w:hAnsi="Calibri" w:cs="Calibri"/>
                <w:sz w:val="22"/>
                <w:szCs w:val="22"/>
                <w:lang w:val="es-AR"/>
              </w:rPr>
            </w:pPr>
            <w:r w:rsidRPr="00955947">
              <w:rPr>
                <w:rFonts w:ascii="Calibri" w:hAnsi="Calibri" w:cs="Calibri"/>
                <w:sz w:val="22"/>
                <w:szCs w:val="22"/>
                <w:lang w:val="es-AR"/>
              </w:rPr>
              <w:t>Monto incierto</w:t>
            </w:r>
          </w:p>
        </w:tc>
      </w:tr>
      <w:tr w:rsidR="00681163" w:rsidRPr="00955947" w14:paraId="67286D52" w14:textId="77777777" w:rsidTr="00AD54D0">
        <w:tc>
          <w:tcPr>
            <w:tcW w:w="3116" w:type="dxa"/>
            <w:shd w:val="clear" w:color="auto" w:fill="DAE9F7" w:themeFill="text2" w:themeFillTint="1A"/>
          </w:tcPr>
          <w:p w14:paraId="0B553361" w14:textId="77777777" w:rsidR="00681163" w:rsidRPr="00955947" w:rsidRDefault="00681163" w:rsidP="00AD54D0">
            <w:pPr>
              <w:jc w:val="center"/>
              <w:rPr>
                <w:rFonts w:ascii="Calibri" w:hAnsi="Calibri" w:cs="Calibri"/>
                <w:sz w:val="22"/>
                <w:szCs w:val="22"/>
                <w:lang w:val="es-AR"/>
              </w:rPr>
            </w:pPr>
            <w:r w:rsidRPr="00955947">
              <w:rPr>
                <w:rFonts w:ascii="Calibri" w:hAnsi="Calibri" w:cs="Calibri"/>
                <w:sz w:val="22"/>
                <w:szCs w:val="22"/>
                <w:lang w:val="es-AR"/>
              </w:rPr>
              <w:t>Hecho conocido</w:t>
            </w:r>
          </w:p>
        </w:tc>
        <w:tc>
          <w:tcPr>
            <w:tcW w:w="3117" w:type="dxa"/>
          </w:tcPr>
          <w:p w14:paraId="5EA0C330" w14:textId="77777777" w:rsidR="00681163" w:rsidRPr="00955947" w:rsidRDefault="00681163" w:rsidP="00AD54D0">
            <w:pPr>
              <w:jc w:val="center"/>
              <w:rPr>
                <w:rFonts w:ascii="Calibri" w:hAnsi="Calibri" w:cs="Calibri"/>
                <w:sz w:val="22"/>
                <w:szCs w:val="22"/>
                <w:lang w:val="es-AR"/>
              </w:rPr>
            </w:pPr>
            <w:r w:rsidRPr="00955947">
              <w:rPr>
                <w:rFonts w:ascii="Calibri" w:hAnsi="Calibri" w:cs="Calibri"/>
                <w:sz w:val="22"/>
                <w:szCs w:val="22"/>
                <w:lang w:val="es-AR"/>
              </w:rPr>
              <w:t>Deuda</w:t>
            </w:r>
          </w:p>
        </w:tc>
        <w:tc>
          <w:tcPr>
            <w:tcW w:w="3117" w:type="dxa"/>
          </w:tcPr>
          <w:p w14:paraId="586CF60E" w14:textId="77777777" w:rsidR="00681163" w:rsidRPr="00955947" w:rsidRDefault="00681163" w:rsidP="00AD54D0">
            <w:pPr>
              <w:jc w:val="center"/>
              <w:rPr>
                <w:rFonts w:ascii="Calibri" w:hAnsi="Calibri" w:cs="Calibri"/>
                <w:sz w:val="22"/>
                <w:szCs w:val="22"/>
                <w:lang w:val="es-AR"/>
              </w:rPr>
            </w:pPr>
            <w:r w:rsidRPr="00955947">
              <w:rPr>
                <w:rFonts w:ascii="Calibri" w:hAnsi="Calibri" w:cs="Calibri"/>
                <w:sz w:val="22"/>
                <w:szCs w:val="22"/>
                <w:lang w:val="es-AR"/>
              </w:rPr>
              <w:t>Provisión</w:t>
            </w:r>
          </w:p>
        </w:tc>
      </w:tr>
    </w:tbl>
    <w:p w14:paraId="36EAE59B" w14:textId="77777777" w:rsidR="00D95087" w:rsidRPr="00955947" w:rsidRDefault="00D95087" w:rsidP="00D95087">
      <w:pPr>
        <w:rPr>
          <w:rFonts w:ascii="Calibri" w:hAnsi="Calibri" w:cs="Calibri"/>
          <w:sz w:val="22"/>
          <w:szCs w:val="22"/>
        </w:rPr>
      </w:pPr>
    </w:p>
    <w:p w14:paraId="6C772B4C" w14:textId="70156888" w:rsidR="00D95087" w:rsidRPr="0035618F" w:rsidRDefault="00D95087" w:rsidP="00D95087">
      <w:pPr>
        <w:rPr>
          <w:rFonts w:ascii="Calibri" w:hAnsi="Calibri" w:cs="Calibri"/>
          <w:b/>
          <w:bCs/>
          <w:sz w:val="22"/>
          <w:szCs w:val="22"/>
          <w:lang w:val="es-AR"/>
        </w:rPr>
      </w:pPr>
      <w:r w:rsidRPr="0035618F">
        <w:rPr>
          <w:rFonts w:ascii="Calibri" w:hAnsi="Calibri" w:cs="Calibri"/>
          <w:b/>
          <w:bCs/>
          <w:sz w:val="22"/>
          <w:szCs w:val="22"/>
          <w:lang w:val="es-AR"/>
        </w:rPr>
        <w:t xml:space="preserve">¿Cuándo se deberá constituir esta </w:t>
      </w:r>
      <w:r w:rsidR="00300A26" w:rsidRPr="0035618F">
        <w:rPr>
          <w:rFonts w:ascii="Calibri" w:hAnsi="Calibri" w:cs="Calibri"/>
          <w:b/>
          <w:bCs/>
          <w:sz w:val="22"/>
          <w:szCs w:val="22"/>
          <w:lang w:val="es-AR"/>
        </w:rPr>
        <w:t>provisión</w:t>
      </w:r>
      <w:r w:rsidRPr="0035618F">
        <w:rPr>
          <w:rFonts w:ascii="Calibri" w:hAnsi="Calibri" w:cs="Calibri"/>
          <w:b/>
          <w:bCs/>
          <w:sz w:val="22"/>
          <w:szCs w:val="22"/>
          <w:lang w:val="es-AR"/>
        </w:rPr>
        <w:t>?</w:t>
      </w:r>
    </w:p>
    <w:p w14:paraId="638109BF" w14:textId="63CCD190" w:rsidR="00610631" w:rsidRPr="00610631" w:rsidRDefault="00610631" w:rsidP="00610631">
      <w:pPr>
        <w:rPr>
          <w:rFonts w:ascii="Calibri" w:hAnsi="Calibri" w:cs="Calibri"/>
          <w:sz w:val="22"/>
          <w:szCs w:val="22"/>
          <w:lang w:val="es-MX"/>
        </w:rPr>
      </w:pPr>
      <w:r w:rsidRPr="00610631">
        <w:rPr>
          <w:rFonts w:ascii="Calibri" w:hAnsi="Calibri" w:cs="Calibri"/>
          <w:sz w:val="22"/>
          <w:szCs w:val="22"/>
          <w:lang w:val="es-MX"/>
        </w:rPr>
        <w:t>La provisión deberá constituirse cuando exista una obligación presente originada en un hecho ocurrido</w:t>
      </w:r>
      <w:r w:rsidR="00016D79">
        <w:rPr>
          <w:rFonts w:ascii="Calibri" w:hAnsi="Calibri" w:cs="Calibri"/>
          <w:sz w:val="22"/>
          <w:szCs w:val="22"/>
          <w:lang w:val="es-MX"/>
        </w:rPr>
        <w:t xml:space="preserve"> ya sea periódicamente o </w:t>
      </w:r>
      <w:r w:rsidRPr="00610631">
        <w:rPr>
          <w:rFonts w:ascii="Calibri" w:hAnsi="Calibri" w:cs="Calibri"/>
          <w:sz w:val="22"/>
          <w:szCs w:val="22"/>
          <w:lang w:val="es-MX"/>
        </w:rPr>
        <w:t>con anterioridad a la fecha de cierre del ejercicio, siempre que sea probable que la empresa deba efectuar un desembolso para cancelarla y que pueda realizarse una estimación razonable de su importe. Entre los casos en que podría corresponder su constitución se encuentran las multas probables, los honorarios devengados pendientes de facturación o pago y las indemnizaciones estimadas.</w:t>
      </w:r>
    </w:p>
    <w:p w14:paraId="2B7987DD" w14:textId="75F7F2BD" w:rsidR="005E1BED" w:rsidRPr="0035618F" w:rsidRDefault="005E1BED" w:rsidP="005E1BED">
      <w:pPr>
        <w:rPr>
          <w:rFonts w:ascii="Calibri" w:hAnsi="Calibri" w:cs="Calibri"/>
          <w:b/>
          <w:bCs/>
          <w:sz w:val="22"/>
          <w:szCs w:val="22"/>
          <w:lang w:val="es-MX"/>
        </w:rPr>
      </w:pPr>
      <w:r w:rsidRPr="0035618F">
        <w:rPr>
          <w:rFonts w:ascii="Calibri" w:hAnsi="Calibri" w:cs="Calibri"/>
          <w:b/>
          <w:bCs/>
          <w:sz w:val="22"/>
          <w:szCs w:val="22"/>
          <w:lang w:val="es-MX"/>
        </w:rPr>
        <w:t xml:space="preserve">¿Cómo se registra contablemente la </w:t>
      </w:r>
      <w:r w:rsidR="002E58BB" w:rsidRPr="0035618F">
        <w:rPr>
          <w:rFonts w:ascii="Calibri" w:hAnsi="Calibri" w:cs="Calibri"/>
          <w:b/>
          <w:bCs/>
          <w:sz w:val="22"/>
          <w:szCs w:val="22"/>
          <w:lang w:val="es-MX"/>
        </w:rPr>
        <w:t xml:space="preserve">provisión </w:t>
      </w:r>
      <w:r w:rsidR="00877B35">
        <w:rPr>
          <w:rFonts w:ascii="Calibri" w:hAnsi="Calibri" w:cs="Calibri"/>
          <w:b/>
          <w:bCs/>
          <w:sz w:val="22"/>
          <w:szCs w:val="22"/>
          <w:lang w:val="es-MX"/>
        </w:rPr>
        <w:t xml:space="preserve">por </w:t>
      </w:r>
      <w:r w:rsidR="00036DD4">
        <w:rPr>
          <w:rFonts w:ascii="Calibri" w:hAnsi="Calibri" w:cs="Calibri"/>
          <w:b/>
          <w:bCs/>
          <w:sz w:val="22"/>
          <w:szCs w:val="22"/>
          <w:lang w:val="es-MX"/>
        </w:rPr>
        <w:t>g</w:t>
      </w:r>
      <w:r w:rsidR="00877B35">
        <w:rPr>
          <w:rFonts w:ascii="Calibri" w:hAnsi="Calibri" w:cs="Calibri"/>
          <w:b/>
          <w:bCs/>
          <w:sz w:val="22"/>
          <w:szCs w:val="22"/>
          <w:lang w:val="es-MX"/>
        </w:rPr>
        <w:t xml:space="preserve">astos </w:t>
      </w:r>
      <w:r w:rsidR="00036DD4">
        <w:rPr>
          <w:rFonts w:ascii="Calibri" w:hAnsi="Calibri" w:cs="Calibri"/>
          <w:b/>
          <w:bCs/>
          <w:sz w:val="22"/>
          <w:szCs w:val="22"/>
          <w:lang w:val="es-MX"/>
        </w:rPr>
        <w:t>v</w:t>
      </w:r>
      <w:r w:rsidR="00877B35">
        <w:rPr>
          <w:rFonts w:ascii="Calibri" w:hAnsi="Calibri" w:cs="Calibri"/>
          <w:b/>
          <w:bCs/>
          <w:sz w:val="22"/>
          <w:szCs w:val="22"/>
          <w:lang w:val="es-MX"/>
        </w:rPr>
        <w:t>arios</w:t>
      </w:r>
      <w:r w:rsidRPr="0035618F">
        <w:rPr>
          <w:rFonts w:ascii="Calibri" w:hAnsi="Calibri" w:cs="Calibri"/>
          <w:b/>
          <w:bCs/>
          <w:sz w:val="22"/>
          <w:szCs w:val="22"/>
          <w:lang w:val="es-MX"/>
        </w:rPr>
        <w:t>?</w:t>
      </w:r>
    </w:p>
    <w:p w14:paraId="232201F1" w14:textId="77777777" w:rsidR="00425BD6" w:rsidRPr="00425BD6" w:rsidRDefault="00425BD6" w:rsidP="00425BD6">
      <w:pPr>
        <w:rPr>
          <w:rFonts w:ascii="Calibri" w:hAnsi="Calibri" w:cs="Calibri"/>
          <w:sz w:val="22"/>
          <w:szCs w:val="22"/>
          <w:lang w:val="es-MX"/>
        </w:rPr>
      </w:pPr>
      <w:r w:rsidRPr="00425BD6">
        <w:rPr>
          <w:rFonts w:ascii="Calibri" w:hAnsi="Calibri" w:cs="Calibri"/>
          <w:sz w:val="22"/>
          <w:szCs w:val="22"/>
          <w:lang w:val="es-MX"/>
        </w:rPr>
        <w:t xml:space="preserve">La provisión es una cuenta patrimonial del </w:t>
      </w:r>
      <w:r w:rsidRPr="00425BD6">
        <w:rPr>
          <w:rFonts w:ascii="Calibri" w:hAnsi="Calibri" w:cs="Calibri"/>
          <w:b/>
          <w:bCs/>
          <w:sz w:val="22"/>
          <w:szCs w:val="22"/>
          <w:lang w:val="es-MX"/>
        </w:rPr>
        <w:t>pasivo</w:t>
      </w:r>
      <w:r w:rsidRPr="00425BD6">
        <w:rPr>
          <w:rFonts w:ascii="Calibri" w:hAnsi="Calibri" w:cs="Calibri"/>
          <w:sz w:val="22"/>
          <w:szCs w:val="22"/>
          <w:lang w:val="es-MX"/>
        </w:rPr>
        <w:t xml:space="preserve"> que se expone en el Estado de Situación Patrimonial.</w:t>
      </w:r>
    </w:p>
    <w:p w14:paraId="6AB12FD3" w14:textId="77777777" w:rsidR="00425BD6" w:rsidRPr="00425BD6" w:rsidRDefault="00425BD6" w:rsidP="00425BD6">
      <w:pPr>
        <w:rPr>
          <w:rFonts w:ascii="Calibri" w:hAnsi="Calibri" w:cs="Calibri"/>
          <w:sz w:val="22"/>
          <w:szCs w:val="22"/>
          <w:lang w:val="es-MX"/>
        </w:rPr>
      </w:pPr>
      <w:r w:rsidRPr="00425BD6">
        <w:rPr>
          <w:rFonts w:ascii="Calibri" w:hAnsi="Calibri" w:cs="Calibri"/>
          <w:sz w:val="22"/>
          <w:szCs w:val="22"/>
          <w:lang w:val="es-MX"/>
        </w:rPr>
        <w:t xml:space="preserve">Al momento de su </w:t>
      </w:r>
      <w:r w:rsidRPr="00425BD6">
        <w:rPr>
          <w:rFonts w:ascii="Calibri" w:hAnsi="Calibri" w:cs="Calibri"/>
          <w:b/>
          <w:bCs/>
          <w:sz w:val="22"/>
          <w:szCs w:val="22"/>
          <w:lang w:val="es-MX"/>
        </w:rPr>
        <w:t>constitución</w:t>
      </w:r>
      <w:r w:rsidRPr="00425BD6">
        <w:rPr>
          <w:rFonts w:ascii="Calibri" w:hAnsi="Calibri" w:cs="Calibri"/>
          <w:sz w:val="22"/>
          <w:szCs w:val="22"/>
          <w:lang w:val="es-MX"/>
        </w:rPr>
        <w:t>, se acredita la cuenta de provisión correspondiente y se debita una cuenta de resultados negativos, reconociendo el gasto o pérdida estimada asociada a la obligación.</w:t>
      </w:r>
    </w:p>
    <w:p w14:paraId="2A84911D" w14:textId="77777777" w:rsidR="00425BD6" w:rsidRPr="00425BD6" w:rsidRDefault="00425BD6" w:rsidP="00425BD6">
      <w:pPr>
        <w:rPr>
          <w:rFonts w:ascii="Calibri" w:hAnsi="Calibri" w:cs="Calibri"/>
          <w:sz w:val="22"/>
          <w:szCs w:val="22"/>
          <w:lang w:val="es-MX"/>
        </w:rPr>
      </w:pPr>
      <w:r w:rsidRPr="00425BD6">
        <w:rPr>
          <w:rFonts w:ascii="Calibri" w:hAnsi="Calibri" w:cs="Calibri"/>
          <w:sz w:val="22"/>
          <w:szCs w:val="22"/>
          <w:lang w:val="es-MX"/>
        </w:rPr>
        <w:t>Posteriormente, pueden producirse dos situaciones:</w:t>
      </w:r>
    </w:p>
    <w:p w14:paraId="3ABFC8BF" w14:textId="77777777" w:rsidR="00425BD6" w:rsidRPr="00425BD6" w:rsidRDefault="00425BD6" w:rsidP="00425BD6">
      <w:pPr>
        <w:numPr>
          <w:ilvl w:val="0"/>
          <w:numId w:val="6"/>
        </w:numPr>
        <w:rPr>
          <w:rFonts w:ascii="Calibri" w:hAnsi="Calibri" w:cs="Calibri"/>
          <w:sz w:val="22"/>
          <w:szCs w:val="22"/>
          <w:lang w:val="es-MX"/>
        </w:rPr>
      </w:pPr>
      <w:r w:rsidRPr="00425BD6">
        <w:rPr>
          <w:rFonts w:ascii="Calibri" w:hAnsi="Calibri" w:cs="Calibri"/>
          <w:b/>
          <w:bCs/>
          <w:sz w:val="22"/>
          <w:szCs w:val="22"/>
          <w:lang w:val="es-MX"/>
        </w:rPr>
        <w:t>Reversión o desafectación de la provisión:</w:t>
      </w:r>
      <w:r w:rsidRPr="00425BD6">
        <w:rPr>
          <w:rFonts w:ascii="Calibri" w:hAnsi="Calibri" w:cs="Calibri"/>
          <w:sz w:val="22"/>
          <w:szCs w:val="22"/>
          <w:lang w:val="es-MX"/>
        </w:rPr>
        <w:t xml:space="preserve"> si al cierre del ejercicio se determina que la obligación estimada es menor que la prevista o que ya no existe, se disminuye el saldo de la provisión y se reconoce un resultado positivo por el importe revertido.</w:t>
      </w:r>
    </w:p>
    <w:p w14:paraId="6A851E9A" w14:textId="77777777" w:rsidR="00425BD6" w:rsidRPr="00425BD6" w:rsidRDefault="00425BD6" w:rsidP="00425BD6">
      <w:pPr>
        <w:numPr>
          <w:ilvl w:val="0"/>
          <w:numId w:val="6"/>
        </w:numPr>
        <w:rPr>
          <w:rFonts w:ascii="Calibri" w:hAnsi="Calibri" w:cs="Calibri"/>
          <w:sz w:val="22"/>
          <w:szCs w:val="22"/>
          <w:lang w:val="es-MX"/>
        </w:rPr>
      </w:pPr>
      <w:r w:rsidRPr="00425BD6">
        <w:rPr>
          <w:rFonts w:ascii="Calibri" w:hAnsi="Calibri" w:cs="Calibri"/>
          <w:b/>
          <w:bCs/>
          <w:sz w:val="22"/>
          <w:szCs w:val="22"/>
          <w:lang w:val="es-MX"/>
        </w:rPr>
        <w:t>Aplicación de la provisión:</w:t>
      </w:r>
      <w:r w:rsidRPr="00425BD6">
        <w:rPr>
          <w:rFonts w:ascii="Calibri" w:hAnsi="Calibri" w:cs="Calibri"/>
          <w:sz w:val="22"/>
          <w:szCs w:val="22"/>
          <w:lang w:val="es-MX"/>
        </w:rPr>
        <w:t xml:space="preserve"> ocurre cuando se concreta la obligación que motivó su constitución. En ese caso, la provisión se utiliza para cancelar total o parcialmente el pasivo mediante su pago o reconocimiento definitivo. Dado que el gasto ya fue reconocido al constituirse la provisión, esta aplicación no genera un nuevo resultado, salvo por eventuales diferencias entre el importe estimado y el efectivamente cancelado.</w:t>
      </w:r>
    </w:p>
    <w:p w14:paraId="53C79E21" w14:textId="77777777" w:rsidR="0035618F" w:rsidRPr="00C9414B" w:rsidRDefault="0035618F" w:rsidP="0035618F">
      <w:pPr>
        <w:rPr>
          <w:rFonts w:ascii="Calibri" w:hAnsi="Calibri" w:cs="Calibri"/>
          <w:sz w:val="22"/>
          <w:szCs w:val="22"/>
          <w:lang w:val="es-MX"/>
        </w:rPr>
      </w:pPr>
      <w:r w:rsidRPr="00C9414B">
        <w:rPr>
          <w:rFonts w:ascii="Calibri" w:hAnsi="Calibri" w:cs="Calibri"/>
          <w:sz w:val="22"/>
          <w:szCs w:val="22"/>
          <w:lang w:val="es-MX"/>
        </w:rPr>
        <w:t>A continuación, se presentan los asientos contables correspondientes a cada una de estas situaciones:</w:t>
      </w:r>
    </w:p>
    <w:p w14:paraId="2C0A3E7E" w14:textId="7F9E5950" w:rsidR="0035618F" w:rsidRDefault="0035618F" w:rsidP="0035618F">
      <w:pPr>
        <w:rPr>
          <w:rFonts w:ascii="Calibri" w:hAnsi="Calibri" w:cs="Calibri"/>
          <w:b/>
          <w:bCs/>
          <w:sz w:val="22"/>
          <w:szCs w:val="22"/>
          <w:lang w:val="es-MX"/>
        </w:rPr>
      </w:pPr>
      <w:r w:rsidRPr="00C9414B">
        <w:rPr>
          <w:rFonts w:ascii="Calibri" w:hAnsi="Calibri" w:cs="Calibri"/>
          <w:b/>
          <w:bCs/>
          <w:sz w:val="22"/>
          <w:szCs w:val="22"/>
          <w:lang w:val="es-MX"/>
        </w:rPr>
        <w:t>Constitución:</w:t>
      </w:r>
    </w:p>
    <w:p w14:paraId="2B93206E" w14:textId="6802156B" w:rsidR="00485799" w:rsidRPr="00C9414B" w:rsidRDefault="00586CF4" w:rsidP="0035618F">
      <w:pPr>
        <w:rPr>
          <w:rFonts w:ascii="Calibri" w:hAnsi="Calibri" w:cs="Calibri"/>
          <w:b/>
          <w:bCs/>
          <w:sz w:val="22"/>
          <w:szCs w:val="22"/>
          <w:lang w:val="es-MX"/>
        </w:rPr>
      </w:pPr>
      <w:r w:rsidRPr="00586CF4">
        <w:rPr>
          <w:rFonts w:ascii="Calibri" w:hAnsi="Calibri" w:cs="Calibri"/>
          <w:b/>
          <w:bCs/>
          <w:noProof/>
          <w:sz w:val="22"/>
          <w:szCs w:val="22"/>
          <w:lang w:val="es-MX"/>
        </w:rPr>
        <w:lastRenderedPageBreak/>
        <w:drawing>
          <wp:inline distT="0" distB="0" distL="0" distR="0" wp14:anchorId="6042C078" wp14:editId="7BDEA131">
            <wp:extent cx="4858428" cy="695422"/>
            <wp:effectExtent l="0" t="0" r="0" b="9525"/>
            <wp:docPr id="82387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74236" name=""/>
                    <pic:cNvPicPr/>
                  </pic:nvPicPr>
                  <pic:blipFill>
                    <a:blip r:embed="rId5"/>
                    <a:stretch>
                      <a:fillRect/>
                    </a:stretch>
                  </pic:blipFill>
                  <pic:spPr>
                    <a:xfrm>
                      <a:off x="0" y="0"/>
                      <a:ext cx="4858428" cy="695422"/>
                    </a:xfrm>
                    <a:prstGeom prst="rect">
                      <a:avLst/>
                    </a:prstGeom>
                  </pic:spPr>
                </pic:pic>
              </a:graphicData>
            </a:graphic>
          </wp:inline>
        </w:drawing>
      </w:r>
    </w:p>
    <w:p w14:paraId="586AC702" w14:textId="43B11E70" w:rsidR="0035618F" w:rsidRDefault="0035618F" w:rsidP="0035618F">
      <w:pPr>
        <w:rPr>
          <w:rFonts w:ascii="Calibri" w:hAnsi="Calibri" w:cs="Calibri"/>
          <w:b/>
          <w:bCs/>
          <w:sz w:val="22"/>
          <w:szCs w:val="22"/>
          <w:lang w:val="es-MX"/>
        </w:rPr>
      </w:pPr>
      <w:r w:rsidRPr="00C9414B">
        <w:rPr>
          <w:rFonts w:ascii="Calibri" w:hAnsi="Calibri" w:cs="Calibri"/>
          <w:b/>
          <w:bCs/>
          <w:sz w:val="22"/>
          <w:szCs w:val="22"/>
          <w:lang w:val="es-MX"/>
        </w:rPr>
        <w:t>Recupero:</w:t>
      </w:r>
    </w:p>
    <w:p w14:paraId="287EB079" w14:textId="32FC9B3D" w:rsidR="00C659CA" w:rsidRPr="00586CF4" w:rsidRDefault="00586CF4" w:rsidP="0035618F">
      <w:pPr>
        <w:rPr>
          <w:rFonts w:ascii="Calibri" w:hAnsi="Calibri" w:cs="Calibri"/>
          <w:b/>
          <w:bCs/>
          <w:sz w:val="22"/>
          <w:szCs w:val="22"/>
          <w:lang w:val="es-MX"/>
        </w:rPr>
      </w:pPr>
      <w:r w:rsidRPr="00586CF4">
        <w:rPr>
          <w:rFonts w:ascii="Calibri" w:hAnsi="Calibri" w:cs="Calibri"/>
          <w:b/>
          <w:bCs/>
          <w:noProof/>
          <w:sz w:val="22"/>
          <w:szCs w:val="22"/>
          <w:lang w:val="es-MX"/>
        </w:rPr>
        <w:drawing>
          <wp:inline distT="0" distB="0" distL="0" distR="0" wp14:anchorId="2AE5D750" wp14:editId="4E81E384">
            <wp:extent cx="4934639" cy="685896"/>
            <wp:effectExtent l="0" t="0" r="0" b="0"/>
            <wp:docPr id="28671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3481" name=""/>
                    <pic:cNvPicPr/>
                  </pic:nvPicPr>
                  <pic:blipFill>
                    <a:blip r:embed="rId6"/>
                    <a:stretch>
                      <a:fillRect/>
                    </a:stretch>
                  </pic:blipFill>
                  <pic:spPr>
                    <a:xfrm>
                      <a:off x="0" y="0"/>
                      <a:ext cx="4934639" cy="685896"/>
                    </a:xfrm>
                    <a:prstGeom prst="rect">
                      <a:avLst/>
                    </a:prstGeom>
                  </pic:spPr>
                </pic:pic>
              </a:graphicData>
            </a:graphic>
          </wp:inline>
        </w:drawing>
      </w:r>
    </w:p>
    <w:p w14:paraId="5525000D" w14:textId="0AFD9D1F" w:rsidR="0035618F" w:rsidRPr="00C9414B" w:rsidRDefault="0035618F" w:rsidP="0035618F">
      <w:pPr>
        <w:rPr>
          <w:rFonts w:ascii="Calibri" w:hAnsi="Calibri" w:cs="Calibri"/>
          <w:b/>
          <w:bCs/>
          <w:sz w:val="22"/>
          <w:szCs w:val="22"/>
          <w:lang w:val="es-MX"/>
        </w:rPr>
      </w:pPr>
      <w:r w:rsidRPr="00C9414B">
        <w:rPr>
          <w:rFonts w:ascii="Calibri" w:hAnsi="Calibri" w:cs="Calibri"/>
          <w:b/>
          <w:bCs/>
          <w:sz w:val="22"/>
          <w:szCs w:val="22"/>
          <w:lang w:val="es-MX"/>
        </w:rPr>
        <w:t>Aplicación:</w:t>
      </w:r>
    </w:p>
    <w:p w14:paraId="4E86AE96" w14:textId="1C7DFAD7" w:rsidR="0035618F" w:rsidRPr="00586CF4" w:rsidRDefault="00586CF4" w:rsidP="0035618F">
      <w:pPr>
        <w:rPr>
          <w:rFonts w:ascii="Calibri" w:hAnsi="Calibri" w:cs="Calibri"/>
          <w:sz w:val="22"/>
          <w:szCs w:val="22"/>
          <w:lang w:val="es-MX"/>
        </w:rPr>
      </w:pPr>
      <w:r w:rsidRPr="00586CF4">
        <w:rPr>
          <w:rFonts w:ascii="Calibri" w:hAnsi="Calibri" w:cs="Calibri"/>
          <w:noProof/>
          <w:sz w:val="22"/>
          <w:szCs w:val="22"/>
          <w:lang w:val="es-MX"/>
        </w:rPr>
        <w:drawing>
          <wp:inline distT="0" distB="0" distL="0" distR="0" wp14:anchorId="61A7427F" wp14:editId="68AEFF1D">
            <wp:extent cx="4896533" cy="628738"/>
            <wp:effectExtent l="0" t="0" r="0" b="0"/>
            <wp:docPr id="133288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88373" name=""/>
                    <pic:cNvPicPr/>
                  </pic:nvPicPr>
                  <pic:blipFill>
                    <a:blip r:embed="rId7"/>
                    <a:stretch>
                      <a:fillRect/>
                    </a:stretch>
                  </pic:blipFill>
                  <pic:spPr>
                    <a:xfrm>
                      <a:off x="0" y="0"/>
                      <a:ext cx="4896533" cy="628738"/>
                    </a:xfrm>
                    <a:prstGeom prst="rect">
                      <a:avLst/>
                    </a:prstGeom>
                  </pic:spPr>
                </pic:pic>
              </a:graphicData>
            </a:graphic>
          </wp:inline>
        </w:drawing>
      </w:r>
    </w:p>
    <w:p w14:paraId="34F0EE63" w14:textId="77777777" w:rsidR="0035618F" w:rsidRDefault="0035618F" w:rsidP="0017605C">
      <w:pPr>
        <w:rPr>
          <w:rFonts w:ascii="Calibri" w:hAnsi="Calibri" w:cs="Calibri"/>
          <w:sz w:val="22"/>
          <w:szCs w:val="22"/>
          <w:lang w:val="es-MX"/>
        </w:rPr>
      </w:pPr>
    </w:p>
    <w:p w14:paraId="48DE4A45" w14:textId="402D4031" w:rsidR="0017605C" w:rsidRPr="002656F6" w:rsidRDefault="0017605C" w:rsidP="0017605C">
      <w:pPr>
        <w:rPr>
          <w:rFonts w:ascii="Calibri" w:hAnsi="Calibri" w:cs="Calibri"/>
          <w:b/>
          <w:bCs/>
          <w:sz w:val="22"/>
          <w:szCs w:val="22"/>
          <w:lang w:val="es-MX"/>
        </w:rPr>
      </w:pPr>
      <w:r w:rsidRPr="002656F6">
        <w:rPr>
          <w:rFonts w:ascii="Calibri" w:hAnsi="Calibri" w:cs="Calibri"/>
          <w:b/>
          <w:bCs/>
          <w:sz w:val="22"/>
          <w:szCs w:val="22"/>
          <w:lang w:val="es-MX"/>
        </w:rPr>
        <w:t xml:space="preserve">A los efectos de la determinación del Impuesto a las Ganancias ¿Está permitido deducir las sumas correspondientes a las </w:t>
      </w:r>
      <w:r w:rsidR="001644D8" w:rsidRPr="002656F6">
        <w:rPr>
          <w:rFonts w:ascii="Calibri" w:hAnsi="Calibri" w:cs="Calibri"/>
          <w:b/>
          <w:bCs/>
          <w:sz w:val="22"/>
          <w:szCs w:val="22"/>
          <w:lang w:val="es-MX"/>
        </w:rPr>
        <w:t xml:space="preserve">provisiones por </w:t>
      </w:r>
      <w:r w:rsidR="00A26A98">
        <w:rPr>
          <w:rFonts w:ascii="Calibri" w:hAnsi="Calibri" w:cs="Calibri"/>
          <w:b/>
          <w:bCs/>
          <w:sz w:val="22"/>
          <w:szCs w:val="22"/>
          <w:lang w:val="es-MX"/>
        </w:rPr>
        <w:t>gastos varios</w:t>
      </w:r>
      <w:r w:rsidRPr="002656F6">
        <w:rPr>
          <w:rFonts w:ascii="Calibri" w:hAnsi="Calibri" w:cs="Calibri"/>
          <w:b/>
          <w:bCs/>
          <w:sz w:val="22"/>
          <w:szCs w:val="22"/>
          <w:lang w:val="es-MX"/>
        </w:rPr>
        <w:t xml:space="preserve">? </w:t>
      </w:r>
    </w:p>
    <w:p w14:paraId="1408E0D8" w14:textId="77777777" w:rsidR="00E86464" w:rsidRPr="00E86464" w:rsidRDefault="00E86464" w:rsidP="00E86464">
      <w:pPr>
        <w:rPr>
          <w:rFonts w:ascii="Calibri" w:hAnsi="Calibri" w:cs="Calibri"/>
          <w:sz w:val="22"/>
          <w:szCs w:val="22"/>
          <w:lang w:val="es-MX"/>
        </w:rPr>
      </w:pPr>
      <w:r w:rsidRPr="00E86464">
        <w:rPr>
          <w:rFonts w:ascii="Calibri" w:hAnsi="Calibri" w:cs="Calibri"/>
          <w:sz w:val="22"/>
          <w:szCs w:val="22"/>
          <w:lang w:val="es-MX"/>
        </w:rPr>
        <w:t>Como regla general, no. Las provisiones no resultan deducibles en el Impuesto a las Ganancias debido a que representan estimaciones contables de gastos u obligaciones futuras y no gastos efectivamente determinados al momento de su constitución.</w:t>
      </w:r>
    </w:p>
    <w:p w14:paraId="33A68906" w14:textId="0F16F1A3" w:rsidR="00E86464" w:rsidRDefault="00E86464" w:rsidP="00E86464">
      <w:pPr>
        <w:rPr>
          <w:rFonts w:ascii="Calibri" w:hAnsi="Calibri" w:cs="Calibri"/>
          <w:i/>
          <w:iCs/>
          <w:sz w:val="22"/>
          <w:szCs w:val="22"/>
          <w:lang w:val="es-MX"/>
        </w:rPr>
      </w:pPr>
      <w:r w:rsidRPr="00E86464">
        <w:rPr>
          <w:rFonts w:ascii="Calibri" w:hAnsi="Calibri" w:cs="Calibri"/>
          <w:sz w:val="22"/>
          <w:szCs w:val="22"/>
          <w:lang w:val="es-MX"/>
        </w:rPr>
        <w:t>En este sentido, el artículo 83 de la Ley del Impuesto a las Ganancias establece que:</w:t>
      </w:r>
      <w:r w:rsidR="003E22DC">
        <w:rPr>
          <w:rFonts w:ascii="Calibri" w:hAnsi="Calibri" w:cs="Calibri"/>
          <w:sz w:val="22"/>
          <w:szCs w:val="22"/>
          <w:lang w:val="es-MX"/>
        </w:rPr>
        <w:t xml:space="preserve"> </w:t>
      </w:r>
      <w:r w:rsidRPr="00E86464">
        <w:rPr>
          <w:rFonts w:ascii="Calibri" w:hAnsi="Calibri" w:cs="Calibri"/>
          <w:i/>
          <w:iCs/>
          <w:sz w:val="22"/>
          <w:szCs w:val="22"/>
          <w:lang w:val="es-MX"/>
        </w:rPr>
        <w:t>“Los gastos cuya deducción admite esta ley, con las restricciones expresas contenidas en ella, son los efectuados para obtener, mantener y conservar las ganancias gravadas por este impuesto...”</w:t>
      </w:r>
    </w:p>
    <w:p w14:paraId="714429E7" w14:textId="75D42928" w:rsidR="00E86464" w:rsidRPr="00E86464" w:rsidRDefault="00E86464" w:rsidP="00E86464">
      <w:pPr>
        <w:rPr>
          <w:rFonts w:ascii="Calibri" w:hAnsi="Calibri" w:cs="Calibri"/>
          <w:sz w:val="22"/>
          <w:szCs w:val="22"/>
          <w:lang w:val="es-MX"/>
        </w:rPr>
      </w:pPr>
      <w:r w:rsidRPr="00E86464">
        <w:rPr>
          <w:rFonts w:ascii="Calibri" w:hAnsi="Calibri" w:cs="Calibri"/>
          <w:sz w:val="22"/>
          <w:szCs w:val="22"/>
          <w:lang w:val="es-MX"/>
        </w:rPr>
        <w:t>En consecuencia, la mera constitución contable de una provisión no habilita, por sí sola, su deducción fiscal. No obstante, en la medida en que responda a gastos ciertos y exigibles, será deducible de la base imponible, por lo que no generará ajuste alguno.</w:t>
      </w:r>
    </w:p>
    <w:p w14:paraId="4FC13727" w14:textId="0F45233D" w:rsidR="006B60DB" w:rsidRPr="00955947" w:rsidRDefault="006B60DB" w:rsidP="0017605C">
      <w:pPr>
        <w:rPr>
          <w:rFonts w:ascii="Calibri" w:hAnsi="Calibri" w:cs="Calibri"/>
          <w:b/>
          <w:bCs/>
          <w:sz w:val="22"/>
          <w:szCs w:val="22"/>
          <w:lang w:val="es-MX"/>
        </w:rPr>
      </w:pPr>
      <w:r w:rsidRPr="00955947">
        <w:rPr>
          <w:rFonts w:ascii="Calibri" w:hAnsi="Calibri" w:cs="Calibri"/>
          <w:b/>
          <w:bCs/>
          <w:sz w:val="22"/>
          <w:szCs w:val="22"/>
          <w:lang w:val="es-MX"/>
        </w:rPr>
        <w:t>Situación practica</w:t>
      </w:r>
    </w:p>
    <w:p w14:paraId="06625C41" w14:textId="6017F9A6" w:rsidR="007E777B" w:rsidRPr="00955947" w:rsidRDefault="007E777B" w:rsidP="007E777B">
      <w:pPr>
        <w:rPr>
          <w:rFonts w:ascii="Calibri" w:hAnsi="Calibri" w:cs="Calibri"/>
          <w:sz w:val="22"/>
          <w:szCs w:val="22"/>
          <w:lang w:val="es-AR"/>
        </w:rPr>
      </w:pPr>
      <w:r w:rsidRPr="00955947">
        <w:rPr>
          <w:rFonts w:ascii="Calibri" w:hAnsi="Calibri" w:cs="Calibri"/>
          <w:sz w:val="22"/>
          <w:szCs w:val="22"/>
          <w:lang w:val="es-AR"/>
        </w:rPr>
        <w:t xml:space="preserve">La empresa </w:t>
      </w:r>
      <w:r w:rsidR="006B60DB" w:rsidRPr="00955947">
        <w:rPr>
          <w:rFonts w:ascii="Calibri" w:hAnsi="Calibri" w:cs="Calibri"/>
          <w:b/>
          <w:bCs/>
          <w:sz w:val="22"/>
          <w:szCs w:val="22"/>
          <w:lang w:val="es-AR"/>
        </w:rPr>
        <w:t>ANGELES AZULES S.A.</w:t>
      </w:r>
      <w:r w:rsidRPr="00955947">
        <w:rPr>
          <w:rFonts w:ascii="Calibri" w:hAnsi="Calibri" w:cs="Calibri"/>
          <w:sz w:val="22"/>
          <w:szCs w:val="22"/>
          <w:lang w:val="es-AR"/>
        </w:rPr>
        <w:t xml:space="preserve"> se dedica a la distribución de mercaderías en todo el país.</w:t>
      </w:r>
    </w:p>
    <w:p w14:paraId="0679D97F" w14:textId="77777777" w:rsidR="007E777B" w:rsidRPr="00955947" w:rsidRDefault="007E777B" w:rsidP="007E777B">
      <w:pPr>
        <w:rPr>
          <w:rFonts w:ascii="Calibri" w:hAnsi="Calibri" w:cs="Calibri"/>
          <w:sz w:val="22"/>
          <w:szCs w:val="22"/>
          <w:lang w:val="es-AR"/>
        </w:rPr>
      </w:pPr>
      <w:r w:rsidRPr="00955947">
        <w:rPr>
          <w:rFonts w:ascii="Calibri" w:hAnsi="Calibri" w:cs="Calibri"/>
          <w:sz w:val="22"/>
          <w:szCs w:val="22"/>
          <w:lang w:val="es-AR"/>
        </w:rPr>
        <w:t>Durante el año 2025, la sociedad inició un proceso de reestructuración organizacional que implicó el despido de parte de su personal. Al cierre del ejercicio existen empleados desvinculados con negociaciones indemnizatorias aún no resueltas, por lo que la empresa estima que deberá afrontar pagos adicionales por indemnizaciones.</w:t>
      </w:r>
    </w:p>
    <w:p w14:paraId="0B99933D" w14:textId="77777777" w:rsidR="007E777B" w:rsidRPr="00955947" w:rsidRDefault="007E777B" w:rsidP="007E777B">
      <w:pPr>
        <w:rPr>
          <w:rFonts w:ascii="Calibri" w:hAnsi="Calibri" w:cs="Calibri"/>
          <w:sz w:val="22"/>
          <w:szCs w:val="22"/>
          <w:lang w:val="es-AR"/>
        </w:rPr>
      </w:pPr>
      <w:r w:rsidRPr="00955947">
        <w:rPr>
          <w:rFonts w:ascii="Calibri" w:hAnsi="Calibri" w:cs="Calibri"/>
          <w:sz w:val="22"/>
          <w:szCs w:val="22"/>
          <w:lang w:val="es-AR"/>
        </w:rPr>
        <w:t>A fin de reflejar esta contingencia, la compañía constituye una provisión para indemnizaciones pendientes, calculada sobre la base de estimaciones efectuadas por su departamento legal y de recursos humanos.</w:t>
      </w:r>
    </w:p>
    <w:p w14:paraId="1DB2442F" w14:textId="057B7BB9" w:rsidR="007E777B" w:rsidRPr="00955947" w:rsidRDefault="007E777B" w:rsidP="007E777B">
      <w:pPr>
        <w:rPr>
          <w:rFonts w:ascii="Calibri" w:hAnsi="Calibri" w:cs="Calibri"/>
          <w:sz w:val="22"/>
          <w:szCs w:val="22"/>
          <w:lang w:val="es-AR"/>
        </w:rPr>
      </w:pPr>
      <w:r w:rsidRPr="00955947">
        <w:rPr>
          <w:rFonts w:ascii="Calibri" w:hAnsi="Calibri" w:cs="Calibri"/>
          <w:sz w:val="22"/>
          <w:szCs w:val="22"/>
          <w:lang w:val="es-AR"/>
        </w:rPr>
        <w:lastRenderedPageBreak/>
        <w:t>Durante el período fiscal 2025 se imputó a resultados un total de $</w:t>
      </w:r>
      <w:r w:rsidR="006029E5">
        <w:rPr>
          <w:rFonts w:ascii="Calibri" w:hAnsi="Calibri" w:cs="Calibri"/>
          <w:sz w:val="22"/>
          <w:szCs w:val="22"/>
          <w:lang w:val="es-AR"/>
        </w:rPr>
        <w:t>20</w:t>
      </w:r>
      <w:r w:rsidRPr="00955947">
        <w:rPr>
          <w:rFonts w:ascii="Calibri" w:hAnsi="Calibri" w:cs="Calibri"/>
          <w:sz w:val="22"/>
          <w:szCs w:val="22"/>
          <w:lang w:val="es-AR"/>
        </w:rPr>
        <w:t>.000.000 en concepto de provisión para indemnizaciones pendientes.</w:t>
      </w:r>
    </w:p>
    <w:p w14:paraId="09FDADC4" w14:textId="00A796C9" w:rsidR="007E777B" w:rsidRPr="00955947" w:rsidRDefault="007E777B" w:rsidP="007E777B">
      <w:pPr>
        <w:rPr>
          <w:rFonts w:ascii="Calibri" w:hAnsi="Calibri" w:cs="Calibri"/>
          <w:sz w:val="22"/>
          <w:szCs w:val="22"/>
          <w:lang w:val="es-AR"/>
        </w:rPr>
      </w:pPr>
      <w:r w:rsidRPr="00955947">
        <w:rPr>
          <w:rFonts w:ascii="Calibri" w:hAnsi="Calibri" w:cs="Calibri"/>
          <w:sz w:val="22"/>
          <w:szCs w:val="22"/>
          <w:lang w:val="es-AR"/>
        </w:rPr>
        <w:t>Asimismo, durante el ejercicio se acordaron y abonaron efectivamente indemnizaciones por $</w:t>
      </w:r>
      <w:r w:rsidR="00E621FF">
        <w:rPr>
          <w:rFonts w:ascii="Calibri" w:hAnsi="Calibri" w:cs="Calibri"/>
          <w:sz w:val="22"/>
          <w:szCs w:val="22"/>
          <w:lang w:val="es-AR"/>
        </w:rPr>
        <w:t>15</w:t>
      </w:r>
      <w:r w:rsidRPr="00955947">
        <w:rPr>
          <w:rFonts w:ascii="Calibri" w:hAnsi="Calibri" w:cs="Calibri"/>
          <w:sz w:val="22"/>
          <w:szCs w:val="22"/>
          <w:lang w:val="es-AR"/>
        </w:rPr>
        <w:t>.000.000.</w:t>
      </w:r>
    </w:p>
    <w:p w14:paraId="39AC1581" w14:textId="77777777" w:rsidR="006B60DB" w:rsidRPr="00955947" w:rsidRDefault="007E777B" w:rsidP="007E777B">
      <w:pPr>
        <w:rPr>
          <w:rFonts w:ascii="Calibri" w:hAnsi="Calibri" w:cs="Calibri"/>
          <w:sz w:val="22"/>
          <w:szCs w:val="22"/>
          <w:lang w:val="es-AR"/>
        </w:rPr>
      </w:pPr>
      <w:r w:rsidRPr="00955947">
        <w:rPr>
          <w:rFonts w:ascii="Calibri" w:hAnsi="Calibri" w:cs="Calibri"/>
          <w:sz w:val="22"/>
          <w:szCs w:val="22"/>
          <w:lang w:val="es-AR"/>
        </w:rPr>
        <w:t>Otros datos</w:t>
      </w:r>
    </w:p>
    <w:p w14:paraId="24B8FCFC" w14:textId="110F8E7A" w:rsidR="007E777B" w:rsidRPr="00E621FF" w:rsidRDefault="007E777B" w:rsidP="00E621FF">
      <w:pPr>
        <w:pStyle w:val="ListParagraph"/>
        <w:numPr>
          <w:ilvl w:val="0"/>
          <w:numId w:val="4"/>
        </w:numPr>
        <w:rPr>
          <w:rFonts w:ascii="Calibri" w:hAnsi="Calibri" w:cs="Calibri"/>
          <w:sz w:val="22"/>
          <w:szCs w:val="22"/>
          <w:lang w:val="es-AR"/>
        </w:rPr>
      </w:pPr>
      <w:r w:rsidRPr="00E621FF">
        <w:rPr>
          <w:rFonts w:ascii="Calibri" w:hAnsi="Calibri" w:cs="Calibri"/>
          <w:sz w:val="22"/>
          <w:szCs w:val="22"/>
          <w:lang w:val="es-AR"/>
        </w:rPr>
        <w:t>La provisión se encuentra registrada en la cuenta #202040 – Provisión para Indemnizaciones Pendientes.</w:t>
      </w:r>
      <w:r w:rsidR="006B60DB" w:rsidRPr="00E621FF">
        <w:rPr>
          <w:rFonts w:ascii="Calibri" w:hAnsi="Calibri" w:cs="Calibri"/>
          <w:sz w:val="22"/>
          <w:szCs w:val="22"/>
          <w:lang w:val="es-AR"/>
        </w:rPr>
        <w:t xml:space="preserve"> </w:t>
      </w:r>
    </w:p>
    <w:p w14:paraId="67CE2197" w14:textId="11DE9C40" w:rsidR="007E777B" w:rsidRPr="00E621FF" w:rsidRDefault="007E777B" w:rsidP="00E621FF">
      <w:pPr>
        <w:pStyle w:val="ListParagraph"/>
        <w:numPr>
          <w:ilvl w:val="0"/>
          <w:numId w:val="4"/>
        </w:numPr>
        <w:rPr>
          <w:rFonts w:ascii="Calibri" w:hAnsi="Calibri" w:cs="Calibri"/>
          <w:sz w:val="22"/>
          <w:szCs w:val="22"/>
          <w:lang w:val="es-AR"/>
        </w:rPr>
      </w:pPr>
      <w:r w:rsidRPr="00E621FF">
        <w:rPr>
          <w:rFonts w:ascii="Calibri" w:hAnsi="Calibri" w:cs="Calibri"/>
          <w:sz w:val="22"/>
          <w:szCs w:val="22"/>
          <w:lang w:val="es-AR"/>
        </w:rPr>
        <w:t>El saldo de dicha cuenta al 31/12/2024 ascendía a $3.000.000, importe considerado como saldo final en la Declaración Jurada del Impuesto a las Ganancias del período fiscal 2024.</w:t>
      </w:r>
    </w:p>
    <w:p w14:paraId="69EB9A16" w14:textId="16215A5E" w:rsidR="007E777B" w:rsidRPr="00E621FF" w:rsidRDefault="007E777B" w:rsidP="00E621FF">
      <w:pPr>
        <w:pStyle w:val="ListParagraph"/>
        <w:numPr>
          <w:ilvl w:val="0"/>
          <w:numId w:val="4"/>
        </w:numPr>
        <w:rPr>
          <w:rFonts w:ascii="Calibri" w:hAnsi="Calibri" w:cs="Calibri"/>
          <w:sz w:val="22"/>
          <w:szCs w:val="22"/>
          <w:lang w:val="es-AR"/>
        </w:rPr>
      </w:pPr>
      <w:r w:rsidRPr="00E621FF">
        <w:rPr>
          <w:rFonts w:ascii="Calibri" w:hAnsi="Calibri" w:cs="Calibri"/>
          <w:sz w:val="22"/>
          <w:szCs w:val="22"/>
          <w:lang w:val="es-AR"/>
        </w:rPr>
        <w:t>El saldo de la cuenta al 31/12/2025 asciende a $</w:t>
      </w:r>
      <w:r w:rsidR="00241778">
        <w:rPr>
          <w:rFonts w:ascii="Calibri" w:hAnsi="Calibri" w:cs="Calibri"/>
          <w:sz w:val="22"/>
          <w:szCs w:val="22"/>
          <w:lang w:val="es-AR"/>
        </w:rPr>
        <w:t>8</w:t>
      </w:r>
      <w:r w:rsidRPr="00E621FF">
        <w:rPr>
          <w:rFonts w:ascii="Calibri" w:hAnsi="Calibri" w:cs="Calibri"/>
          <w:sz w:val="22"/>
          <w:szCs w:val="22"/>
          <w:lang w:val="es-AR"/>
        </w:rPr>
        <w:t>.000.000.</w:t>
      </w:r>
    </w:p>
    <w:p w14:paraId="5721CD72" w14:textId="30C0E5A1" w:rsidR="007E777B" w:rsidRPr="00E621FF" w:rsidRDefault="007E777B" w:rsidP="00E621FF">
      <w:pPr>
        <w:pStyle w:val="ListParagraph"/>
        <w:numPr>
          <w:ilvl w:val="0"/>
          <w:numId w:val="4"/>
        </w:numPr>
        <w:rPr>
          <w:rFonts w:ascii="Calibri" w:hAnsi="Calibri" w:cs="Calibri"/>
          <w:sz w:val="22"/>
          <w:szCs w:val="22"/>
          <w:lang w:val="es-AR"/>
        </w:rPr>
      </w:pPr>
      <w:r w:rsidRPr="00E621FF">
        <w:rPr>
          <w:rFonts w:ascii="Calibri" w:hAnsi="Calibri" w:cs="Calibri"/>
          <w:sz w:val="22"/>
          <w:szCs w:val="22"/>
          <w:lang w:val="es-AR"/>
        </w:rPr>
        <w:t>Los cargos a resultados se registran en la cuenta #404040 – Gastos por Indemnizaciones</w:t>
      </w:r>
      <w:r w:rsidR="00731C36">
        <w:rPr>
          <w:rFonts w:ascii="Calibri" w:hAnsi="Calibri" w:cs="Calibri"/>
          <w:sz w:val="22"/>
          <w:szCs w:val="22"/>
          <w:lang w:val="es-AR"/>
        </w:rPr>
        <w:t xml:space="preserve"> cuyo saldo al 21/12/2025 asciende a $20.000.000.</w:t>
      </w:r>
    </w:p>
    <w:p w14:paraId="4DB428A0" w14:textId="77777777" w:rsidR="00E60F0C" w:rsidRDefault="00E60F0C" w:rsidP="00E60F0C">
      <w:pPr>
        <w:rPr>
          <w:rFonts w:ascii="Calibri" w:hAnsi="Calibri" w:cs="Calibri"/>
          <w:sz w:val="22"/>
          <w:szCs w:val="22"/>
          <w:lang w:val="es-AR"/>
        </w:rPr>
      </w:pPr>
    </w:p>
    <w:p w14:paraId="36046D95" w14:textId="531F70CF" w:rsidR="00E60F0C" w:rsidRDefault="00E60F0C" w:rsidP="00E60F0C">
      <w:pPr>
        <w:rPr>
          <w:rFonts w:ascii="Calibri" w:hAnsi="Calibri" w:cs="Calibri"/>
          <w:b/>
          <w:bCs/>
          <w:sz w:val="22"/>
          <w:szCs w:val="22"/>
          <w:lang w:val="es-AR"/>
        </w:rPr>
      </w:pPr>
      <w:r w:rsidRPr="00E60F0C">
        <w:rPr>
          <w:rFonts w:ascii="Calibri" w:hAnsi="Calibri" w:cs="Calibri"/>
          <w:b/>
          <w:bCs/>
          <w:sz w:val="22"/>
          <w:szCs w:val="22"/>
          <w:lang w:val="es-AR"/>
        </w:rPr>
        <w:t xml:space="preserve">Resolución:  </w:t>
      </w:r>
    </w:p>
    <w:p w14:paraId="2B107D7B" w14:textId="1D93DCBB" w:rsidR="005103C0" w:rsidRDefault="00F31116" w:rsidP="00E60F0C">
      <w:pPr>
        <w:rPr>
          <w:noProof/>
        </w:rPr>
      </w:pPr>
      <w:r w:rsidRPr="00F31116">
        <w:rPr>
          <w:noProof/>
        </w:rPr>
        <w:drawing>
          <wp:anchor distT="0" distB="0" distL="114300" distR="114300" simplePos="0" relativeHeight="251659264" behindDoc="1" locked="0" layoutInCell="1" allowOverlap="1" wp14:anchorId="4C87B239" wp14:editId="0CCD08B5">
            <wp:simplePos x="0" y="0"/>
            <wp:positionH relativeFrom="column">
              <wp:posOffset>0</wp:posOffset>
            </wp:positionH>
            <wp:positionV relativeFrom="paragraph">
              <wp:posOffset>0</wp:posOffset>
            </wp:positionV>
            <wp:extent cx="5943600" cy="4408805"/>
            <wp:effectExtent l="0" t="0" r="0" b="0"/>
            <wp:wrapNone/>
            <wp:docPr id="62242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28803" name=""/>
                    <pic:cNvPicPr/>
                  </pic:nvPicPr>
                  <pic:blipFill>
                    <a:blip r:embed="rId8"/>
                    <a:stretch>
                      <a:fillRect/>
                    </a:stretch>
                  </pic:blipFill>
                  <pic:spPr>
                    <a:xfrm>
                      <a:off x="0" y="0"/>
                      <a:ext cx="5943600" cy="4408805"/>
                    </a:xfrm>
                    <a:prstGeom prst="rect">
                      <a:avLst/>
                    </a:prstGeom>
                  </pic:spPr>
                </pic:pic>
              </a:graphicData>
            </a:graphic>
          </wp:anchor>
        </w:drawing>
      </w:r>
    </w:p>
    <w:p w14:paraId="2EA6858F" w14:textId="16821654" w:rsidR="00E60F0C" w:rsidRPr="00E60F0C" w:rsidRDefault="00E60F0C" w:rsidP="00E60F0C">
      <w:pPr>
        <w:rPr>
          <w:rFonts w:ascii="Calibri" w:hAnsi="Calibri" w:cs="Calibri"/>
          <w:b/>
          <w:bCs/>
          <w:sz w:val="22"/>
          <w:szCs w:val="22"/>
          <w:lang w:val="es-AR"/>
        </w:rPr>
      </w:pPr>
    </w:p>
    <w:p w14:paraId="43921153" w14:textId="77777777" w:rsidR="00F31116" w:rsidRDefault="00F31116" w:rsidP="005103C0">
      <w:pPr>
        <w:rPr>
          <w:rFonts w:ascii="Calibri" w:hAnsi="Calibri" w:cs="Calibri"/>
          <w:b/>
          <w:bCs/>
          <w:sz w:val="22"/>
          <w:szCs w:val="22"/>
          <w:lang w:val="es-AR"/>
        </w:rPr>
      </w:pPr>
    </w:p>
    <w:p w14:paraId="4715E437" w14:textId="77777777" w:rsidR="00F31116" w:rsidRDefault="00F31116" w:rsidP="005103C0">
      <w:pPr>
        <w:rPr>
          <w:rFonts w:ascii="Calibri" w:hAnsi="Calibri" w:cs="Calibri"/>
          <w:b/>
          <w:bCs/>
          <w:sz w:val="22"/>
          <w:szCs w:val="22"/>
          <w:lang w:val="es-AR"/>
        </w:rPr>
      </w:pPr>
    </w:p>
    <w:p w14:paraId="2614A7DF" w14:textId="77777777" w:rsidR="00F31116" w:rsidRDefault="00F31116" w:rsidP="005103C0">
      <w:pPr>
        <w:rPr>
          <w:rFonts w:ascii="Calibri" w:hAnsi="Calibri" w:cs="Calibri"/>
          <w:b/>
          <w:bCs/>
          <w:sz w:val="22"/>
          <w:szCs w:val="22"/>
          <w:lang w:val="es-AR"/>
        </w:rPr>
      </w:pPr>
    </w:p>
    <w:p w14:paraId="15A5063E" w14:textId="77777777" w:rsidR="00F31116" w:rsidRDefault="00F31116" w:rsidP="005103C0">
      <w:pPr>
        <w:rPr>
          <w:rFonts w:ascii="Calibri" w:hAnsi="Calibri" w:cs="Calibri"/>
          <w:b/>
          <w:bCs/>
          <w:sz w:val="22"/>
          <w:szCs w:val="22"/>
          <w:lang w:val="es-AR"/>
        </w:rPr>
      </w:pPr>
    </w:p>
    <w:p w14:paraId="07081349" w14:textId="77777777" w:rsidR="00F31116" w:rsidRDefault="00F31116" w:rsidP="005103C0">
      <w:pPr>
        <w:rPr>
          <w:rFonts w:ascii="Calibri" w:hAnsi="Calibri" w:cs="Calibri"/>
          <w:b/>
          <w:bCs/>
          <w:sz w:val="22"/>
          <w:szCs w:val="22"/>
          <w:lang w:val="es-AR"/>
        </w:rPr>
      </w:pPr>
    </w:p>
    <w:p w14:paraId="1CC3B109" w14:textId="77777777" w:rsidR="00F31116" w:rsidRDefault="00F31116" w:rsidP="005103C0">
      <w:pPr>
        <w:rPr>
          <w:rFonts w:ascii="Calibri" w:hAnsi="Calibri" w:cs="Calibri"/>
          <w:b/>
          <w:bCs/>
          <w:sz w:val="22"/>
          <w:szCs w:val="22"/>
          <w:lang w:val="es-AR"/>
        </w:rPr>
      </w:pPr>
    </w:p>
    <w:p w14:paraId="26ABE00A" w14:textId="77777777" w:rsidR="00F31116" w:rsidRDefault="00F31116" w:rsidP="005103C0">
      <w:pPr>
        <w:rPr>
          <w:rFonts w:ascii="Calibri" w:hAnsi="Calibri" w:cs="Calibri"/>
          <w:b/>
          <w:bCs/>
          <w:sz w:val="22"/>
          <w:szCs w:val="22"/>
          <w:lang w:val="es-AR"/>
        </w:rPr>
      </w:pPr>
    </w:p>
    <w:p w14:paraId="6E744FF1" w14:textId="77777777" w:rsidR="00F31116" w:rsidRDefault="00F31116" w:rsidP="005103C0">
      <w:pPr>
        <w:rPr>
          <w:rFonts w:ascii="Calibri" w:hAnsi="Calibri" w:cs="Calibri"/>
          <w:b/>
          <w:bCs/>
          <w:sz w:val="22"/>
          <w:szCs w:val="22"/>
          <w:lang w:val="es-AR"/>
        </w:rPr>
      </w:pPr>
    </w:p>
    <w:p w14:paraId="4CE92566" w14:textId="77777777" w:rsidR="00F31116" w:rsidRDefault="00F31116" w:rsidP="005103C0">
      <w:pPr>
        <w:rPr>
          <w:rFonts w:ascii="Calibri" w:hAnsi="Calibri" w:cs="Calibri"/>
          <w:b/>
          <w:bCs/>
          <w:sz w:val="22"/>
          <w:szCs w:val="22"/>
          <w:lang w:val="es-AR"/>
        </w:rPr>
      </w:pPr>
    </w:p>
    <w:p w14:paraId="3E3A5C3A" w14:textId="77777777" w:rsidR="00F31116" w:rsidRDefault="00F31116" w:rsidP="005103C0">
      <w:pPr>
        <w:rPr>
          <w:rFonts w:ascii="Calibri" w:hAnsi="Calibri" w:cs="Calibri"/>
          <w:b/>
          <w:bCs/>
          <w:sz w:val="22"/>
          <w:szCs w:val="22"/>
          <w:lang w:val="es-AR"/>
        </w:rPr>
      </w:pPr>
    </w:p>
    <w:p w14:paraId="3BA18A48" w14:textId="77777777" w:rsidR="00F31116" w:rsidRDefault="00F31116" w:rsidP="005103C0">
      <w:pPr>
        <w:rPr>
          <w:rFonts w:ascii="Calibri" w:hAnsi="Calibri" w:cs="Calibri"/>
          <w:b/>
          <w:bCs/>
          <w:sz w:val="22"/>
          <w:szCs w:val="22"/>
          <w:lang w:val="es-AR"/>
        </w:rPr>
      </w:pPr>
    </w:p>
    <w:p w14:paraId="7DC9EF4A" w14:textId="77777777" w:rsidR="00F31116" w:rsidRDefault="00F31116" w:rsidP="005103C0">
      <w:pPr>
        <w:rPr>
          <w:rFonts w:ascii="Calibri" w:hAnsi="Calibri" w:cs="Calibri"/>
          <w:b/>
          <w:bCs/>
          <w:sz w:val="22"/>
          <w:szCs w:val="22"/>
          <w:lang w:val="es-AR"/>
        </w:rPr>
      </w:pPr>
    </w:p>
    <w:p w14:paraId="31AA0F30" w14:textId="77777777" w:rsidR="00F31116" w:rsidRDefault="00F31116" w:rsidP="005103C0">
      <w:pPr>
        <w:rPr>
          <w:rFonts w:ascii="Calibri" w:hAnsi="Calibri" w:cs="Calibri"/>
          <w:b/>
          <w:bCs/>
          <w:sz w:val="22"/>
          <w:szCs w:val="22"/>
          <w:lang w:val="es-AR"/>
        </w:rPr>
      </w:pPr>
    </w:p>
    <w:p w14:paraId="244481E0" w14:textId="77777777" w:rsidR="00F31116" w:rsidRDefault="00F31116" w:rsidP="005103C0">
      <w:pPr>
        <w:rPr>
          <w:rFonts w:ascii="Calibri" w:hAnsi="Calibri" w:cs="Calibri"/>
          <w:b/>
          <w:bCs/>
          <w:sz w:val="22"/>
          <w:szCs w:val="22"/>
          <w:lang w:val="es-AR"/>
        </w:rPr>
      </w:pPr>
    </w:p>
    <w:p w14:paraId="2A3C1EC4" w14:textId="216BF959" w:rsidR="00F31116" w:rsidRDefault="002F57AF" w:rsidP="005103C0">
      <w:pPr>
        <w:rPr>
          <w:rFonts w:ascii="Calibri" w:hAnsi="Calibri" w:cs="Calibri"/>
          <w:b/>
          <w:bCs/>
          <w:sz w:val="22"/>
          <w:szCs w:val="22"/>
          <w:lang w:val="es-AR"/>
        </w:rPr>
      </w:pPr>
      <w:r w:rsidRPr="002F57AF">
        <w:rPr>
          <w:rFonts w:ascii="Calibri" w:hAnsi="Calibri" w:cs="Calibri"/>
          <w:b/>
          <w:bCs/>
          <w:sz w:val="22"/>
          <w:szCs w:val="22"/>
          <w:lang w:val="es-AR"/>
        </w:rPr>
        <w:lastRenderedPageBreak/>
        <w:drawing>
          <wp:anchor distT="0" distB="0" distL="114300" distR="114300" simplePos="0" relativeHeight="251661312" behindDoc="1" locked="0" layoutInCell="1" allowOverlap="1" wp14:anchorId="46499B81" wp14:editId="10DF8B58">
            <wp:simplePos x="0" y="0"/>
            <wp:positionH relativeFrom="column">
              <wp:posOffset>0</wp:posOffset>
            </wp:positionH>
            <wp:positionV relativeFrom="paragraph">
              <wp:posOffset>0</wp:posOffset>
            </wp:positionV>
            <wp:extent cx="5943600" cy="1294130"/>
            <wp:effectExtent l="0" t="0" r="0" b="1270"/>
            <wp:wrapNone/>
            <wp:docPr id="14404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99619" name=""/>
                    <pic:cNvPicPr/>
                  </pic:nvPicPr>
                  <pic:blipFill>
                    <a:blip r:embed="rId9"/>
                    <a:stretch>
                      <a:fillRect/>
                    </a:stretch>
                  </pic:blipFill>
                  <pic:spPr>
                    <a:xfrm>
                      <a:off x="0" y="0"/>
                      <a:ext cx="5943600" cy="1294130"/>
                    </a:xfrm>
                    <a:prstGeom prst="rect">
                      <a:avLst/>
                    </a:prstGeom>
                  </pic:spPr>
                </pic:pic>
              </a:graphicData>
            </a:graphic>
          </wp:anchor>
        </w:drawing>
      </w:r>
    </w:p>
    <w:p w14:paraId="2A9F4165" w14:textId="77777777" w:rsidR="00F31116" w:rsidRDefault="00F31116" w:rsidP="005103C0">
      <w:pPr>
        <w:rPr>
          <w:rFonts w:ascii="Calibri" w:hAnsi="Calibri" w:cs="Calibri"/>
          <w:b/>
          <w:bCs/>
          <w:sz w:val="22"/>
          <w:szCs w:val="22"/>
          <w:lang w:val="es-AR"/>
        </w:rPr>
      </w:pPr>
    </w:p>
    <w:p w14:paraId="22482446" w14:textId="77777777" w:rsidR="00F31116" w:rsidRDefault="00F31116" w:rsidP="005103C0">
      <w:pPr>
        <w:rPr>
          <w:rFonts w:ascii="Calibri" w:hAnsi="Calibri" w:cs="Calibri"/>
          <w:b/>
          <w:bCs/>
          <w:sz w:val="22"/>
          <w:szCs w:val="22"/>
          <w:lang w:val="es-AR"/>
        </w:rPr>
      </w:pPr>
    </w:p>
    <w:p w14:paraId="6F4A2F0D" w14:textId="77777777" w:rsidR="00F31116" w:rsidRDefault="00F31116" w:rsidP="005103C0">
      <w:pPr>
        <w:rPr>
          <w:rFonts w:ascii="Calibri" w:hAnsi="Calibri" w:cs="Calibri"/>
          <w:b/>
          <w:bCs/>
          <w:sz w:val="22"/>
          <w:szCs w:val="22"/>
          <w:lang w:val="es-AR"/>
        </w:rPr>
      </w:pPr>
    </w:p>
    <w:p w14:paraId="0620BB95" w14:textId="77777777" w:rsidR="00F31116" w:rsidRDefault="00F31116" w:rsidP="005103C0">
      <w:pPr>
        <w:rPr>
          <w:rFonts w:ascii="Calibri" w:hAnsi="Calibri" w:cs="Calibri"/>
          <w:b/>
          <w:bCs/>
          <w:sz w:val="22"/>
          <w:szCs w:val="22"/>
          <w:lang w:val="es-AR"/>
        </w:rPr>
      </w:pPr>
    </w:p>
    <w:p w14:paraId="2FC30F15" w14:textId="5E949B90" w:rsidR="005103C0" w:rsidRPr="00047226" w:rsidRDefault="00C343C4" w:rsidP="005103C0">
      <w:pPr>
        <w:rPr>
          <w:rFonts w:ascii="Calibri" w:hAnsi="Calibri" w:cs="Calibri"/>
          <w:sz w:val="22"/>
          <w:szCs w:val="22"/>
          <w:lang w:val="es-MX"/>
        </w:rPr>
      </w:pPr>
      <w:r w:rsidRPr="009A1D80">
        <w:rPr>
          <w:rFonts w:ascii="Calibri" w:hAnsi="Calibri" w:cs="Calibri"/>
          <w:b/>
          <w:bCs/>
          <w:sz w:val="22"/>
          <w:szCs w:val="22"/>
          <w:lang w:val="es-AR"/>
        </w:rPr>
        <w:t>Conclusión</w:t>
      </w:r>
      <w:r w:rsidR="009A1D80">
        <w:rPr>
          <w:rFonts w:ascii="Calibri" w:hAnsi="Calibri" w:cs="Calibri"/>
          <w:b/>
          <w:bCs/>
          <w:sz w:val="22"/>
          <w:szCs w:val="22"/>
          <w:lang w:val="es-AR"/>
        </w:rPr>
        <w:t xml:space="preserve">: </w:t>
      </w:r>
      <w:r w:rsidR="005103C0" w:rsidRPr="005103C0">
        <w:rPr>
          <w:rFonts w:ascii="Calibri" w:hAnsi="Calibri" w:cs="Calibri"/>
          <w:sz w:val="22"/>
          <w:szCs w:val="22"/>
          <w:lang w:val="es-MX"/>
        </w:rPr>
        <w:t>La compañía consideró deducible una provisión por indemnizaciones de</w:t>
      </w:r>
      <w:r w:rsidR="005103C0" w:rsidRPr="00047226">
        <w:rPr>
          <w:rFonts w:ascii="Calibri" w:hAnsi="Calibri" w:cs="Calibri"/>
          <w:sz w:val="22"/>
          <w:szCs w:val="22"/>
          <w:lang w:val="es-MX"/>
        </w:rPr>
        <w:t xml:space="preserve"> $20.000.000. Sin embargo, al cierre del ejercicio fiscal únicamente se abonaron $15.000.000. En consecuencia, corresponde impugnar </w:t>
      </w:r>
      <w:r w:rsidR="00047226" w:rsidRPr="00047226">
        <w:rPr>
          <w:rFonts w:ascii="Calibri" w:hAnsi="Calibri" w:cs="Calibri"/>
          <w:sz w:val="22"/>
          <w:szCs w:val="22"/>
          <w:lang w:val="es-MX"/>
        </w:rPr>
        <w:t xml:space="preserve">el cargo a resultados </w:t>
      </w:r>
      <w:r w:rsidR="005103C0" w:rsidRPr="00047226">
        <w:rPr>
          <w:rFonts w:ascii="Calibri" w:hAnsi="Calibri" w:cs="Calibri"/>
          <w:sz w:val="22"/>
          <w:szCs w:val="22"/>
          <w:lang w:val="es-MX"/>
        </w:rPr>
        <w:t>de $5.000.000, por tratarse de una obligación que no se encuentra efectivamente pagada ni materializada al cierre del ejercicio, y que, por lo tanto, no cumple con los requisitos establecidos por la Ley del Impuesto a las Ganancias para su deducción.</w:t>
      </w:r>
    </w:p>
    <w:p w14:paraId="4D03C307" w14:textId="69266774" w:rsidR="009A1D80" w:rsidRPr="00450900" w:rsidRDefault="009A1D80">
      <w:pPr>
        <w:rPr>
          <w:rFonts w:ascii="Calibri" w:hAnsi="Calibri" w:cs="Calibri"/>
          <w:sz w:val="22"/>
          <w:szCs w:val="22"/>
          <w:lang w:val="es-MX"/>
        </w:rPr>
      </w:pPr>
    </w:p>
    <w:sectPr w:rsidR="009A1D80" w:rsidRPr="004509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7468"/>
    <w:multiLevelType w:val="multilevel"/>
    <w:tmpl w:val="C62E64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AD728F"/>
    <w:multiLevelType w:val="multilevel"/>
    <w:tmpl w:val="031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CE1277"/>
    <w:multiLevelType w:val="multilevel"/>
    <w:tmpl w:val="34AE3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C47167"/>
    <w:multiLevelType w:val="hybridMultilevel"/>
    <w:tmpl w:val="83F617CC"/>
    <w:lvl w:ilvl="0" w:tplc="8DE62B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D172FF"/>
    <w:multiLevelType w:val="multilevel"/>
    <w:tmpl w:val="0862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5440438"/>
    <w:multiLevelType w:val="multilevel"/>
    <w:tmpl w:val="031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881341">
    <w:abstractNumId w:val="2"/>
  </w:num>
  <w:num w:numId="2" w16cid:durableId="1708027472">
    <w:abstractNumId w:val="3"/>
  </w:num>
  <w:num w:numId="3" w16cid:durableId="2121878049">
    <w:abstractNumId w:val="5"/>
  </w:num>
  <w:num w:numId="4" w16cid:durableId="385418077">
    <w:abstractNumId w:val="1"/>
  </w:num>
  <w:num w:numId="5" w16cid:durableId="1831367307">
    <w:abstractNumId w:val="4"/>
  </w:num>
  <w:num w:numId="6" w16cid:durableId="150950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2C5"/>
    <w:rsid w:val="00016D79"/>
    <w:rsid w:val="00036DD4"/>
    <w:rsid w:val="00047226"/>
    <w:rsid w:val="000776A6"/>
    <w:rsid w:val="00094706"/>
    <w:rsid w:val="00094917"/>
    <w:rsid w:val="000A1285"/>
    <w:rsid w:val="000D42DE"/>
    <w:rsid w:val="000F6D94"/>
    <w:rsid w:val="0011009D"/>
    <w:rsid w:val="001644D8"/>
    <w:rsid w:val="00174F6B"/>
    <w:rsid w:val="0017605C"/>
    <w:rsid w:val="001B3F8C"/>
    <w:rsid w:val="00235B2B"/>
    <w:rsid w:val="00241778"/>
    <w:rsid w:val="00250DEF"/>
    <w:rsid w:val="00252D0A"/>
    <w:rsid w:val="00253B6A"/>
    <w:rsid w:val="002653A5"/>
    <w:rsid w:val="002656F6"/>
    <w:rsid w:val="00265E76"/>
    <w:rsid w:val="00272F57"/>
    <w:rsid w:val="002A6837"/>
    <w:rsid w:val="002B1D22"/>
    <w:rsid w:val="002E05B2"/>
    <w:rsid w:val="002E58BB"/>
    <w:rsid w:val="002F57AF"/>
    <w:rsid w:val="00300A26"/>
    <w:rsid w:val="0035618F"/>
    <w:rsid w:val="003E22DC"/>
    <w:rsid w:val="003E6361"/>
    <w:rsid w:val="00425BD6"/>
    <w:rsid w:val="00450900"/>
    <w:rsid w:val="00470408"/>
    <w:rsid w:val="00477D45"/>
    <w:rsid w:val="00485799"/>
    <w:rsid w:val="00492575"/>
    <w:rsid w:val="00496AB6"/>
    <w:rsid w:val="004B1780"/>
    <w:rsid w:val="004D0DE8"/>
    <w:rsid w:val="004D3780"/>
    <w:rsid w:val="005103C0"/>
    <w:rsid w:val="00530BBD"/>
    <w:rsid w:val="00547536"/>
    <w:rsid w:val="00586CF4"/>
    <w:rsid w:val="005A5689"/>
    <w:rsid w:val="005C786C"/>
    <w:rsid w:val="005D71FD"/>
    <w:rsid w:val="005E1BED"/>
    <w:rsid w:val="006014E4"/>
    <w:rsid w:val="006029E5"/>
    <w:rsid w:val="00610631"/>
    <w:rsid w:val="00681163"/>
    <w:rsid w:val="006B60DB"/>
    <w:rsid w:val="006E62C5"/>
    <w:rsid w:val="0070666B"/>
    <w:rsid w:val="00731C36"/>
    <w:rsid w:val="007541DF"/>
    <w:rsid w:val="00773B1F"/>
    <w:rsid w:val="007B1CD1"/>
    <w:rsid w:val="007E777B"/>
    <w:rsid w:val="008246D9"/>
    <w:rsid w:val="00835F7D"/>
    <w:rsid w:val="00877B35"/>
    <w:rsid w:val="0088200D"/>
    <w:rsid w:val="008A6E6A"/>
    <w:rsid w:val="008C09F1"/>
    <w:rsid w:val="008D246B"/>
    <w:rsid w:val="00900417"/>
    <w:rsid w:val="00955947"/>
    <w:rsid w:val="009A1D80"/>
    <w:rsid w:val="00A07044"/>
    <w:rsid w:val="00A22007"/>
    <w:rsid w:val="00A26A98"/>
    <w:rsid w:val="00A27185"/>
    <w:rsid w:val="00A36AA8"/>
    <w:rsid w:val="00A67ACE"/>
    <w:rsid w:val="00AA0EC4"/>
    <w:rsid w:val="00AC14BE"/>
    <w:rsid w:val="00AE26DA"/>
    <w:rsid w:val="00AF46B1"/>
    <w:rsid w:val="00B5698B"/>
    <w:rsid w:val="00C343C4"/>
    <w:rsid w:val="00C659CA"/>
    <w:rsid w:val="00CD44F1"/>
    <w:rsid w:val="00D745F0"/>
    <w:rsid w:val="00D95087"/>
    <w:rsid w:val="00DB7ED1"/>
    <w:rsid w:val="00DE6851"/>
    <w:rsid w:val="00DF44D9"/>
    <w:rsid w:val="00E46DD3"/>
    <w:rsid w:val="00E60F0C"/>
    <w:rsid w:val="00E621FF"/>
    <w:rsid w:val="00E80243"/>
    <w:rsid w:val="00E86464"/>
    <w:rsid w:val="00EF7689"/>
    <w:rsid w:val="00F31116"/>
    <w:rsid w:val="00F72E59"/>
    <w:rsid w:val="00F77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8F8F4"/>
  <w15:chartTrackingRefBased/>
  <w15:docId w15:val="{C3FFEF83-C0BD-4F82-9172-6A827701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163"/>
  </w:style>
  <w:style w:type="paragraph" w:styleId="Heading1">
    <w:name w:val="heading 1"/>
    <w:basedOn w:val="Normal"/>
    <w:next w:val="Normal"/>
    <w:link w:val="Heading1Char"/>
    <w:uiPriority w:val="9"/>
    <w:qFormat/>
    <w:rsid w:val="006E62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2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2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2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2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2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2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2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2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2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2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2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2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2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2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2C5"/>
    <w:rPr>
      <w:rFonts w:eastAsiaTheme="majorEastAsia" w:cstheme="majorBidi"/>
      <w:color w:val="272727" w:themeColor="text1" w:themeTint="D8"/>
    </w:rPr>
  </w:style>
  <w:style w:type="paragraph" w:styleId="Title">
    <w:name w:val="Title"/>
    <w:basedOn w:val="Normal"/>
    <w:next w:val="Normal"/>
    <w:link w:val="TitleChar"/>
    <w:uiPriority w:val="10"/>
    <w:qFormat/>
    <w:rsid w:val="006E62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2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2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2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2C5"/>
    <w:pPr>
      <w:spacing w:before="160"/>
      <w:jc w:val="center"/>
    </w:pPr>
    <w:rPr>
      <w:i/>
      <w:iCs/>
      <w:color w:val="404040" w:themeColor="text1" w:themeTint="BF"/>
    </w:rPr>
  </w:style>
  <w:style w:type="character" w:customStyle="1" w:styleId="QuoteChar">
    <w:name w:val="Quote Char"/>
    <w:basedOn w:val="DefaultParagraphFont"/>
    <w:link w:val="Quote"/>
    <w:uiPriority w:val="29"/>
    <w:rsid w:val="006E62C5"/>
    <w:rPr>
      <w:i/>
      <w:iCs/>
      <w:color w:val="404040" w:themeColor="text1" w:themeTint="BF"/>
    </w:rPr>
  </w:style>
  <w:style w:type="paragraph" w:styleId="ListParagraph">
    <w:name w:val="List Paragraph"/>
    <w:basedOn w:val="Normal"/>
    <w:uiPriority w:val="34"/>
    <w:qFormat/>
    <w:rsid w:val="006E62C5"/>
    <w:pPr>
      <w:ind w:left="720"/>
      <w:contextualSpacing/>
    </w:pPr>
  </w:style>
  <w:style w:type="character" w:styleId="IntenseEmphasis">
    <w:name w:val="Intense Emphasis"/>
    <w:basedOn w:val="DefaultParagraphFont"/>
    <w:uiPriority w:val="21"/>
    <w:qFormat/>
    <w:rsid w:val="006E62C5"/>
    <w:rPr>
      <w:i/>
      <w:iCs/>
      <w:color w:val="0F4761" w:themeColor="accent1" w:themeShade="BF"/>
    </w:rPr>
  </w:style>
  <w:style w:type="paragraph" w:styleId="IntenseQuote">
    <w:name w:val="Intense Quote"/>
    <w:basedOn w:val="Normal"/>
    <w:next w:val="Normal"/>
    <w:link w:val="IntenseQuoteChar"/>
    <w:uiPriority w:val="30"/>
    <w:qFormat/>
    <w:rsid w:val="006E62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2C5"/>
    <w:rPr>
      <w:i/>
      <w:iCs/>
      <w:color w:val="0F4761" w:themeColor="accent1" w:themeShade="BF"/>
    </w:rPr>
  </w:style>
  <w:style w:type="character" w:styleId="IntenseReference">
    <w:name w:val="Intense Reference"/>
    <w:basedOn w:val="DefaultParagraphFont"/>
    <w:uiPriority w:val="32"/>
    <w:qFormat/>
    <w:rsid w:val="006E62C5"/>
    <w:rPr>
      <w:b/>
      <w:bCs/>
      <w:smallCaps/>
      <w:color w:val="0F4761" w:themeColor="accent1" w:themeShade="BF"/>
      <w:spacing w:val="5"/>
    </w:rPr>
  </w:style>
  <w:style w:type="table" w:styleId="TableGrid">
    <w:name w:val="Table Grid"/>
    <w:basedOn w:val="TableNormal"/>
    <w:uiPriority w:val="39"/>
    <w:rsid w:val="00681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295</TotalTime>
  <Pages>4</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Freire, Eros</dc:creator>
  <cp:keywords/>
  <dc:description/>
  <cp:lastModifiedBy>Freire, Eros</cp:lastModifiedBy>
  <cp:revision>87</cp:revision>
  <dcterms:created xsi:type="dcterms:W3CDTF">2026-07-13T03:39:00Z</dcterms:created>
  <dcterms:modified xsi:type="dcterms:W3CDTF">2026-07-29T15:39:00Z</dcterms:modified>
</cp:coreProperties>
</file>