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6F61" w14:textId="33575ACC" w:rsidR="00D87324" w:rsidRPr="00FE7EC7" w:rsidRDefault="00CE6541">
      <w:pPr>
        <w:rPr>
          <w:rFonts w:ascii="Arial" w:hAnsi="Arial" w:cs="Arial"/>
          <w:b/>
          <w:bCs/>
          <w:color w:val="0070C0"/>
          <w:sz w:val="32"/>
          <w:szCs w:val="32"/>
          <w:u w:val="single"/>
          <w:lang w:val="es-AR"/>
        </w:rPr>
      </w:pPr>
      <w:r w:rsidRPr="00FE7EC7">
        <w:rPr>
          <w:rFonts w:ascii="Arial" w:hAnsi="Arial" w:cs="Arial"/>
          <w:b/>
          <w:bCs/>
          <w:color w:val="0070C0"/>
          <w:sz w:val="32"/>
          <w:szCs w:val="32"/>
          <w:u w:val="single"/>
          <w:lang w:val="es-AR"/>
        </w:rPr>
        <w:t>Normativa:</w:t>
      </w:r>
    </w:p>
    <w:p w14:paraId="44DD982B" w14:textId="5D2BFC40" w:rsidR="00C50786" w:rsidRPr="007C6B83" w:rsidRDefault="007C6B83" w:rsidP="00CE6541">
      <w:pPr>
        <w:tabs>
          <w:tab w:val="left" w:pos="3093"/>
        </w:tabs>
        <w:rPr>
          <w:rFonts w:ascii="Arial" w:hAnsi="Arial" w:cs="Arial"/>
          <w:b/>
          <w:bCs/>
          <w:sz w:val="28"/>
          <w:szCs w:val="28"/>
          <w:u w:val="single"/>
          <w:lang w:val="es-AR"/>
        </w:rPr>
      </w:pPr>
      <w:r w:rsidRPr="007C6B83">
        <w:rPr>
          <w:rFonts w:ascii="Arial" w:hAnsi="Arial" w:cs="Arial"/>
          <w:b/>
          <w:bCs/>
          <w:sz w:val="28"/>
          <w:szCs w:val="28"/>
          <w:u w:val="single"/>
          <w:lang w:val="es-AR"/>
        </w:rPr>
        <w:t>Ley d</w:t>
      </w:r>
      <w:r w:rsidR="00FE7EC7">
        <w:rPr>
          <w:rFonts w:ascii="Arial" w:hAnsi="Arial" w:cs="Arial"/>
          <w:b/>
          <w:bCs/>
          <w:sz w:val="28"/>
          <w:szCs w:val="28"/>
          <w:u w:val="single"/>
          <w:lang w:val="es-AR"/>
        </w:rPr>
        <w:t>el Impuesto a las Ganancias</w:t>
      </w:r>
      <w:r w:rsidRPr="007C6B83">
        <w:rPr>
          <w:rFonts w:ascii="Arial" w:hAnsi="Arial" w:cs="Arial"/>
          <w:b/>
          <w:bCs/>
          <w:sz w:val="28"/>
          <w:szCs w:val="28"/>
          <w:u w:val="single"/>
          <w:lang w:val="es-AR"/>
        </w:rPr>
        <w:t>:</w:t>
      </w:r>
    </w:p>
    <w:p w14:paraId="125F31E2" w14:textId="77777777" w:rsidR="00840F44" w:rsidRDefault="00840F44" w:rsidP="00FE7EC7">
      <w:pPr>
        <w:jc w:val="both"/>
        <w:rPr>
          <w:rFonts w:ascii="Arial" w:hAnsi="Arial" w:cs="Arial"/>
          <w:b/>
          <w:bCs/>
          <w:lang w:val="es-AR"/>
        </w:rPr>
      </w:pPr>
    </w:p>
    <w:p w14:paraId="134020F8" w14:textId="77777777" w:rsidR="00840F44" w:rsidRPr="00D87324" w:rsidRDefault="00840F44" w:rsidP="00840F44">
      <w:pPr>
        <w:jc w:val="both"/>
        <w:rPr>
          <w:rFonts w:ascii="Arial" w:hAnsi="Arial" w:cs="Arial"/>
          <w:lang w:val="es-AR"/>
        </w:rPr>
      </w:pPr>
      <w:r w:rsidRPr="00D87324">
        <w:rPr>
          <w:rFonts w:ascii="Arial" w:hAnsi="Arial" w:cs="Arial"/>
          <w:b/>
          <w:bCs/>
          <w:lang w:val="es-AR"/>
        </w:rPr>
        <w:t>Art. 107:</w:t>
      </w:r>
      <w:r>
        <w:rPr>
          <w:rFonts w:ascii="Arial" w:hAnsi="Arial" w:cs="Arial"/>
          <w:lang w:val="es-AR"/>
        </w:rPr>
        <w:t xml:space="preserve"> </w:t>
      </w:r>
      <w:r w:rsidRPr="00D87324">
        <w:rPr>
          <w:rFonts w:ascii="Arial" w:hAnsi="Arial" w:cs="Arial"/>
          <w:lang w:val="es-AR"/>
        </w:rPr>
        <w:t>Los valores y conceptos a computar a los fines establecidos en los incisos a) y b) del artículo anterior -excepto los correspondientes a los bienes y deudas excluidos del activo y pasivo, respectivamente, que se considerarán a los valores con que figuran en el balance comercial o, en su caso, impositivo- serán los que se determinen al cierre del ejercicio inmediato anterior al que se liquida, una vez ajustados por aplicación de las normas generales de la ley y las especiales de este Título.</w:t>
      </w:r>
    </w:p>
    <w:p w14:paraId="1E3D73C2" w14:textId="77777777" w:rsidR="00840F44" w:rsidRDefault="00840F44" w:rsidP="00840F44">
      <w:pPr>
        <w:jc w:val="both"/>
        <w:rPr>
          <w:rFonts w:ascii="Arial" w:hAnsi="Arial" w:cs="Arial"/>
          <w:lang w:val="es-AR"/>
        </w:rPr>
      </w:pPr>
      <w:r w:rsidRPr="00D87324">
        <w:rPr>
          <w:rFonts w:ascii="Arial" w:hAnsi="Arial" w:cs="Arial"/>
          <w:lang w:val="es-AR"/>
        </w:rPr>
        <w:t>Los activos y pasivos que se enumeran a continuación se valuarán a todos los fines de esta ley aplicando las siguientes normas:</w:t>
      </w:r>
    </w:p>
    <w:p w14:paraId="6368306C" w14:textId="53EDC96C" w:rsidR="00840F44" w:rsidRDefault="00840F44" w:rsidP="00840F44">
      <w:pPr>
        <w:jc w:val="both"/>
        <w:rPr>
          <w:rFonts w:ascii="Arial" w:hAnsi="Arial" w:cs="Arial"/>
          <w:lang w:val="es-AR"/>
        </w:rPr>
      </w:pPr>
      <w:r>
        <w:rPr>
          <w:rFonts w:ascii="Arial" w:hAnsi="Arial" w:cs="Arial"/>
          <w:lang w:val="es-AR"/>
        </w:rPr>
        <w:t>(…)</w:t>
      </w:r>
    </w:p>
    <w:p w14:paraId="368E8CA7" w14:textId="77777777" w:rsidR="00840F44" w:rsidRDefault="00840F44" w:rsidP="00840F44">
      <w:pPr>
        <w:jc w:val="both"/>
        <w:rPr>
          <w:rFonts w:ascii="Arial" w:hAnsi="Arial" w:cs="Arial"/>
          <w:lang w:val="es-AR"/>
        </w:rPr>
      </w:pPr>
      <w:r>
        <w:rPr>
          <w:rFonts w:ascii="Arial" w:hAnsi="Arial" w:cs="Arial"/>
          <w:lang w:val="es-AR"/>
        </w:rPr>
        <w:t xml:space="preserve">c) </w:t>
      </w:r>
      <w:r w:rsidRPr="00D87324">
        <w:rPr>
          <w:rFonts w:ascii="Arial" w:hAnsi="Arial" w:cs="Arial"/>
          <w:lang w:val="es-AR"/>
        </w:rPr>
        <w:t xml:space="preserve">Los títulos públicos, bonos y demás valores -excluidas las acciones, valores representativos y certificados de depósito de acciones y demás valores, cuotas y participaciones sociales, </w:t>
      </w:r>
      <w:proofErr w:type="spellStart"/>
      <w:r w:rsidRPr="00D87324">
        <w:rPr>
          <w:rFonts w:ascii="Arial" w:hAnsi="Arial" w:cs="Arial"/>
          <w:lang w:val="es-AR"/>
        </w:rPr>
        <w:t>cuotapartes</w:t>
      </w:r>
      <w:proofErr w:type="spellEnd"/>
      <w:r w:rsidRPr="00D87324">
        <w:rPr>
          <w:rFonts w:ascii="Arial" w:hAnsi="Arial" w:cs="Arial"/>
          <w:lang w:val="es-AR"/>
        </w:rPr>
        <w:t xml:space="preserve"> de fondos comunes de inversión y certificados de participación de fideicomisos financieros y cualquier otro derecho sobre fideicomisos y contratos similares- que se coticen en bolsas o mercados: al último valor de cotización a la fecha de cierre del ejercicio. </w:t>
      </w:r>
    </w:p>
    <w:p w14:paraId="2AFEFD17" w14:textId="4206301F" w:rsidR="00840F44" w:rsidRPr="00840F44" w:rsidRDefault="00840F44" w:rsidP="00FE7EC7">
      <w:pPr>
        <w:jc w:val="both"/>
        <w:rPr>
          <w:rFonts w:ascii="Arial" w:hAnsi="Arial" w:cs="Arial"/>
          <w:lang w:val="es-AR"/>
        </w:rPr>
      </w:pPr>
      <w:r w:rsidRPr="00D87324">
        <w:rPr>
          <w:rFonts w:ascii="Arial" w:hAnsi="Arial" w:cs="Arial"/>
          <w:lang w:val="es-AR"/>
        </w:rPr>
        <w:t>Los que no se coticen se valuarán por su costo incrementado, de corresponder, con el importe de los intereses, actualizaciones y diferencias de cambio que se hubieran devengado a la fecha de cierre del ejercicio. El mismo procedimiento de valuación se aplicará a los títulos valores emitidos en moneda extranjera.</w:t>
      </w:r>
      <w:r>
        <w:rPr>
          <w:rFonts w:ascii="Arial" w:hAnsi="Arial" w:cs="Arial"/>
          <w:lang w:val="es-AR"/>
        </w:rPr>
        <w:t xml:space="preserve"> (…)</w:t>
      </w:r>
    </w:p>
    <w:p w14:paraId="2C7BD594" w14:textId="690975F4" w:rsidR="00D87324" w:rsidRPr="00D87324" w:rsidRDefault="00D87324" w:rsidP="00FE7EC7">
      <w:pPr>
        <w:jc w:val="both"/>
        <w:rPr>
          <w:rFonts w:ascii="Arial" w:hAnsi="Arial" w:cs="Arial"/>
          <w:lang w:val="es-AR"/>
        </w:rPr>
      </w:pPr>
      <w:r w:rsidRPr="00D87324">
        <w:rPr>
          <w:rFonts w:ascii="Arial" w:hAnsi="Arial" w:cs="Arial"/>
          <w:b/>
          <w:bCs/>
          <w:lang w:val="es-AR"/>
        </w:rPr>
        <w:t>Art. 67:</w:t>
      </w:r>
      <w:r>
        <w:rPr>
          <w:rFonts w:ascii="Arial" w:hAnsi="Arial" w:cs="Arial"/>
          <w:lang w:val="es-AR"/>
        </w:rPr>
        <w:t xml:space="preserve"> </w:t>
      </w:r>
      <w:r w:rsidRPr="00D87324">
        <w:rPr>
          <w:rFonts w:ascii="Arial" w:hAnsi="Arial" w:cs="Arial"/>
          <w:lang w:val="es-AR"/>
        </w:rPr>
        <w:t>Cuando se enajenen monedas digitales, títulos públicos, bonos y demás valores, el costo a imputar será igual al valor impositivo que se les hubiere asignado en el inventario inicial correspondiente al ejercicio en que se realice la enajenación. Si se tratara de adquisiciones efectuadas en el ejercicio, el costo computable será el precio de compra</w:t>
      </w:r>
      <w:r>
        <w:rPr>
          <w:rFonts w:ascii="Arial" w:hAnsi="Arial" w:cs="Arial"/>
          <w:lang w:val="es-AR"/>
        </w:rPr>
        <w:t xml:space="preserve">. </w:t>
      </w:r>
    </w:p>
    <w:p w14:paraId="66DA40AC" w14:textId="6827C85C" w:rsidR="00D87324" w:rsidRPr="00D87324" w:rsidRDefault="00D87324" w:rsidP="00FE7EC7">
      <w:pPr>
        <w:jc w:val="both"/>
        <w:rPr>
          <w:rFonts w:ascii="Arial" w:hAnsi="Arial" w:cs="Arial"/>
          <w:lang w:val="es-AR"/>
        </w:rPr>
      </w:pPr>
      <w:r w:rsidRPr="00D87324">
        <w:rPr>
          <w:rFonts w:ascii="Arial" w:hAnsi="Arial" w:cs="Arial"/>
          <w:lang w:val="es-AR"/>
        </w:rPr>
        <w:t>En su caso, se considerará sin admitir prueba en contrario que los bienes enajenados corresponden a las adquisiciones más antiguas de su misma especie y calidad.</w:t>
      </w:r>
    </w:p>
    <w:p w14:paraId="43482523" w14:textId="77777777" w:rsidR="00D87324" w:rsidRDefault="00D87324" w:rsidP="00FE7EC7">
      <w:pPr>
        <w:jc w:val="both"/>
        <w:rPr>
          <w:rFonts w:ascii="Arial" w:hAnsi="Arial" w:cs="Arial"/>
          <w:lang w:val="es-AR"/>
        </w:rPr>
      </w:pPr>
    </w:p>
    <w:p w14:paraId="362145E7" w14:textId="06C0514E" w:rsidR="007C6B83" w:rsidRPr="00FE7EC7" w:rsidRDefault="007C6B83" w:rsidP="00FE7EC7">
      <w:pPr>
        <w:jc w:val="both"/>
        <w:rPr>
          <w:rFonts w:ascii="Arial" w:hAnsi="Arial" w:cs="Arial"/>
          <w:b/>
          <w:bCs/>
          <w:u w:val="single"/>
          <w:lang w:val="es-AR"/>
        </w:rPr>
      </w:pPr>
      <w:r w:rsidRPr="00FE7EC7">
        <w:rPr>
          <w:rFonts w:ascii="Arial" w:hAnsi="Arial" w:cs="Arial"/>
          <w:b/>
          <w:bCs/>
          <w:u w:val="single"/>
          <w:lang w:val="es-AR"/>
        </w:rPr>
        <w:t xml:space="preserve">Intereses no puestos a disposición: </w:t>
      </w:r>
    </w:p>
    <w:p w14:paraId="0E1FEFAE" w14:textId="73A25845" w:rsidR="007C6B83" w:rsidRPr="007C6B83" w:rsidRDefault="007C6B83" w:rsidP="00FE7EC7">
      <w:pPr>
        <w:jc w:val="both"/>
        <w:rPr>
          <w:rFonts w:ascii="Arial" w:hAnsi="Arial" w:cs="Arial"/>
          <w:lang w:val="es-AR"/>
        </w:rPr>
      </w:pPr>
      <w:r w:rsidRPr="007C6B83">
        <w:rPr>
          <w:rFonts w:ascii="Arial" w:hAnsi="Arial" w:cs="Arial"/>
          <w:b/>
          <w:bCs/>
          <w:lang w:val="es-AR"/>
        </w:rPr>
        <w:t>Art. 24:</w:t>
      </w:r>
      <w:r w:rsidRPr="007C6B83">
        <w:rPr>
          <w:rFonts w:ascii="Arial" w:hAnsi="Arial" w:cs="Arial"/>
          <w:lang w:val="es-AR"/>
        </w:rPr>
        <w:t xml:space="preserve"> El año fiscal comienza el 1 de enero y termina el 31 de diciembre.</w:t>
      </w:r>
    </w:p>
    <w:p w14:paraId="356603C4" w14:textId="42E09AC4" w:rsidR="007C6B83" w:rsidRPr="007C6B83" w:rsidRDefault="007C6B83" w:rsidP="00FE7EC7">
      <w:pPr>
        <w:jc w:val="both"/>
        <w:rPr>
          <w:rFonts w:ascii="Arial" w:hAnsi="Arial" w:cs="Arial"/>
          <w:lang w:val="es-AR"/>
        </w:rPr>
      </w:pPr>
      <w:r w:rsidRPr="007C6B83">
        <w:rPr>
          <w:rFonts w:ascii="Arial" w:hAnsi="Arial" w:cs="Arial"/>
          <w:lang w:val="es-AR"/>
        </w:rPr>
        <w:lastRenderedPageBreak/>
        <w:t>Los contribuyentes imputarán sus ganancias al año fiscal, de acuerdo con las siguientes normas:</w:t>
      </w:r>
    </w:p>
    <w:p w14:paraId="3602A080" w14:textId="3D9E2FFD" w:rsidR="007C6B83" w:rsidRPr="007C6B83" w:rsidRDefault="007C6B83" w:rsidP="00FE7EC7">
      <w:pPr>
        <w:jc w:val="both"/>
        <w:rPr>
          <w:rFonts w:ascii="Arial" w:hAnsi="Arial" w:cs="Arial"/>
          <w:lang w:val="es-AR"/>
        </w:rPr>
      </w:pPr>
      <w:r w:rsidRPr="007C6B83">
        <w:rPr>
          <w:rFonts w:ascii="Arial" w:hAnsi="Arial" w:cs="Arial"/>
          <w:lang w:val="es-AR"/>
        </w:rPr>
        <w:t xml:space="preserve">a) Las ganancias obtenidas como dueño de empresas civiles, comerciales, industriales, agropecuarias o mineras o como socios de </w:t>
      </w:r>
      <w:proofErr w:type="gramStart"/>
      <w:r w:rsidRPr="007C6B83">
        <w:rPr>
          <w:rFonts w:ascii="Arial" w:hAnsi="Arial" w:cs="Arial"/>
          <w:lang w:val="es-AR"/>
        </w:rPr>
        <w:t>las mismas</w:t>
      </w:r>
      <w:proofErr w:type="gramEnd"/>
      <w:r w:rsidRPr="007C6B83">
        <w:rPr>
          <w:rFonts w:ascii="Arial" w:hAnsi="Arial" w:cs="Arial"/>
          <w:lang w:val="es-AR"/>
        </w:rPr>
        <w:t>, se imputarán al año fiscal en que termine el ejercicio anual correspondiente.</w:t>
      </w:r>
    </w:p>
    <w:p w14:paraId="6CE33CE2" w14:textId="78A3CE21" w:rsidR="007C6B83" w:rsidRPr="007C6B83" w:rsidRDefault="007C6B83" w:rsidP="00FE7EC7">
      <w:pPr>
        <w:jc w:val="both"/>
        <w:rPr>
          <w:rFonts w:ascii="Arial" w:hAnsi="Arial" w:cs="Arial"/>
          <w:lang w:val="es-AR"/>
        </w:rPr>
      </w:pPr>
      <w:r w:rsidRPr="007C6B83">
        <w:rPr>
          <w:rFonts w:ascii="Arial" w:hAnsi="Arial" w:cs="Arial"/>
          <w:lang w:val="es-AR"/>
        </w:rPr>
        <w:t>Las ganancias indicadas en el artículo 53 se consideran del año fiscal en que termine el ejercicio anual en el cual se han devengado.</w:t>
      </w:r>
    </w:p>
    <w:p w14:paraId="7184F539" w14:textId="3F27C44B" w:rsidR="007C6B83" w:rsidRPr="007C6B83" w:rsidRDefault="007C6B83" w:rsidP="00FE7EC7">
      <w:pPr>
        <w:jc w:val="both"/>
        <w:rPr>
          <w:rFonts w:ascii="Arial" w:hAnsi="Arial" w:cs="Arial"/>
          <w:lang w:val="es-AR"/>
        </w:rPr>
      </w:pPr>
      <w:r w:rsidRPr="007C6B83">
        <w:rPr>
          <w:rFonts w:ascii="Arial" w:hAnsi="Arial" w:cs="Arial"/>
          <w:lang w:val="es-AR"/>
        </w:rPr>
        <w:t>Cuando no se contabilicen las operaciones el ejercicio coincidirá con el año fiscal, salvo otras disposiciones de la Administración Federal de Ingresos Públicos, la que queda facultada para fijar fechas de cierre del ejercicio en atención a la naturaleza de la explotación u otras situaciones especiales.</w:t>
      </w:r>
    </w:p>
    <w:p w14:paraId="0E58FCCE" w14:textId="3B734A80" w:rsidR="007C6B83" w:rsidRDefault="007C6B83" w:rsidP="00FE7EC7">
      <w:pPr>
        <w:jc w:val="both"/>
        <w:rPr>
          <w:rFonts w:ascii="Arial" w:hAnsi="Arial" w:cs="Arial"/>
          <w:lang w:val="es-AR"/>
        </w:rPr>
      </w:pPr>
      <w:r w:rsidRPr="007C6B83">
        <w:rPr>
          <w:rFonts w:ascii="Arial" w:hAnsi="Arial" w:cs="Arial"/>
          <w:lang w:val="es-AR"/>
        </w:rPr>
        <w:t xml:space="preserve">Se consideran ganancias del ejercicio las devengadas en este. No obstante, podrá optarse por imputar las ganancias en el momento de producirse la respectiva exigibilidad, cuando las ganancias se originen en la venta de mercaderías realizada con plazos de financiación superiores a </w:t>
      </w:r>
      <w:r>
        <w:rPr>
          <w:rFonts w:ascii="Arial" w:hAnsi="Arial" w:cs="Arial"/>
          <w:lang w:val="es-AR"/>
        </w:rPr>
        <w:t>DIEZ</w:t>
      </w:r>
      <w:r w:rsidRPr="007C6B83">
        <w:rPr>
          <w:rFonts w:ascii="Arial" w:hAnsi="Arial" w:cs="Arial"/>
          <w:lang w:val="es-AR"/>
        </w:rPr>
        <w:t xml:space="preserve"> (10) meses, en cuyo caso la opción deberá mantenerse por el término de </w:t>
      </w:r>
      <w:r>
        <w:rPr>
          <w:rFonts w:ascii="Arial" w:hAnsi="Arial" w:cs="Arial"/>
          <w:lang w:val="es-AR"/>
        </w:rPr>
        <w:t>CINCO</w:t>
      </w:r>
      <w:r w:rsidRPr="007C6B83">
        <w:rPr>
          <w:rFonts w:ascii="Arial" w:hAnsi="Arial" w:cs="Arial"/>
          <w:lang w:val="es-AR"/>
        </w:rPr>
        <w:t xml:space="preserve"> (5) años y su ejercicio se exteriorizará mediante el procedimiento que determine la reglamentación. El criterio de imputación autorizado precedentemente podrá también aplicarse en otros casos expresamente previstos por la ley o su decreto reglamentario. Los dividendos de acciones o utilidades distribuidas por los sujetos del artículo 73 </w:t>
      </w:r>
      <w:r w:rsidRPr="007C6B83">
        <w:rPr>
          <w:rFonts w:ascii="Arial" w:hAnsi="Arial" w:cs="Arial"/>
          <w:u w:val="single"/>
          <w:lang w:val="es-AR"/>
        </w:rPr>
        <w:t xml:space="preserve">y los intereses o rendimientos de títulos, bonos, </w:t>
      </w:r>
      <w:proofErr w:type="spellStart"/>
      <w:r w:rsidRPr="007C6B83">
        <w:rPr>
          <w:rFonts w:ascii="Arial" w:hAnsi="Arial" w:cs="Arial"/>
          <w:u w:val="single"/>
          <w:lang w:val="es-AR"/>
        </w:rPr>
        <w:t>cuotapartes</w:t>
      </w:r>
      <w:proofErr w:type="spellEnd"/>
      <w:r w:rsidRPr="007C6B83">
        <w:rPr>
          <w:rFonts w:ascii="Arial" w:hAnsi="Arial" w:cs="Arial"/>
          <w:u w:val="single"/>
          <w:lang w:val="es-AR"/>
        </w:rPr>
        <w:t xml:space="preserve"> de fondos comunes de inversión y demás valores se imputarán en el ejercicio en que hayan sido</w:t>
      </w:r>
      <w:r w:rsidRPr="007C6B83">
        <w:rPr>
          <w:rFonts w:ascii="Arial" w:hAnsi="Arial" w:cs="Arial"/>
          <w:lang w:val="es-AR"/>
        </w:rPr>
        <w:t>: (i) puestos a disposición o pagados, lo que ocurra primero; o (</w:t>
      </w:r>
      <w:proofErr w:type="spellStart"/>
      <w:r w:rsidRPr="007C6B83">
        <w:rPr>
          <w:rFonts w:ascii="Arial" w:hAnsi="Arial" w:cs="Arial"/>
          <w:lang w:val="es-AR"/>
        </w:rPr>
        <w:t>ii</w:t>
      </w:r>
      <w:proofErr w:type="spellEnd"/>
      <w:r w:rsidRPr="007C6B83">
        <w:rPr>
          <w:rFonts w:ascii="Arial" w:hAnsi="Arial" w:cs="Arial"/>
          <w:lang w:val="es-AR"/>
        </w:rPr>
        <w:t>) capitalizados, siempre que los valores prevean pagos de intereses o rendimientos en plazos de hasta</w:t>
      </w:r>
      <w:r>
        <w:rPr>
          <w:rFonts w:ascii="Arial" w:hAnsi="Arial" w:cs="Arial"/>
          <w:lang w:val="es-AR"/>
        </w:rPr>
        <w:t xml:space="preserve"> un año. </w:t>
      </w:r>
      <w:r w:rsidR="00840F44">
        <w:rPr>
          <w:rFonts w:ascii="Arial" w:hAnsi="Arial" w:cs="Arial"/>
          <w:lang w:val="es-AR"/>
        </w:rPr>
        <w:t>(…)</w:t>
      </w:r>
    </w:p>
    <w:p w14:paraId="1568C138" w14:textId="77777777" w:rsidR="007C6B83" w:rsidRDefault="007C6B83" w:rsidP="00FE7EC7">
      <w:pPr>
        <w:jc w:val="both"/>
        <w:rPr>
          <w:rFonts w:ascii="Arial" w:hAnsi="Arial" w:cs="Arial"/>
          <w:lang w:val="es-AR"/>
        </w:rPr>
      </w:pPr>
    </w:p>
    <w:p w14:paraId="3694DE21" w14:textId="1D7711E3" w:rsidR="007C6B83" w:rsidRPr="007C6B83" w:rsidRDefault="007C6B83" w:rsidP="00FE7EC7">
      <w:pPr>
        <w:jc w:val="both"/>
        <w:rPr>
          <w:rFonts w:ascii="Arial" w:hAnsi="Arial" w:cs="Arial"/>
          <w:b/>
          <w:bCs/>
          <w:sz w:val="28"/>
          <w:szCs w:val="28"/>
          <w:u w:val="single"/>
          <w:lang w:val="es-AR"/>
        </w:rPr>
      </w:pPr>
      <w:r w:rsidRPr="007C6B83">
        <w:rPr>
          <w:rFonts w:ascii="Arial" w:hAnsi="Arial" w:cs="Arial"/>
          <w:b/>
          <w:bCs/>
          <w:sz w:val="28"/>
          <w:szCs w:val="28"/>
          <w:u w:val="single"/>
          <w:lang w:val="es-AR"/>
        </w:rPr>
        <w:t>Decreto Reglamentario:</w:t>
      </w:r>
    </w:p>
    <w:p w14:paraId="6C65CA84" w14:textId="3047B19A" w:rsidR="007C6B83" w:rsidRDefault="007C6B83" w:rsidP="00FE7EC7">
      <w:pPr>
        <w:jc w:val="both"/>
        <w:rPr>
          <w:rFonts w:ascii="Arial" w:hAnsi="Arial" w:cs="Arial"/>
          <w:lang w:val="es-AR"/>
        </w:rPr>
      </w:pPr>
      <w:r w:rsidRPr="007C6B83">
        <w:rPr>
          <w:rFonts w:ascii="Arial" w:hAnsi="Arial" w:cs="Arial"/>
          <w:b/>
          <w:bCs/>
          <w:lang w:val="es-AR"/>
        </w:rPr>
        <w:t>Art. 10:</w:t>
      </w:r>
      <w:r w:rsidRPr="007C6B83">
        <w:rPr>
          <w:rFonts w:ascii="Arial" w:hAnsi="Arial" w:cs="Arial"/>
          <w:lang w:val="es-AR"/>
        </w:rPr>
        <w:t xml:space="preserve"> En general y sin perjuicio de las disposiciones especiales de la ley y de este reglamento, son ganancias de fuente argentina:</w:t>
      </w:r>
    </w:p>
    <w:p w14:paraId="474B8493" w14:textId="77777777" w:rsidR="00840F44" w:rsidRDefault="00840F44" w:rsidP="00FE7EC7">
      <w:pPr>
        <w:jc w:val="both"/>
        <w:rPr>
          <w:rFonts w:ascii="Arial" w:hAnsi="Arial" w:cs="Arial"/>
          <w:lang w:val="es-AR"/>
        </w:rPr>
      </w:pPr>
      <w:r>
        <w:rPr>
          <w:rFonts w:ascii="Arial" w:hAnsi="Arial" w:cs="Arial"/>
          <w:lang w:val="es-AR"/>
        </w:rPr>
        <w:t>(…)</w:t>
      </w:r>
    </w:p>
    <w:p w14:paraId="2CD976AF" w14:textId="5E2EDFC6" w:rsidR="007C6B83" w:rsidRDefault="007C6B83" w:rsidP="00FE7EC7">
      <w:pPr>
        <w:jc w:val="both"/>
        <w:rPr>
          <w:rFonts w:ascii="Arial" w:hAnsi="Arial" w:cs="Arial"/>
          <w:lang w:val="es-AR"/>
        </w:rPr>
      </w:pPr>
      <w:r w:rsidRPr="007C6B83">
        <w:rPr>
          <w:rFonts w:ascii="Arial" w:hAnsi="Arial" w:cs="Arial"/>
          <w:lang w:val="es-AR"/>
        </w:rPr>
        <w:t>b) Los intereses provenientes de depósitos bancarios efectuados en el país; los dividendos distribuidos por sociedades constituidas en el país; el alquiler de cosas muebles situadas o utilizadas económicamente en el país; las regalías producidas por cosas situadas o derechos utilizados económicamente en la República Argentina; las rentas vitalicias abonadas por entidades constituidas en el país y las demás ganancias que, revistiendo características similares, provengan de capitales, cosas o derechos situados, colocados o utilizados económicamente en el país.</w:t>
      </w:r>
    </w:p>
    <w:p w14:paraId="58B036AC" w14:textId="3385058C" w:rsidR="00840F44" w:rsidRPr="00D87324" w:rsidRDefault="00840F44" w:rsidP="00FE7EC7">
      <w:pPr>
        <w:jc w:val="both"/>
        <w:rPr>
          <w:rFonts w:ascii="Arial" w:hAnsi="Arial" w:cs="Arial"/>
          <w:lang w:val="es-AR"/>
        </w:rPr>
      </w:pPr>
      <w:r>
        <w:rPr>
          <w:rFonts w:ascii="Arial" w:hAnsi="Arial" w:cs="Arial"/>
          <w:lang w:val="es-AR"/>
        </w:rPr>
        <w:lastRenderedPageBreak/>
        <w:t>(…)</w:t>
      </w:r>
    </w:p>
    <w:p w14:paraId="698D302F" w14:textId="77777777" w:rsidR="00CE6541" w:rsidRDefault="00CE6541" w:rsidP="00FE7EC7">
      <w:pPr>
        <w:jc w:val="both"/>
        <w:rPr>
          <w:rFonts w:ascii="Arial" w:hAnsi="Arial" w:cs="Arial"/>
          <w:lang w:val="es-AR"/>
        </w:rPr>
      </w:pPr>
    </w:p>
    <w:p w14:paraId="523E9EA9" w14:textId="09F27CC7" w:rsidR="00CE6541" w:rsidRPr="00FE7EC7" w:rsidRDefault="00CE6541" w:rsidP="00FE7EC7">
      <w:pPr>
        <w:jc w:val="both"/>
        <w:rPr>
          <w:rFonts w:ascii="Arial" w:hAnsi="Arial" w:cs="Arial"/>
          <w:b/>
          <w:bCs/>
          <w:color w:val="0070C0"/>
          <w:sz w:val="32"/>
          <w:szCs w:val="32"/>
          <w:u w:val="single"/>
          <w:lang w:val="es-AR"/>
        </w:rPr>
      </w:pPr>
      <w:r w:rsidRPr="00FE7EC7">
        <w:rPr>
          <w:rFonts w:ascii="Arial" w:hAnsi="Arial" w:cs="Arial"/>
          <w:b/>
          <w:bCs/>
          <w:color w:val="0070C0"/>
          <w:sz w:val="32"/>
          <w:szCs w:val="32"/>
          <w:u w:val="single"/>
          <w:lang w:val="es-AR"/>
        </w:rPr>
        <w:t>Explicación:</w:t>
      </w:r>
    </w:p>
    <w:p w14:paraId="05EF55B9" w14:textId="15735403" w:rsidR="00B05B06" w:rsidRPr="00D87324" w:rsidRDefault="00E62BCD" w:rsidP="00FE7EC7">
      <w:pPr>
        <w:jc w:val="both"/>
        <w:rPr>
          <w:rFonts w:ascii="Arial" w:hAnsi="Arial" w:cs="Arial"/>
          <w:lang w:val="es-AR"/>
        </w:rPr>
      </w:pPr>
      <w:r w:rsidRPr="00D87324">
        <w:rPr>
          <w:rFonts w:ascii="Arial" w:hAnsi="Arial" w:cs="Arial"/>
          <w:b/>
          <w:bCs/>
          <w:u w:val="single"/>
          <w:lang w:val="es-AR"/>
        </w:rPr>
        <w:t xml:space="preserve">Valuación </w:t>
      </w:r>
      <w:r w:rsidR="00B05B06" w:rsidRPr="00D87324">
        <w:rPr>
          <w:rFonts w:ascii="Arial" w:hAnsi="Arial" w:cs="Arial"/>
          <w:b/>
          <w:bCs/>
          <w:u w:val="single"/>
          <w:lang w:val="es-AR"/>
        </w:rPr>
        <w:t>de Títulos Públicos</w:t>
      </w:r>
      <w:r w:rsidRPr="00D87324">
        <w:rPr>
          <w:rFonts w:ascii="Arial" w:hAnsi="Arial" w:cs="Arial"/>
          <w:b/>
          <w:bCs/>
          <w:u w:val="single"/>
          <w:lang w:val="es-AR"/>
        </w:rPr>
        <w:t xml:space="preserve"> con cotización</w:t>
      </w:r>
      <w:r w:rsidR="00B05B06" w:rsidRPr="00D87324">
        <w:rPr>
          <w:rFonts w:ascii="Arial" w:hAnsi="Arial" w:cs="Arial"/>
          <w:b/>
          <w:bCs/>
          <w:u w:val="single"/>
          <w:lang w:val="es-AR"/>
        </w:rPr>
        <w:t>:</w:t>
      </w:r>
      <w:r w:rsidR="00B05B06" w:rsidRPr="00D87324">
        <w:rPr>
          <w:rFonts w:ascii="Arial" w:hAnsi="Arial" w:cs="Arial"/>
          <w:lang w:val="es-AR"/>
        </w:rPr>
        <w:t xml:space="preserve"> </w:t>
      </w:r>
    </w:p>
    <w:p w14:paraId="1A87BC63" w14:textId="6A306F30" w:rsidR="00B05B06" w:rsidRPr="00D87324" w:rsidRDefault="00B05B06" w:rsidP="00FE7EC7">
      <w:pPr>
        <w:pStyle w:val="ListParagraph"/>
        <w:numPr>
          <w:ilvl w:val="0"/>
          <w:numId w:val="2"/>
        </w:numPr>
        <w:contextualSpacing w:val="0"/>
        <w:jc w:val="both"/>
        <w:rPr>
          <w:rFonts w:ascii="Arial" w:hAnsi="Arial" w:cs="Arial"/>
          <w:lang w:val="es-AR"/>
        </w:rPr>
      </w:pPr>
      <w:r w:rsidRPr="00D87324">
        <w:rPr>
          <w:rFonts w:ascii="Arial" w:hAnsi="Arial" w:cs="Arial"/>
          <w:lang w:val="es-AR"/>
        </w:rPr>
        <w:t xml:space="preserve">Impositivamente deben estar valuados a su cotización al cierre del ejercicio. La cotización se valida en </w:t>
      </w:r>
      <w:r w:rsidR="00B07227" w:rsidRPr="00906844">
        <w:rPr>
          <w:rFonts w:ascii="Arial" w:hAnsi="Arial" w:cs="Arial"/>
          <w:color w:val="000000" w:themeColor="text1"/>
          <w:lang w:val="es-AR"/>
        </w:rPr>
        <w:t>agentes de bolsa</w:t>
      </w:r>
      <w:r w:rsidRPr="00906844">
        <w:rPr>
          <w:rFonts w:ascii="Arial" w:hAnsi="Arial" w:cs="Arial"/>
          <w:color w:val="000000" w:themeColor="text1"/>
          <w:lang w:val="es-AR"/>
        </w:rPr>
        <w:t xml:space="preserve"> </w:t>
      </w:r>
      <w:r w:rsidRPr="00D87324">
        <w:rPr>
          <w:rFonts w:ascii="Arial" w:hAnsi="Arial" w:cs="Arial"/>
          <w:lang w:val="es-AR"/>
        </w:rPr>
        <w:t xml:space="preserve">que cuente con una cotización pública conocida, y se realiza el juste si esta sub (por debajo) o sobre (por encima) valuado. </w:t>
      </w:r>
    </w:p>
    <w:p w14:paraId="711666D8" w14:textId="2296A921" w:rsidR="00B05B06" w:rsidRDefault="00B05B06" w:rsidP="00FE7EC7">
      <w:pPr>
        <w:pStyle w:val="ListParagraph"/>
        <w:numPr>
          <w:ilvl w:val="0"/>
          <w:numId w:val="2"/>
        </w:numPr>
        <w:contextualSpacing w:val="0"/>
        <w:jc w:val="both"/>
        <w:rPr>
          <w:rFonts w:ascii="Arial" w:hAnsi="Arial" w:cs="Arial"/>
          <w:lang w:val="es-AR"/>
        </w:rPr>
      </w:pPr>
      <w:r w:rsidRPr="00D87324">
        <w:rPr>
          <w:rFonts w:ascii="Arial" w:hAnsi="Arial" w:cs="Arial"/>
          <w:lang w:val="es-AR"/>
        </w:rPr>
        <w:t xml:space="preserve">Por </w:t>
      </w:r>
      <w:r w:rsidR="00B07227" w:rsidRPr="00906844">
        <w:rPr>
          <w:rFonts w:ascii="Arial" w:hAnsi="Arial" w:cs="Arial"/>
          <w:color w:val="000000" w:themeColor="text1"/>
          <w:lang w:val="es-AR"/>
        </w:rPr>
        <w:t>criterio general</w:t>
      </w:r>
      <w:r w:rsidRPr="00D87324">
        <w:rPr>
          <w:rFonts w:ascii="Arial" w:hAnsi="Arial" w:cs="Arial"/>
          <w:lang w:val="es-AR"/>
        </w:rPr>
        <w:t xml:space="preserve">, </w:t>
      </w:r>
      <w:r w:rsidR="00B07227">
        <w:rPr>
          <w:rFonts w:ascii="Arial" w:hAnsi="Arial" w:cs="Arial"/>
          <w:lang w:val="es-AR"/>
        </w:rPr>
        <w:t>buscamos</w:t>
      </w:r>
      <w:r w:rsidRPr="00D87324">
        <w:rPr>
          <w:rFonts w:ascii="Arial" w:hAnsi="Arial" w:cs="Arial"/>
          <w:lang w:val="es-AR"/>
        </w:rPr>
        <w:t xml:space="preserve"> la cotización en </w:t>
      </w:r>
      <w:r w:rsidR="00B07227" w:rsidRPr="00906844">
        <w:rPr>
          <w:rFonts w:ascii="Arial" w:hAnsi="Arial" w:cs="Arial"/>
          <w:color w:val="000000" w:themeColor="text1"/>
          <w:lang w:val="es-AR"/>
        </w:rPr>
        <w:t>los siguientes</w:t>
      </w:r>
      <w:r w:rsidRPr="00906844">
        <w:rPr>
          <w:rFonts w:ascii="Arial" w:hAnsi="Arial" w:cs="Arial"/>
          <w:color w:val="000000" w:themeColor="text1"/>
          <w:lang w:val="es-AR"/>
        </w:rPr>
        <w:t xml:space="preserve"> </w:t>
      </w:r>
      <w:r w:rsidRPr="00D87324">
        <w:rPr>
          <w:rFonts w:ascii="Arial" w:hAnsi="Arial" w:cs="Arial"/>
          <w:lang w:val="es-AR"/>
        </w:rPr>
        <w:t>organismos: BOLSAR y MAE</w:t>
      </w:r>
      <w:r w:rsidRPr="00B05B06">
        <w:rPr>
          <w:rFonts w:ascii="Arial" w:hAnsi="Arial" w:cs="Arial"/>
          <w:lang w:val="es-AR"/>
        </w:rPr>
        <w:t xml:space="preserve"> (Mercado Abierto Electrónico).</w:t>
      </w:r>
    </w:p>
    <w:p w14:paraId="0BF807AB" w14:textId="45193029" w:rsidR="00B07227" w:rsidRPr="00B07227" w:rsidRDefault="00B07227" w:rsidP="00B07227">
      <w:pPr>
        <w:pStyle w:val="ListParagraph"/>
        <w:ind w:left="0"/>
        <w:contextualSpacing w:val="0"/>
        <w:rPr>
          <w:rFonts w:ascii="Arial" w:hAnsi="Arial" w:cs="Arial"/>
          <w:color w:val="FF0000"/>
          <w:lang w:val="es-AR"/>
        </w:rPr>
      </w:pPr>
      <w:r w:rsidRPr="00906844">
        <w:rPr>
          <w:rFonts w:ascii="Arial" w:hAnsi="Arial" w:cs="Arial"/>
          <w:b/>
          <w:bCs/>
          <w:color w:val="000000" w:themeColor="text1"/>
          <w:lang w:val="es-AR"/>
        </w:rPr>
        <w:t xml:space="preserve">BOLSAR: </w:t>
      </w:r>
      <w:hyperlink r:id="rId6" w:history="1">
        <w:r w:rsidRPr="00906844">
          <w:rPr>
            <w:rStyle w:val="Hyperlink"/>
            <w:rFonts w:ascii="Arial" w:hAnsi="Arial" w:cs="Arial"/>
            <w:color w:val="000000" w:themeColor="text1"/>
            <w:lang w:val="es-AR"/>
          </w:rPr>
          <w:t>https://bolsar.info/boletines.php?id=boletines</w:t>
        </w:r>
      </w:hyperlink>
    </w:p>
    <w:p w14:paraId="6A4DFBBD" w14:textId="32083734" w:rsidR="00B07227" w:rsidRPr="00B07227" w:rsidRDefault="00B07227" w:rsidP="00B07227">
      <w:pPr>
        <w:pStyle w:val="ListParagraph"/>
        <w:ind w:left="0"/>
        <w:contextualSpacing w:val="0"/>
        <w:rPr>
          <w:rFonts w:ascii="Arial" w:hAnsi="Arial" w:cs="Arial"/>
          <w:color w:val="FF0000"/>
          <w:lang w:val="es-AR"/>
        </w:rPr>
      </w:pPr>
      <w:r w:rsidRPr="00906844">
        <w:rPr>
          <w:rFonts w:ascii="Arial" w:hAnsi="Arial" w:cs="Arial"/>
          <w:b/>
          <w:bCs/>
          <w:color w:val="000000" w:themeColor="text1"/>
          <w:lang w:val="es-AR"/>
        </w:rPr>
        <w:t xml:space="preserve">MAE: </w:t>
      </w:r>
      <w:hyperlink r:id="rId7" w:history="1">
        <w:r w:rsidRPr="00906844">
          <w:rPr>
            <w:rStyle w:val="Hyperlink"/>
            <w:rFonts w:ascii="Arial" w:hAnsi="Arial" w:cs="Arial"/>
            <w:color w:val="000000" w:themeColor="text1"/>
            <w:lang w:val="es-AR"/>
          </w:rPr>
          <w:t>https://www.bymadata.com.ar/</w:t>
        </w:r>
      </w:hyperlink>
    </w:p>
    <w:p w14:paraId="597B172E" w14:textId="77777777" w:rsidR="00B05B06" w:rsidRPr="00B07227" w:rsidRDefault="00B05B06" w:rsidP="00B05B06">
      <w:pPr>
        <w:rPr>
          <w:rFonts w:ascii="Arial" w:hAnsi="Arial" w:cs="Arial"/>
          <w:lang w:val="es-AR"/>
        </w:rPr>
      </w:pPr>
    </w:p>
    <w:p w14:paraId="188231F3" w14:textId="5C43A1C7" w:rsidR="00B05B06" w:rsidRPr="00B05B06" w:rsidRDefault="00B05B06" w:rsidP="00B05B06">
      <w:pPr>
        <w:tabs>
          <w:tab w:val="left" w:pos="3290"/>
        </w:tabs>
        <w:rPr>
          <w:rFonts w:ascii="Arial" w:hAnsi="Arial" w:cs="Arial"/>
          <w:b/>
          <w:bCs/>
          <w:u w:val="single"/>
          <w:lang w:val="es-AR"/>
        </w:rPr>
      </w:pPr>
      <w:r w:rsidRPr="00B05B06">
        <w:rPr>
          <w:rFonts w:ascii="Arial" w:hAnsi="Arial" w:cs="Arial"/>
          <w:b/>
          <w:bCs/>
          <w:u w:val="single"/>
          <w:lang w:val="es-AR"/>
        </w:rPr>
        <w:t>Ajuste:</w:t>
      </w:r>
    </w:p>
    <w:p w14:paraId="3BFFE4DE" w14:textId="147CA9C8" w:rsidR="00A83D18" w:rsidRDefault="00B05B06" w:rsidP="00A83D18">
      <w:pPr>
        <w:rPr>
          <w:rFonts w:ascii="Arial" w:hAnsi="Arial" w:cs="Arial"/>
          <w:lang w:val="es-AR"/>
        </w:rPr>
      </w:pPr>
      <w:r w:rsidRPr="00B05B06">
        <w:rPr>
          <w:rFonts w:ascii="Arial" w:hAnsi="Arial" w:cs="Arial"/>
          <w:noProof/>
          <w:lang w:val="es-AR"/>
        </w:rPr>
        <mc:AlternateContent>
          <mc:Choice Requires="wps">
            <w:drawing>
              <wp:anchor distT="0" distB="0" distL="114300" distR="114300" simplePos="0" relativeHeight="251661312" behindDoc="0" locked="0" layoutInCell="1" allowOverlap="1" wp14:anchorId="0DC71232" wp14:editId="50D324FE">
                <wp:simplePos x="0" y="0"/>
                <wp:positionH relativeFrom="column">
                  <wp:posOffset>5219114</wp:posOffset>
                </wp:positionH>
                <wp:positionV relativeFrom="paragraph">
                  <wp:posOffset>543707</wp:posOffset>
                </wp:positionV>
                <wp:extent cx="717452" cy="295421"/>
                <wp:effectExtent l="0" t="0" r="26035" b="28575"/>
                <wp:wrapNone/>
                <wp:docPr id="653652742" name="Text Box 3"/>
                <wp:cNvGraphicFramePr/>
                <a:graphic xmlns:a="http://schemas.openxmlformats.org/drawingml/2006/main">
                  <a:graphicData uri="http://schemas.microsoft.com/office/word/2010/wordprocessingShape">
                    <wps:wsp>
                      <wps:cNvSpPr txBox="1"/>
                      <wps:spPr>
                        <a:xfrm>
                          <a:off x="0" y="0"/>
                          <a:ext cx="717452" cy="295421"/>
                        </a:xfrm>
                        <a:prstGeom prst="rect">
                          <a:avLst/>
                        </a:prstGeom>
                        <a:solidFill>
                          <a:schemeClr val="lt1"/>
                        </a:solidFill>
                        <a:ln w="6350">
                          <a:solidFill>
                            <a:prstClr val="black"/>
                          </a:solidFill>
                        </a:ln>
                      </wps:spPr>
                      <wps:txbx>
                        <w:txbxContent>
                          <w:p w14:paraId="48788D16" w14:textId="2037E0C7" w:rsidR="00B05B06" w:rsidRDefault="00B05B06">
                            <w:r>
                              <w:t>DDJJ 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71232" id="_x0000_t202" coordsize="21600,21600" o:spt="202" path="m,l,21600r21600,l21600,xe">
                <v:stroke joinstyle="miter"/>
                <v:path gradientshapeok="t" o:connecttype="rect"/>
              </v:shapetype>
              <v:shape id="Text Box 3" o:spid="_x0000_s1026" type="#_x0000_t202" style="position:absolute;margin-left:410.95pt;margin-top:42.8pt;width:56.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KxiNwIAAHsEAAAOAAAAZHJzL2Uyb0RvYy54bWysVE1v2zAMvQ/YfxB0X5x4SdMacYosRYYB&#10;QVsgHXpWZCk2JouapMTOfv0o2flot9Owi0yK1CP5SHp239aKHIR1FeicjgZDSoTmUFR6l9PvL6tP&#10;t5Q4z3TBFGiR06Nw9H7+8cOsMZlIoQRVCEsQRLusMTktvTdZkjheipq5ARih0SjB1syjandJYVmD&#10;6LVK0uHwJmnAFsYCF87h7UNnpPOIL6Xg/klKJzxROcXcfDxtPLfhTOYzlu0sM2XF+zTYP2RRs0pj&#10;0DPUA/OM7G31B1RdcQsOpB9wqBOQsuIi1oDVjIbvqtmUzIhYC5LjzJkm9/9g+eNhY54t8e0XaLGB&#10;gZDGuMzhZainlbYOX8yUoB0pPJ5pE60nHC+no+l4klLC0ZTeTcZpREkuj411/quAmgQhpxa7Esli&#10;h7XzGBBdTy4hlgNVFatKqaiESRBLZcmBYQ+VP4G/8VKaNDm9+TwZRuA3tgB9fr9VjP8IRWLMKy/U&#10;lMbLS+lB8u227fnYQnFEmix0E+QMX1WIu2bOPzOLI4PM4Br4JzykAkwGeomSEuyvv90Hf+wkWilp&#10;cARz6n7umRWUqG8ae3w3Go/DzEZlPJmmqNhry/baovf1EpChES6c4VEM/l6dRGmhfsVtWYSoaGKa&#10;Y+yc+pO49N1i4LZxsVhEJ5xSw/xabwwP0KEjgc+X9pVZ0/fT4yA8wmlYWfaurZ1veKlhsfcgq9jz&#10;QHDHas87TnhsS7+NYYWu9eh1+WfMfwMAAP//AwBQSwMEFAAGAAgAAAAhACecSuLcAAAACgEAAA8A&#10;AABkcnMvZG93bnJldi54bWxMjz1PwzAQhnck/oN1SGzUSQpVEuJUgAoLEwUxX2PXtojtyHbT8O85&#10;Jtju49F7z3XbxY1sVjHZ4AWUqwKY8kOQ1msBH+/PNzWwlNFLHINXAr5Vgm1/edFhK8PZv6l5nzWj&#10;EJ9aFGBynlrO02CUw7QKk/K0O4boMFMbNZcRzxTuRl4VxYY7tJ4uGJzUk1HD1/7kBOwedaOHGqPZ&#10;1dLaefk8vuoXIa6vlod7YFkt+Q+GX31Sh56cDuHkZWKjgLoqG0KpuNsAI6BZ39LgQOS6KoH3Hf//&#10;Qv8DAAD//wMAUEsBAi0AFAAGAAgAAAAhALaDOJL+AAAA4QEAABMAAAAAAAAAAAAAAAAAAAAAAFtD&#10;b250ZW50X1R5cGVzXS54bWxQSwECLQAUAAYACAAAACEAOP0h/9YAAACUAQAACwAAAAAAAAAAAAAA&#10;AAAvAQAAX3JlbHMvLnJlbHNQSwECLQAUAAYACAAAACEA5DSsYjcCAAB7BAAADgAAAAAAAAAAAAAA&#10;AAAuAgAAZHJzL2Uyb0RvYy54bWxQSwECLQAUAAYACAAAACEAJ5xK4twAAAAKAQAADwAAAAAAAAAA&#10;AAAAAACRBAAAZHJzL2Rvd25yZXYueG1sUEsFBgAAAAAEAAQA8wAAAJoFAAAAAA==&#10;" fillcolor="white [3201]" strokeweight=".5pt">
                <v:textbox>
                  <w:txbxContent>
                    <w:p w14:paraId="48788D16" w14:textId="2037E0C7" w:rsidR="00B05B06" w:rsidRDefault="00B05B06">
                      <w:r>
                        <w:t>DDJJ LY</w:t>
                      </w:r>
                    </w:p>
                  </w:txbxContent>
                </v:textbox>
              </v:shape>
            </w:pict>
          </mc:Fallback>
        </mc:AlternateContent>
      </w:r>
      <w:r w:rsidRPr="00B05B06">
        <w:rPr>
          <w:rFonts w:ascii="Arial" w:hAnsi="Arial" w:cs="Arial"/>
          <w:noProof/>
          <w:lang w:val="es-AR"/>
        </w:rPr>
        <mc:AlternateContent>
          <mc:Choice Requires="wps">
            <w:drawing>
              <wp:anchor distT="0" distB="0" distL="114300" distR="114300" simplePos="0" relativeHeight="251659264" behindDoc="0" locked="0" layoutInCell="1" allowOverlap="1" wp14:anchorId="2E4E6A57" wp14:editId="28CF3626">
                <wp:simplePos x="0" y="0"/>
                <wp:positionH relativeFrom="column">
                  <wp:posOffset>4135902</wp:posOffset>
                </wp:positionH>
                <wp:positionV relativeFrom="paragraph">
                  <wp:posOffset>578876</wp:posOffset>
                </wp:positionV>
                <wp:extent cx="949325" cy="57003"/>
                <wp:effectExtent l="0" t="19050" r="79375" b="95885"/>
                <wp:wrapNone/>
                <wp:docPr id="49711288" name="Straight Arrow Connector 1"/>
                <wp:cNvGraphicFramePr/>
                <a:graphic xmlns:a="http://schemas.openxmlformats.org/drawingml/2006/main">
                  <a:graphicData uri="http://schemas.microsoft.com/office/word/2010/wordprocessingShape">
                    <wps:wsp>
                      <wps:cNvCnPr/>
                      <wps:spPr>
                        <a:xfrm>
                          <a:off x="0" y="0"/>
                          <a:ext cx="949325" cy="5700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43438D" id="_x0000_t32" coordsize="21600,21600" o:spt="32" o:oned="t" path="m,l21600,21600e" filled="f">
                <v:path arrowok="t" fillok="f" o:connecttype="none"/>
                <o:lock v:ext="edit" shapetype="t"/>
              </v:shapetype>
              <v:shape id="Straight Arrow Connector 1" o:spid="_x0000_s1026" type="#_x0000_t32" style="position:absolute;margin-left:325.65pt;margin-top:45.6pt;width:74.7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Re3vwEAAM4DAAAOAAAAZHJzL2Uyb0RvYy54bWysU9uO0zAQfUfiHyy/06RdFtio6T50gRcE&#10;q4X9AK8zTiz5pvHQpH+P7bQpArRIiJeJL3POzByfbG8na9gBMGrvWr5e1ZyBk77Trm/547cPr95x&#10;Fkm4ThjvoOVHiPx29/LFdgwNbPzgTQfIEomLzRhaPhCFpqqiHMCKuPIBXLpUHq2gtMW+6lCMid2a&#10;alPXb6rRYxfQS4gxnd7Nl3xX+JUCSV+UikDMtDz1RiViiU85VrutaHoUYdDy1Ib4hy6s0C4VXaju&#10;BAn2HfVvVFZL9NErWklvK6+UllBmSNOs61+m+TqIAGWWJE4Mi0zx/9HKz4e9u8ckwxhiE8M95ikm&#10;hTZ/U39sKmIdF7FgIibT4c3rm6vNNWcyXV2/reurrGV1wQaM9BG8ZXnR8kgodD/Q3juXXsXjuugl&#10;Dp8izcAzIBc2LkcS2rx3HaNjSNYh1ML1Bk51ckp1abqs6Ghghj+AYrpLbW5KmeIn2BtkB5GcIKQE&#10;R+uFKWVnmNLGLMD678BTfoZC8doCnod7tuqCKJW9owVstfP4p+o0nVtWc/5ZgXnuLMGT747lOYs0&#10;yTTlTU4Gz678eV/gl99w9wMAAP//AwBQSwMEFAAGAAgAAAAhAHaYX0/dAAAACgEAAA8AAABkcnMv&#10;ZG93bnJldi54bWxMj0FPhDAQhe8m/odmTLy5LRg3iJSNkng0Rlzda6EjEOmU0C6L/97x5B4n8+W9&#10;7xW71Y1iwTkMnjQkGwUCqfV2oE7D/v35JgMRoiFrRk+o4QcD7MrLi8Lk1p/oDZc6doJDKORGQx/j&#10;lEsZ2h6dCRs/IfHvy8/ORD7nTtrZnDjcjTJVaiudGYgbejNh1WP7XR+dho+Dmw7Z/qV6quvQVKF5&#10;HePnovX11fr4ACLiGv9h+NNndSjZqfFHskGMGrZ3yS2jGu6TFAQDmVK8pWFSqRRkWcjzCeUvAAAA&#10;//8DAFBLAQItABQABgAIAAAAIQC2gziS/gAAAOEBAAATAAAAAAAAAAAAAAAAAAAAAABbQ29udGVu&#10;dF9UeXBlc10ueG1sUEsBAi0AFAAGAAgAAAAhADj9If/WAAAAlAEAAAsAAAAAAAAAAAAAAAAALwEA&#10;AF9yZWxzLy5yZWxzUEsBAi0AFAAGAAgAAAAhAIchF7e/AQAAzgMAAA4AAAAAAAAAAAAAAAAALgIA&#10;AGRycy9lMm9Eb2MueG1sUEsBAi0AFAAGAAgAAAAhAHaYX0/dAAAACgEAAA8AAAAAAAAAAAAAAAAA&#10;GQQAAGRycy9kb3ducmV2LnhtbFBLBQYAAAAABAAEAPMAAAAjBQAAAAA=&#10;" strokecolor="#156082 [3204]" strokeweight="1.5pt">
                <v:stroke endarrow="block" joinstyle="miter"/>
              </v:shape>
            </w:pict>
          </mc:Fallback>
        </mc:AlternateContent>
      </w:r>
      <w:r w:rsidRPr="00B05B06">
        <w:rPr>
          <w:rFonts w:ascii="Arial" w:hAnsi="Arial" w:cs="Arial"/>
          <w:noProof/>
          <w:lang w:val="es-AR"/>
        </w:rPr>
        <mc:AlternateContent>
          <mc:Choice Requires="wps">
            <w:drawing>
              <wp:anchor distT="0" distB="0" distL="114300" distR="114300" simplePos="0" relativeHeight="251660288" behindDoc="0" locked="0" layoutInCell="1" allowOverlap="1" wp14:anchorId="1EF4CF59" wp14:editId="4D5AD500">
                <wp:simplePos x="0" y="0"/>
                <wp:positionH relativeFrom="column">
                  <wp:posOffset>4121834</wp:posOffset>
                </wp:positionH>
                <wp:positionV relativeFrom="paragraph">
                  <wp:posOffset>763906</wp:posOffset>
                </wp:positionV>
                <wp:extent cx="963393" cy="45719"/>
                <wp:effectExtent l="0" t="76200" r="8255" b="50165"/>
                <wp:wrapNone/>
                <wp:docPr id="2037008620" name="Straight Arrow Connector 2"/>
                <wp:cNvGraphicFramePr/>
                <a:graphic xmlns:a="http://schemas.openxmlformats.org/drawingml/2006/main">
                  <a:graphicData uri="http://schemas.microsoft.com/office/word/2010/wordprocessingShape">
                    <wps:wsp>
                      <wps:cNvCnPr/>
                      <wps:spPr>
                        <a:xfrm flipV="1">
                          <a:off x="0" y="0"/>
                          <a:ext cx="963393"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6AECC4" id="Straight Arrow Connector 2" o:spid="_x0000_s1026" type="#_x0000_t32" style="position:absolute;margin-left:324.55pt;margin-top:60.15pt;width:75.85pt;height:3.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4OYxgEAANgDAAAOAAAAZHJzL2Uyb0RvYy54bWysU02P0zAQvSPxHyzfadIWFlo13UMXuCBY&#10;8XX3OuPEkr9kD03y7xk7bRYBAglxGTn2vDfz3kwOt6M17Awxae8avl7VnIGTvtWua/iXz2+eveIs&#10;oXCtMN5BwydI/Pb49MlhCHvY+N6bFiIjEpf2Q2h4jxj2VZVkD1aklQ/g6FH5aAXSZ+yqNoqB2K2p&#10;NnV9Uw0+tiF6CSnR7d38yI+FXymQ+EGpBMhMw6k3LDGW+JBjdTyIfRdF6LW8tCH+oQsrtKOiC9Wd&#10;QMG+Rf0LldUy+uQVrqS3lVdKSygaSM26/knNp14EKFrInBQWm9L/o5Xvzyd3H8mGIaR9CvcxqxhV&#10;tEwZHb7STIsu6pSNxbZpsQ1GZJIudzfb7W7LmaSn5y9ernfZ1WpmyWwhJnwL3rJ8aHjCKHTX48k7&#10;R/Pxca4gzu8SzsArIIONyxGFNq9dy3AKtEQYtXCdgUudnFI9tl9OOBmY4R9BMd1Sm5sipGwWnExk&#10;Z0E7IaQEh+uFibIzTGljFmD9d+AlP0OhbN0CnsX9seqCKJW9wwVstfPxd9VxvLas5vyrA7PubMGD&#10;b6cy2GINrU+ZyWXV837++F3gjz/k8TsAAAD//wMAUEsDBBQABgAIAAAAIQBc2dAC3QAAAAsBAAAP&#10;AAAAZHJzL2Rvd25yZXYueG1sTI/BTsMwEETvSPyDtUjcqN0W2jTEqRASZ6BQenXjbRKI15HttOHv&#10;2Z7KcWeeZmeK9eg6ccQQW08aphMFAqnytqVaw+fHy10GIiZD1nSeUMMvRliX11eFya0/0TseN6kW&#10;HEIxNxqalPpcylg16Eyc+B6JvYMPziQ+Qy1tMCcOd52cKbWQzrTEHxrT43OD1c9mcBoOu2o5dzIM&#10;3299+7odvzIbt1Hr25vx6RFEwjFdYDjX5+pQcqe9H8hG0WlY3K+mjLIxU3MQTGRK8Zj9WVk+gCwL&#10;+X9D+QcAAP//AwBQSwECLQAUAAYACAAAACEAtoM4kv4AAADhAQAAEwAAAAAAAAAAAAAAAAAAAAAA&#10;W0NvbnRlbnRfVHlwZXNdLnhtbFBLAQItABQABgAIAAAAIQA4/SH/1gAAAJQBAAALAAAAAAAAAAAA&#10;AAAAAC8BAABfcmVscy8ucmVsc1BLAQItABQABgAIAAAAIQCSU4OYxgEAANgDAAAOAAAAAAAAAAAA&#10;AAAAAC4CAABkcnMvZTJvRG9jLnhtbFBLAQItABQABgAIAAAAIQBc2dAC3QAAAAsBAAAPAAAAAAAA&#10;AAAAAAAAACAEAABkcnMvZG93bnJldi54bWxQSwUGAAAAAAQABADzAAAAKgUAAAAA&#10;" strokecolor="#156082 [3204]" strokeweight="1.5pt">
                <v:stroke endarrow="block" joinstyle="miter"/>
              </v:shape>
            </w:pict>
          </mc:Fallback>
        </mc:AlternateContent>
      </w:r>
      <w:r w:rsidRPr="00B05B06">
        <w:rPr>
          <w:rFonts w:ascii="Arial" w:hAnsi="Arial" w:cs="Arial"/>
          <w:noProof/>
          <w:lang w:val="es-AR"/>
        </w:rPr>
        <w:drawing>
          <wp:inline distT="0" distB="0" distL="0" distR="0" wp14:anchorId="01D3C92D" wp14:editId="3A8F3CFE">
            <wp:extent cx="4557932" cy="1333617"/>
            <wp:effectExtent l="0" t="0" r="0" b="0"/>
            <wp:docPr id="16508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63285" name=""/>
                    <pic:cNvPicPr/>
                  </pic:nvPicPr>
                  <pic:blipFill>
                    <a:blip r:embed="rId8"/>
                    <a:stretch>
                      <a:fillRect/>
                    </a:stretch>
                  </pic:blipFill>
                  <pic:spPr>
                    <a:xfrm>
                      <a:off x="0" y="0"/>
                      <a:ext cx="4575052" cy="1338626"/>
                    </a:xfrm>
                    <a:prstGeom prst="rect">
                      <a:avLst/>
                    </a:prstGeom>
                  </pic:spPr>
                </pic:pic>
              </a:graphicData>
            </a:graphic>
          </wp:inline>
        </w:drawing>
      </w:r>
    </w:p>
    <w:p w14:paraId="39EAE69D" w14:textId="3BA820D2" w:rsidR="00B05B06" w:rsidRDefault="00B05B06" w:rsidP="00FE7EC7">
      <w:pPr>
        <w:jc w:val="both"/>
        <w:rPr>
          <w:rFonts w:ascii="Arial" w:hAnsi="Arial" w:cs="Arial"/>
          <w:color w:val="000000" w:themeColor="text1"/>
          <w:lang w:val="es-AR"/>
        </w:rPr>
      </w:pPr>
      <w:r w:rsidRPr="00B05B06">
        <w:rPr>
          <w:rFonts w:ascii="Arial" w:hAnsi="Arial" w:cs="Arial"/>
          <w:lang w:val="es-AR"/>
        </w:rPr>
        <w:t xml:space="preserve">Se </w:t>
      </w:r>
      <w:r w:rsidR="00C016E1" w:rsidRPr="00906844">
        <w:rPr>
          <w:rFonts w:ascii="Arial" w:hAnsi="Arial" w:cs="Arial"/>
          <w:color w:val="000000" w:themeColor="text1"/>
          <w:lang w:val="es-AR"/>
        </w:rPr>
        <w:t>reversan los saldos finales</w:t>
      </w:r>
      <w:r w:rsidR="00906844">
        <w:rPr>
          <w:rFonts w:ascii="Arial" w:hAnsi="Arial" w:cs="Arial"/>
          <w:color w:val="000000" w:themeColor="text1"/>
          <w:lang w:val="es-AR"/>
        </w:rPr>
        <w:t xml:space="preserve">, </w:t>
      </w:r>
      <w:r w:rsidRPr="00B05B06">
        <w:rPr>
          <w:rFonts w:ascii="Arial" w:hAnsi="Arial" w:cs="Arial"/>
          <w:lang w:val="es-AR"/>
        </w:rPr>
        <w:t xml:space="preserve">tanto el impositivo, como el contable, </w:t>
      </w:r>
      <w:r w:rsidR="00C016E1" w:rsidRPr="00906844">
        <w:rPr>
          <w:rFonts w:ascii="Arial" w:hAnsi="Arial" w:cs="Arial"/>
          <w:color w:val="000000" w:themeColor="text1"/>
          <w:lang w:val="es-AR"/>
        </w:rPr>
        <w:t xml:space="preserve">de </w:t>
      </w:r>
      <w:r w:rsidRPr="00B05B06">
        <w:rPr>
          <w:rFonts w:ascii="Arial" w:hAnsi="Arial" w:cs="Arial"/>
          <w:lang w:val="es-AR"/>
        </w:rPr>
        <w:t xml:space="preserve">la Declaración Jurada del ejercicio anterior. </w:t>
      </w:r>
      <w:r w:rsidR="00D0556A">
        <w:rPr>
          <w:rFonts w:ascii="Arial" w:hAnsi="Arial" w:cs="Arial"/>
          <w:lang w:val="es-AR"/>
        </w:rPr>
        <w:t xml:space="preserve">Se colocan con el signo inverso </w:t>
      </w:r>
      <w:r w:rsidR="00C016E1" w:rsidRPr="00906844">
        <w:rPr>
          <w:rFonts w:ascii="Arial" w:hAnsi="Arial" w:cs="Arial"/>
          <w:color w:val="000000" w:themeColor="text1"/>
          <w:lang w:val="es-AR"/>
        </w:rPr>
        <w:t xml:space="preserve">con </w:t>
      </w:r>
      <w:r w:rsidR="00D0556A">
        <w:rPr>
          <w:rFonts w:ascii="Arial" w:hAnsi="Arial" w:cs="Arial"/>
          <w:lang w:val="es-AR"/>
        </w:rPr>
        <w:t>el objetiv</w:t>
      </w:r>
      <w:r w:rsidR="00D0556A" w:rsidRPr="00906844">
        <w:rPr>
          <w:rFonts w:ascii="Arial" w:hAnsi="Arial" w:cs="Arial"/>
          <w:color w:val="000000" w:themeColor="text1"/>
          <w:lang w:val="es-AR"/>
        </w:rPr>
        <w:t xml:space="preserve">o </w:t>
      </w:r>
      <w:r w:rsidR="00C016E1" w:rsidRPr="00906844">
        <w:rPr>
          <w:rFonts w:ascii="Arial" w:hAnsi="Arial" w:cs="Arial"/>
          <w:color w:val="000000" w:themeColor="text1"/>
          <w:lang w:val="es-AR"/>
        </w:rPr>
        <w:t xml:space="preserve">de </w:t>
      </w:r>
      <w:r w:rsidR="00D0556A" w:rsidRPr="00906844">
        <w:rPr>
          <w:rFonts w:ascii="Arial" w:hAnsi="Arial" w:cs="Arial"/>
          <w:color w:val="000000" w:themeColor="text1"/>
          <w:lang w:val="es-AR"/>
        </w:rPr>
        <w:t>impugnar el cargo</w:t>
      </w:r>
      <w:r w:rsidR="00C016E1" w:rsidRPr="00906844">
        <w:rPr>
          <w:rFonts w:ascii="Arial" w:hAnsi="Arial" w:cs="Arial"/>
          <w:color w:val="000000" w:themeColor="text1"/>
          <w:lang w:val="es-AR"/>
        </w:rPr>
        <w:t xml:space="preserve"> por diferencia contra el saldo final del ejercicio actual</w:t>
      </w:r>
      <w:r w:rsidR="00D0556A" w:rsidRPr="00906844">
        <w:rPr>
          <w:rFonts w:ascii="Arial" w:hAnsi="Arial" w:cs="Arial"/>
          <w:color w:val="000000" w:themeColor="text1"/>
          <w:lang w:val="es-AR"/>
        </w:rPr>
        <w:t xml:space="preserve">. </w:t>
      </w:r>
    </w:p>
    <w:p w14:paraId="05D12ABE" w14:textId="7FEE0A8D" w:rsidR="00A83D18" w:rsidRPr="00B05B06" w:rsidRDefault="00A83D18" w:rsidP="00FE7EC7">
      <w:pPr>
        <w:jc w:val="both"/>
        <w:rPr>
          <w:rFonts w:ascii="Arial" w:hAnsi="Arial" w:cs="Arial"/>
          <w:lang w:val="es-AR"/>
        </w:rPr>
      </w:pPr>
      <w:r w:rsidRPr="002924C7">
        <w:rPr>
          <w:rFonts w:ascii="Arial" w:hAnsi="Arial" w:cs="Arial"/>
          <w:lang w:val="es-AR"/>
        </w:rPr>
        <w:t>El siguiente cuadro detalla los títulos públicos informados por la compañía y la información utilizada para su valuación fiscal. Asimismo, sirve de base para la determinación del ajuste correspondiente al ejercicio,</w:t>
      </w:r>
      <w:r w:rsidR="00325371">
        <w:rPr>
          <w:rFonts w:ascii="Arial" w:hAnsi="Arial" w:cs="Arial"/>
          <w:lang w:val="es-AR"/>
        </w:rPr>
        <w:t xml:space="preserve"> como base para el análisis de los saldos finales, contable e impositivo,</w:t>
      </w:r>
      <w:r w:rsidRPr="002924C7">
        <w:rPr>
          <w:rFonts w:ascii="Arial" w:hAnsi="Arial" w:cs="Arial"/>
          <w:lang w:val="es-AR"/>
        </w:rPr>
        <w:t xml:space="preserve"> considerando la valuación de las tenencias al cierre del ejercicio bajo análisis.</w:t>
      </w:r>
      <w:r w:rsidR="00325371">
        <w:rPr>
          <w:rFonts w:ascii="Arial" w:hAnsi="Arial" w:cs="Arial"/>
          <w:lang w:val="es-AR"/>
        </w:rPr>
        <w:t xml:space="preserve"> </w:t>
      </w:r>
    </w:p>
    <w:tbl>
      <w:tblPr>
        <w:tblW w:w="9835" w:type="dxa"/>
        <w:jc w:val="center"/>
        <w:tblLook w:val="04A0" w:firstRow="1" w:lastRow="0" w:firstColumn="1" w:lastColumn="0" w:noHBand="0" w:noVBand="1"/>
      </w:tblPr>
      <w:tblGrid>
        <w:gridCol w:w="3433"/>
        <w:gridCol w:w="343"/>
        <w:gridCol w:w="1657"/>
        <w:gridCol w:w="1280"/>
        <w:gridCol w:w="1437"/>
        <w:gridCol w:w="1905"/>
      </w:tblGrid>
      <w:tr w:rsidR="00B05B06" w:rsidRPr="00B05B06" w14:paraId="244A1CF0" w14:textId="77777777" w:rsidTr="00B05B06">
        <w:trPr>
          <w:trHeight w:val="265"/>
          <w:jc w:val="center"/>
        </w:trPr>
        <w:tc>
          <w:tcPr>
            <w:tcW w:w="3433" w:type="dxa"/>
            <w:tcBorders>
              <w:top w:val="nil"/>
              <w:left w:val="nil"/>
              <w:bottom w:val="single" w:sz="8" w:space="0" w:color="auto"/>
              <w:right w:val="nil"/>
            </w:tcBorders>
            <w:shd w:val="clear" w:color="000000" w:fill="FFFFFF"/>
            <w:noWrap/>
            <w:vAlign w:val="bottom"/>
            <w:hideMark/>
          </w:tcPr>
          <w:p w14:paraId="2DB64AA9" w14:textId="77777777" w:rsidR="00B05B06" w:rsidRPr="00B05B06" w:rsidRDefault="00B05B06" w:rsidP="00B05B06">
            <w:pPr>
              <w:spacing w:after="0" w:line="240" w:lineRule="auto"/>
              <w:jc w:val="center"/>
              <w:rPr>
                <w:rFonts w:ascii="Arial" w:eastAsia="Times New Roman" w:hAnsi="Arial" w:cs="Arial"/>
                <w:b/>
                <w:bCs/>
                <w:kern w:val="0"/>
                <w14:ligatures w14:val="none"/>
              </w:rPr>
            </w:pPr>
            <w:proofErr w:type="spellStart"/>
            <w:r w:rsidRPr="00B05B06">
              <w:rPr>
                <w:rFonts w:ascii="Arial" w:eastAsia="Times New Roman" w:hAnsi="Arial" w:cs="Arial"/>
                <w:b/>
                <w:bCs/>
                <w:kern w:val="0"/>
                <w14:ligatures w14:val="none"/>
              </w:rPr>
              <w:t>Especie</w:t>
            </w:r>
            <w:proofErr w:type="spellEnd"/>
          </w:p>
        </w:tc>
        <w:tc>
          <w:tcPr>
            <w:tcW w:w="343" w:type="dxa"/>
            <w:tcBorders>
              <w:top w:val="nil"/>
              <w:left w:val="nil"/>
              <w:bottom w:val="single" w:sz="8" w:space="0" w:color="auto"/>
              <w:right w:val="nil"/>
            </w:tcBorders>
            <w:shd w:val="clear" w:color="000000" w:fill="FFFFFF"/>
            <w:noWrap/>
            <w:vAlign w:val="bottom"/>
            <w:hideMark/>
          </w:tcPr>
          <w:p w14:paraId="455B06EB" w14:textId="77777777" w:rsidR="00B05B06" w:rsidRPr="00B05B06" w:rsidRDefault="00B05B06" w:rsidP="00B05B06">
            <w:pPr>
              <w:spacing w:after="0" w:line="240" w:lineRule="auto"/>
              <w:rPr>
                <w:rFonts w:ascii="Arial" w:eastAsia="Times New Roman" w:hAnsi="Arial" w:cs="Arial"/>
                <w:b/>
                <w:bCs/>
                <w:kern w:val="0"/>
                <w14:ligatures w14:val="none"/>
              </w:rPr>
            </w:pPr>
            <w:r w:rsidRPr="00B05B06">
              <w:rPr>
                <w:rFonts w:ascii="Arial" w:eastAsia="Times New Roman" w:hAnsi="Arial" w:cs="Arial"/>
                <w:b/>
                <w:bCs/>
                <w:kern w:val="0"/>
                <w14:ligatures w14:val="none"/>
              </w:rPr>
              <w:t> </w:t>
            </w:r>
          </w:p>
        </w:tc>
        <w:tc>
          <w:tcPr>
            <w:tcW w:w="1437" w:type="dxa"/>
            <w:tcBorders>
              <w:top w:val="nil"/>
              <w:left w:val="nil"/>
              <w:bottom w:val="single" w:sz="8" w:space="0" w:color="auto"/>
              <w:right w:val="nil"/>
            </w:tcBorders>
            <w:shd w:val="clear" w:color="000000" w:fill="FFFFFF"/>
            <w:noWrap/>
            <w:vAlign w:val="bottom"/>
            <w:hideMark/>
          </w:tcPr>
          <w:p w14:paraId="502530D3" w14:textId="77777777" w:rsidR="00B05B06" w:rsidRPr="00B05B06" w:rsidRDefault="00B05B06" w:rsidP="00B05B06">
            <w:pPr>
              <w:spacing w:after="0" w:line="240" w:lineRule="auto"/>
              <w:jc w:val="center"/>
              <w:rPr>
                <w:rFonts w:ascii="Arial" w:eastAsia="Times New Roman" w:hAnsi="Arial" w:cs="Arial"/>
                <w:b/>
                <w:bCs/>
                <w:kern w:val="0"/>
                <w14:ligatures w14:val="none"/>
              </w:rPr>
            </w:pPr>
            <w:proofErr w:type="spellStart"/>
            <w:r w:rsidRPr="00B05B06">
              <w:rPr>
                <w:rFonts w:ascii="Arial" w:eastAsia="Times New Roman" w:hAnsi="Arial" w:cs="Arial"/>
                <w:b/>
                <w:bCs/>
                <w:kern w:val="0"/>
                <w14:ligatures w14:val="none"/>
              </w:rPr>
              <w:t>V.Nominales</w:t>
            </w:r>
            <w:proofErr w:type="spellEnd"/>
          </w:p>
        </w:tc>
        <w:tc>
          <w:tcPr>
            <w:tcW w:w="1280" w:type="dxa"/>
            <w:tcBorders>
              <w:top w:val="nil"/>
              <w:left w:val="nil"/>
              <w:bottom w:val="single" w:sz="8" w:space="0" w:color="auto"/>
              <w:right w:val="nil"/>
            </w:tcBorders>
            <w:shd w:val="clear" w:color="000000" w:fill="FFFFFF"/>
            <w:noWrap/>
            <w:vAlign w:val="bottom"/>
            <w:hideMark/>
          </w:tcPr>
          <w:p w14:paraId="3DCEE51F" w14:textId="77777777" w:rsidR="00B05B06" w:rsidRPr="00B05B06" w:rsidRDefault="00B05B06" w:rsidP="00B05B06">
            <w:pPr>
              <w:spacing w:after="0" w:line="240" w:lineRule="auto"/>
              <w:jc w:val="center"/>
              <w:rPr>
                <w:rFonts w:ascii="Arial" w:eastAsia="Times New Roman" w:hAnsi="Arial" w:cs="Arial"/>
                <w:b/>
                <w:bCs/>
                <w:kern w:val="0"/>
                <w14:ligatures w14:val="none"/>
              </w:rPr>
            </w:pPr>
            <w:r w:rsidRPr="00B05B06">
              <w:rPr>
                <w:rFonts w:ascii="Arial" w:eastAsia="Times New Roman" w:hAnsi="Arial" w:cs="Arial"/>
                <w:b/>
                <w:bCs/>
                <w:kern w:val="0"/>
                <w14:ligatures w14:val="none"/>
              </w:rPr>
              <w:t>% Amort.</w:t>
            </w:r>
          </w:p>
        </w:tc>
        <w:tc>
          <w:tcPr>
            <w:tcW w:w="1437" w:type="dxa"/>
            <w:tcBorders>
              <w:top w:val="nil"/>
              <w:left w:val="nil"/>
              <w:bottom w:val="single" w:sz="8" w:space="0" w:color="auto"/>
              <w:right w:val="nil"/>
            </w:tcBorders>
            <w:shd w:val="clear" w:color="000000" w:fill="FFFFFF"/>
            <w:noWrap/>
            <w:vAlign w:val="bottom"/>
            <w:hideMark/>
          </w:tcPr>
          <w:p w14:paraId="4538A144" w14:textId="77777777" w:rsidR="00B05B06" w:rsidRPr="00B05B06" w:rsidRDefault="00B05B06" w:rsidP="00B05B06">
            <w:pPr>
              <w:spacing w:after="0" w:line="240" w:lineRule="auto"/>
              <w:jc w:val="center"/>
              <w:rPr>
                <w:rFonts w:ascii="Arial" w:eastAsia="Times New Roman" w:hAnsi="Arial" w:cs="Arial"/>
                <w:b/>
                <w:bCs/>
                <w:kern w:val="0"/>
                <w14:ligatures w14:val="none"/>
              </w:rPr>
            </w:pPr>
            <w:r w:rsidRPr="00B05B06">
              <w:rPr>
                <w:rFonts w:ascii="Arial" w:eastAsia="Times New Roman" w:hAnsi="Arial" w:cs="Arial"/>
                <w:b/>
                <w:bCs/>
                <w:kern w:val="0"/>
                <w14:ligatures w14:val="none"/>
              </w:rPr>
              <w:t xml:space="preserve"> </w:t>
            </w:r>
            <w:proofErr w:type="spellStart"/>
            <w:r w:rsidRPr="00B05B06">
              <w:rPr>
                <w:rFonts w:ascii="Arial" w:eastAsia="Times New Roman" w:hAnsi="Arial" w:cs="Arial"/>
                <w:b/>
                <w:bCs/>
                <w:kern w:val="0"/>
                <w14:ligatures w14:val="none"/>
              </w:rPr>
              <w:t>Cotización</w:t>
            </w:r>
            <w:proofErr w:type="spellEnd"/>
            <w:r w:rsidRPr="00B05B06">
              <w:rPr>
                <w:rFonts w:ascii="Arial" w:eastAsia="Times New Roman" w:hAnsi="Arial" w:cs="Arial"/>
                <w:b/>
                <w:bCs/>
                <w:kern w:val="0"/>
                <w14:ligatures w14:val="none"/>
              </w:rPr>
              <w:t xml:space="preserve"> </w:t>
            </w:r>
          </w:p>
        </w:tc>
        <w:tc>
          <w:tcPr>
            <w:tcW w:w="1905" w:type="dxa"/>
            <w:tcBorders>
              <w:top w:val="nil"/>
              <w:left w:val="nil"/>
              <w:bottom w:val="single" w:sz="8" w:space="0" w:color="auto"/>
              <w:right w:val="nil"/>
            </w:tcBorders>
            <w:shd w:val="clear" w:color="000000" w:fill="FFFFFF"/>
            <w:noWrap/>
            <w:vAlign w:val="bottom"/>
            <w:hideMark/>
          </w:tcPr>
          <w:p w14:paraId="288F80BA" w14:textId="77777777" w:rsidR="00B05B06" w:rsidRPr="00B05B06" w:rsidRDefault="00B05B06" w:rsidP="00B05B06">
            <w:pPr>
              <w:spacing w:after="0" w:line="240" w:lineRule="auto"/>
              <w:jc w:val="center"/>
              <w:rPr>
                <w:rFonts w:ascii="Arial" w:eastAsia="Times New Roman" w:hAnsi="Arial" w:cs="Arial"/>
                <w:b/>
                <w:bCs/>
                <w:kern w:val="0"/>
                <w14:ligatures w14:val="none"/>
              </w:rPr>
            </w:pPr>
            <w:r w:rsidRPr="00B05B06">
              <w:rPr>
                <w:rFonts w:ascii="Arial" w:eastAsia="Times New Roman" w:hAnsi="Arial" w:cs="Arial"/>
                <w:b/>
                <w:bCs/>
                <w:kern w:val="0"/>
                <w14:ligatures w14:val="none"/>
              </w:rPr>
              <w:t xml:space="preserve"> </w:t>
            </w:r>
            <w:proofErr w:type="spellStart"/>
            <w:r w:rsidRPr="00B05B06">
              <w:rPr>
                <w:rFonts w:ascii="Arial" w:eastAsia="Times New Roman" w:hAnsi="Arial" w:cs="Arial"/>
                <w:b/>
                <w:bCs/>
                <w:kern w:val="0"/>
                <w14:ligatures w14:val="none"/>
              </w:rPr>
              <w:t>Valuación</w:t>
            </w:r>
            <w:proofErr w:type="spellEnd"/>
            <w:r w:rsidRPr="00B05B06">
              <w:rPr>
                <w:rFonts w:ascii="Arial" w:eastAsia="Times New Roman" w:hAnsi="Arial" w:cs="Arial"/>
                <w:b/>
                <w:bCs/>
                <w:kern w:val="0"/>
                <w14:ligatures w14:val="none"/>
              </w:rPr>
              <w:t xml:space="preserve"> </w:t>
            </w:r>
            <w:proofErr w:type="spellStart"/>
            <w:r w:rsidRPr="00B05B06">
              <w:rPr>
                <w:rFonts w:ascii="Arial" w:eastAsia="Times New Roman" w:hAnsi="Arial" w:cs="Arial"/>
                <w:b/>
                <w:bCs/>
                <w:kern w:val="0"/>
                <w14:ligatures w14:val="none"/>
              </w:rPr>
              <w:t>Impositiva</w:t>
            </w:r>
            <w:proofErr w:type="spellEnd"/>
            <w:r w:rsidRPr="00B05B06">
              <w:rPr>
                <w:rFonts w:ascii="Arial" w:eastAsia="Times New Roman" w:hAnsi="Arial" w:cs="Arial"/>
                <w:b/>
                <w:bCs/>
                <w:kern w:val="0"/>
                <w14:ligatures w14:val="none"/>
              </w:rPr>
              <w:t xml:space="preserve"> </w:t>
            </w:r>
          </w:p>
        </w:tc>
      </w:tr>
      <w:tr w:rsidR="00B05B06" w:rsidRPr="00B05B06" w14:paraId="55F9A6BE" w14:textId="77777777" w:rsidTr="00B05B06">
        <w:trPr>
          <w:trHeight w:val="254"/>
          <w:jc w:val="center"/>
        </w:trPr>
        <w:tc>
          <w:tcPr>
            <w:tcW w:w="3433" w:type="dxa"/>
            <w:tcBorders>
              <w:top w:val="nil"/>
              <w:left w:val="nil"/>
              <w:bottom w:val="nil"/>
              <w:right w:val="nil"/>
            </w:tcBorders>
            <w:shd w:val="clear" w:color="000000" w:fill="FFFFFF"/>
            <w:noWrap/>
            <w:vAlign w:val="bottom"/>
            <w:hideMark/>
          </w:tcPr>
          <w:p w14:paraId="4A44F3F6" w14:textId="7E7BB5C9" w:rsidR="00B05B06" w:rsidRPr="00B05B06" w:rsidRDefault="00B05B06" w:rsidP="00B05B06">
            <w:pPr>
              <w:spacing w:after="0" w:line="240" w:lineRule="auto"/>
              <w:rPr>
                <w:rFonts w:ascii="Arial" w:eastAsia="Times New Roman" w:hAnsi="Arial" w:cs="Arial"/>
                <w:kern w:val="0"/>
                <w14:ligatures w14:val="none"/>
              </w:rPr>
            </w:pPr>
          </w:p>
        </w:tc>
        <w:tc>
          <w:tcPr>
            <w:tcW w:w="343" w:type="dxa"/>
            <w:tcBorders>
              <w:top w:val="nil"/>
              <w:left w:val="nil"/>
              <w:bottom w:val="nil"/>
              <w:right w:val="nil"/>
            </w:tcBorders>
            <w:shd w:val="clear" w:color="000000" w:fill="FFFFFF"/>
            <w:noWrap/>
            <w:vAlign w:val="bottom"/>
            <w:hideMark/>
          </w:tcPr>
          <w:p w14:paraId="524FF6DD" w14:textId="77777777" w:rsidR="00B05B06" w:rsidRPr="00B05B06" w:rsidRDefault="00B05B06" w:rsidP="00B05B06">
            <w:pPr>
              <w:spacing w:after="0" w:line="240" w:lineRule="auto"/>
              <w:jc w:val="center"/>
              <w:rPr>
                <w:rFonts w:ascii="Arial" w:eastAsia="Times New Roman" w:hAnsi="Arial" w:cs="Arial"/>
                <w:kern w:val="0"/>
                <w14:ligatures w14:val="none"/>
              </w:rPr>
            </w:pPr>
            <w:r w:rsidRPr="00B05B06">
              <w:rPr>
                <w:rFonts w:ascii="Arial" w:eastAsia="Times New Roman" w:hAnsi="Arial" w:cs="Arial"/>
                <w:kern w:val="0"/>
                <w14:ligatures w14:val="none"/>
              </w:rPr>
              <w:t> </w:t>
            </w:r>
          </w:p>
        </w:tc>
        <w:tc>
          <w:tcPr>
            <w:tcW w:w="1437" w:type="dxa"/>
            <w:tcBorders>
              <w:top w:val="nil"/>
              <w:left w:val="nil"/>
              <w:bottom w:val="nil"/>
              <w:right w:val="nil"/>
            </w:tcBorders>
            <w:shd w:val="clear" w:color="000000" w:fill="FFFFFF"/>
            <w:noWrap/>
            <w:vAlign w:val="bottom"/>
            <w:hideMark/>
          </w:tcPr>
          <w:p w14:paraId="60BE5599" w14:textId="77777777" w:rsidR="00B05B06" w:rsidRPr="00B05B06" w:rsidRDefault="00B05B06" w:rsidP="00B05B06">
            <w:pPr>
              <w:spacing w:after="0" w:line="240" w:lineRule="auto"/>
              <w:rPr>
                <w:rFonts w:ascii="Arial" w:eastAsia="Times New Roman" w:hAnsi="Arial" w:cs="Arial"/>
                <w:kern w:val="0"/>
                <w14:ligatures w14:val="none"/>
              </w:rPr>
            </w:pPr>
            <w:r w:rsidRPr="00B05B06">
              <w:rPr>
                <w:rFonts w:ascii="Arial" w:eastAsia="Times New Roman" w:hAnsi="Arial" w:cs="Arial"/>
                <w:kern w:val="0"/>
                <w14:ligatures w14:val="none"/>
              </w:rPr>
              <w:t> </w:t>
            </w:r>
          </w:p>
        </w:tc>
        <w:tc>
          <w:tcPr>
            <w:tcW w:w="1280" w:type="dxa"/>
            <w:tcBorders>
              <w:top w:val="nil"/>
              <w:left w:val="nil"/>
              <w:bottom w:val="nil"/>
              <w:right w:val="nil"/>
            </w:tcBorders>
            <w:shd w:val="clear" w:color="000000" w:fill="FFFFFF"/>
            <w:noWrap/>
            <w:vAlign w:val="bottom"/>
            <w:hideMark/>
          </w:tcPr>
          <w:p w14:paraId="00E6BC35" w14:textId="77777777" w:rsidR="00B05B06" w:rsidRPr="00B05B06" w:rsidRDefault="00B05B06" w:rsidP="00B05B06">
            <w:pPr>
              <w:spacing w:after="0" w:line="240" w:lineRule="auto"/>
              <w:rPr>
                <w:rFonts w:ascii="Arial" w:eastAsia="Times New Roman" w:hAnsi="Arial" w:cs="Arial"/>
                <w:kern w:val="0"/>
                <w14:ligatures w14:val="none"/>
              </w:rPr>
            </w:pPr>
            <w:r w:rsidRPr="00B05B06">
              <w:rPr>
                <w:rFonts w:ascii="Arial" w:eastAsia="Times New Roman" w:hAnsi="Arial" w:cs="Arial"/>
                <w:kern w:val="0"/>
                <w14:ligatures w14:val="none"/>
              </w:rPr>
              <w:t> </w:t>
            </w:r>
          </w:p>
        </w:tc>
        <w:tc>
          <w:tcPr>
            <w:tcW w:w="1437" w:type="dxa"/>
            <w:tcBorders>
              <w:top w:val="nil"/>
              <w:left w:val="nil"/>
              <w:bottom w:val="nil"/>
              <w:right w:val="nil"/>
            </w:tcBorders>
            <w:shd w:val="clear" w:color="000000" w:fill="FFFFFF"/>
            <w:noWrap/>
            <w:vAlign w:val="bottom"/>
            <w:hideMark/>
          </w:tcPr>
          <w:p w14:paraId="2ECEE6C4" w14:textId="77777777" w:rsidR="00B05B06" w:rsidRPr="00B05B06" w:rsidRDefault="00B05B06" w:rsidP="00B05B06">
            <w:pPr>
              <w:spacing w:after="0" w:line="240" w:lineRule="auto"/>
              <w:rPr>
                <w:rFonts w:ascii="Arial" w:eastAsia="Times New Roman" w:hAnsi="Arial" w:cs="Arial"/>
                <w:kern w:val="0"/>
                <w14:ligatures w14:val="none"/>
              </w:rPr>
            </w:pPr>
            <w:r w:rsidRPr="00B05B06">
              <w:rPr>
                <w:rFonts w:ascii="Arial" w:eastAsia="Times New Roman" w:hAnsi="Arial" w:cs="Arial"/>
                <w:kern w:val="0"/>
                <w14:ligatures w14:val="none"/>
              </w:rPr>
              <w:t> </w:t>
            </w:r>
          </w:p>
        </w:tc>
        <w:tc>
          <w:tcPr>
            <w:tcW w:w="1905" w:type="dxa"/>
            <w:tcBorders>
              <w:top w:val="nil"/>
              <w:left w:val="nil"/>
              <w:bottom w:val="nil"/>
              <w:right w:val="nil"/>
            </w:tcBorders>
            <w:shd w:val="clear" w:color="000000" w:fill="FFFFFF"/>
            <w:noWrap/>
            <w:vAlign w:val="bottom"/>
            <w:hideMark/>
          </w:tcPr>
          <w:p w14:paraId="5277B8CE" w14:textId="77777777" w:rsidR="00B05B06" w:rsidRPr="00B05B06" w:rsidRDefault="00B05B06" w:rsidP="00B05B06">
            <w:pPr>
              <w:spacing w:after="0" w:line="240" w:lineRule="auto"/>
              <w:jc w:val="center"/>
              <w:rPr>
                <w:rFonts w:ascii="Arial" w:eastAsia="Times New Roman" w:hAnsi="Arial" w:cs="Arial"/>
                <w:b/>
                <w:bCs/>
                <w:kern w:val="0"/>
                <w14:ligatures w14:val="none"/>
              </w:rPr>
            </w:pPr>
            <w:r w:rsidRPr="00B05B06">
              <w:rPr>
                <w:rFonts w:ascii="Arial" w:eastAsia="Times New Roman" w:hAnsi="Arial" w:cs="Arial"/>
                <w:b/>
                <w:bCs/>
                <w:kern w:val="0"/>
                <w14:ligatures w14:val="none"/>
              </w:rPr>
              <w:t> </w:t>
            </w:r>
          </w:p>
        </w:tc>
      </w:tr>
      <w:tr w:rsidR="00B05B06" w:rsidRPr="00B05B06" w14:paraId="528C7C60" w14:textId="77777777" w:rsidTr="00B05B06">
        <w:trPr>
          <w:trHeight w:val="254"/>
          <w:jc w:val="center"/>
        </w:trPr>
        <w:tc>
          <w:tcPr>
            <w:tcW w:w="3433" w:type="dxa"/>
            <w:tcBorders>
              <w:top w:val="nil"/>
              <w:left w:val="nil"/>
              <w:bottom w:val="nil"/>
              <w:right w:val="nil"/>
            </w:tcBorders>
            <w:shd w:val="clear" w:color="000000" w:fill="FFFFFF"/>
            <w:noWrap/>
            <w:vAlign w:val="bottom"/>
            <w:hideMark/>
          </w:tcPr>
          <w:p w14:paraId="657E9865" w14:textId="76C0025E" w:rsidR="00B05B06" w:rsidRPr="00B05B06" w:rsidRDefault="00B05B06" w:rsidP="00B05B06">
            <w:pPr>
              <w:spacing w:after="0" w:line="240" w:lineRule="auto"/>
              <w:rPr>
                <w:rFonts w:ascii="Arial" w:eastAsia="Times New Roman" w:hAnsi="Arial" w:cs="Arial"/>
                <w:kern w:val="0"/>
                <w:lang w:val="es-AR"/>
                <w14:ligatures w14:val="none"/>
              </w:rPr>
            </w:pPr>
            <w:r w:rsidRPr="00B05B06">
              <w:rPr>
                <w:rFonts w:ascii="Arial" w:eastAsia="Times New Roman" w:hAnsi="Arial" w:cs="Arial"/>
                <w:kern w:val="0"/>
                <w:lang w:val="es-AR"/>
                <w14:ligatures w14:val="none"/>
              </w:rPr>
              <w:t>Nombre del Título Público</w:t>
            </w:r>
            <w:r>
              <w:rPr>
                <w:rFonts w:ascii="Arial" w:eastAsia="Times New Roman" w:hAnsi="Arial" w:cs="Arial"/>
                <w:kern w:val="0"/>
                <w:lang w:val="es-AR"/>
                <w14:ligatures w14:val="none"/>
              </w:rPr>
              <w:t xml:space="preserve"> </w:t>
            </w:r>
          </w:p>
        </w:tc>
        <w:tc>
          <w:tcPr>
            <w:tcW w:w="343" w:type="dxa"/>
            <w:tcBorders>
              <w:top w:val="nil"/>
              <w:left w:val="nil"/>
              <w:bottom w:val="nil"/>
              <w:right w:val="nil"/>
            </w:tcBorders>
            <w:shd w:val="clear" w:color="000000" w:fill="FFFFFF"/>
            <w:noWrap/>
            <w:vAlign w:val="bottom"/>
            <w:hideMark/>
          </w:tcPr>
          <w:p w14:paraId="44A93E92" w14:textId="77777777" w:rsidR="00B05B06" w:rsidRPr="00B05B06" w:rsidRDefault="00B05B06" w:rsidP="00B05B06">
            <w:pPr>
              <w:spacing w:after="0" w:line="240" w:lineRule="auto"/>
              <w:jc w:val="center"/>
              <w:rPr>
                <w:rFonts w:ascii="Arial" w:eastAsia="Times New Roman" w:hAnsi="Arial" w:cs="Arial"/>
                <w:kern w:val="0"/>
                <w:lang w:val="es-AR"/>
                <w14:ligatures w14:val="none"/>
              </w:rPr>
            </w:pPr>
            <w:r w:rsidRPr="00B05B06">
              <w:rPr>
                <w:rFonts w:ascii="Arial" w:eastAsia="Times New Roman" w:hAnsi="Arial" w:cs="Arial"/>
                <w:kern w:val="0"/>
                <w:lang w:val="es-AR"/>
                <w14:ligatures w14:val="none"/>
              </w:rPr>
              <w:t> </w:t>
            </w:r>
          </w:p>
        </w:tc>
        <w:tc>
          <w:tcPr>
            <w:tcW w:w="1437" w:type="dxa"/>
            <w:tcBorders>
              <w:top w:val="nil"/>
              <w:left w:val="nil"/>
              <w:bottom w:val="nil"/>
              <w:right w:val="nil"/>
            </w:tcBorders>
            <w:shd w:val="clear" w:color="000000" w:fill="FFFFFF"/>
            <w:noWrap/>
            <w:vAlign w:val="bottom"/>
            <w:hideMark/>
          </w:tcPr>
          <w:p w14:paraId="2BD245C0" w14:textId="77777777" w:rsidR="00B05B06" w:rsidRPr="00B05B06" w:rsidRDefault="00B05B06" w:rsidP="00B05B06">
            <w:pPr>
              <w:spacing w:after="0" w:line="240" w:lineRule="auto"/>
              <w:rPr>
                <w:rFonts w:ascii="Arial" w:eastAsia="Times New Roman" w:hAnsi="Arial" w:cs="Arial"/>
                <w:kern w:val="0"/>
                <w14:ligatures w14:val="none"/>
              </w:rPr>
            </w:pPr>
            <w:r w:rsidRPr="00B05B06">
              <w:rPr>
                <w:rFonts w:ascii="Arial" w:eastAsia="Times New Roman" w:hAnsi="Arial" w:cs="Arial"/>
                <w:kern w:val="0"/>
                <w:lang w:val="es-AR"/>
                <w14:ligatures w14:val="none"/>
              </w:rPr>
              <w:t xml:space="preserve">                           </w:t>
            </w:r>
            <w:r w:rsidRPr="00B05B06">
              <w:rPr>
                <w:rFonts w:ascii="Arial" w:eastAsia="Times New Roman" w:hAnsi="Arial" w:cs="Arial"/>
                <w:kern w:val="0"/>
                <w14:ligatures w14:val="none"/>
              </w:rPr>
              <w:t xml:space="preserve">-   </w:t>
            </w:r>
          </w:p>
        </w:tc>
        <w:tc>
          <w:tcPr>
            <w:tcW w:w="1280" w:type="dxa"/>
            <w:tcBorders>
              <w:top w:val="nil"/>
              <w:left w:val="nil"/>
              <w:bottom w:val="nil"/>
              <w:right w:val="nil"/>
            </w:tcBorders>
            <w:shd w:val="clear" w:color="000000" w:fill="FFFFFF"/>
            <w:noWrap/>
            <w:vAlign w:val="bottom"/>
            <w:hideMark/>
          </w:tcPr>
          <w:p w14:paraId="3CCAA101" w14:textId="77777777" w:rsidR="00B05B06" w:rsidRPr="00B05B06" w:rsidRDefault="00B05B06" w:rsidP="00B05B06">
            <w:pPr>
              <w:spacing w:after="0" w:line="240" w:lineRule="auto"/>
              <w:rPr>
                <w:rFonts w:ascii="Arial" w:eastAsia="Times New Roman" w:hAnsi="Arial" w:cs="Arial"/>
                <w:kern w:val="0"/>
                <w14:ligatures w14:val="none"/>
              </w:rPr>
            </w:pPr>
            <w:r w:rsidRPr="00B05B06">
              <w:rPr>
                <w:rFonts w:ascii="Arial" w:eastAsia="Times New Roman" w:hAnsi="Arial" w:cs="Arial"/>
                <w:kern w:val="0"/>
                <w14:ligatures w14:val="none"/>
              </w:rPr>
              <w:t xml:space="preserve">                       -   </w:t>
            </w:r>
          </w:p>
        </w:tc>
        <w:tc>
          <w:tcPr>
            <w:tcW w:w="1437" w:type="dxa"/>
            <w:tcBorders>
              <w:top w:val="nil"/>
              <w:left w:val="nil"/>
              <w:bottom w:val="nil"/>
              <w:right w:val="nil"/>
            </w:tcBorders>
            <w:shd w:val="clear" w:color="000000" w:fill="FFFFFF"/>
            <w:noWrap/>
            <w:vAlign w:val="bottom"/>
            <w:hideMark/>
          </w:tcPr>
          <w:p w14:paraId="448F7D6D" w14:textId="77777777" w:rsidR="00B05B06" w:rsidRPr="00B05B06" w:rsidRDefault="00B05B06" w:rsidP="00B05B06">
            <w:pPr>
              <w:spacing w:after="0" w:line="240" w:lineRule="auto"/>
              <w:rPr>
                <w:rFonts w:ascii="Arial" w:eastAsia="Times New Roman" w:hAnsi="Arial" w:cs="Arial"/>
                <w:kern w:val="0"/>
                <w14:ligatures w14:val="none"/>
              </w:rPr>
            </w:pPr>
            <w:r w:rsidRPr="00B05B06">
              <w:rPr>
                <w:rFonts w:ascii="Arial" w:eastAsia="Times New Roman" w:hAnsi="Arial" w:cs="Arial"/>
                <w:kern w:val="0"/>
                <w14:ligatures w14:val="none"/>
              </w:rPr>
              <w:t xml:space="preserve">                           -   </w:t>
            </w:r>
          </w:p>
        </w:tc>
        <w:tc>
          <w:tcPr>
            <w:tcW w:w="1905" w:type="dxa"/>
            <w:tcBorders>
              <w:top w:val="nil"/>
              <w:left w:val="nil"/>
              <w:bottom w:val="nil"/>
              <w:right w:val="nil"/>
            </w:tcBorders>
            <w:shd w:val="clear" w:color="000000" w:fill="FFFFFF"/>
            <w:noWrap/>
            <w:vAlign w:val="bottom"/>
            <w:hideMark/>
          </w:tcPr>
          <w:p w14:paraId="4FCBA52D" w14:textId="77777777" w:rsidR="00B05B06" w:rsidRPr="00B05B06" w:rsidRDefault="00B05B06" w:rsidP="00B05B06">
            <w:pPr>
              <w:spacing w:after="0" w:line="240" w:lineRule="auto"/>
              <w:rPr>
                <w:rFonts w:ascii="Arial" w:eastAsia="Times New Roman" w:hAnsi="Arial" w:cs="Arial"/>
                <w:kern w:val="0"/>
                <w14:ligatures w14:val="none"/>
              </w:rPr>
            </w:pPr>
            <w:r w:rsidRPr="00B05B06">
              <w:rPr>
                <w:rFonts w:ascii="Arial" w:eastAsia="Times New Roman" w:hAnsi="Arial" w:cs="Arial"/>
                <w:kern w:val="0"/>
                <w14:ligatures w14:val="none"/>
              </w:rPr>
              <w:t xml:space="preserve">                                      -   </w:t>
            </w:r>
          </w:p>
        </w:tc>
      </w:tr>
    </w:tbl>
    <w:p w14:paraId="0C8291E4" w14:textId="77777777" w:rsidR="00B05B06" w:rsidRDefault="00B05B06">
      <w:pPr>
        <w:rPr>
          <w:lang w:val="es-AR"/>
        </w:rPr>
      </w:pPr>
    </w:p>
    <w:p w14:paraId="7573BE3C" w14:textId="1B6715EE" w:rsidR="00B05B06" w:rsidRDefault="00B05B06" w:rsidP="00FE7EC7">
      <w:pPr>
        <w:pStyle w:val="ListParagraph"/>
        <w:numPr>
          <w:ilvl w:val="0"/>
          <w:numId w:val="3"/>
        </w:numPr>
        <w:ind w:left="357" w:hanging="357"/>
        <w:contextualSpacing w:val="0"/>
        <w:jc w:val="both"/>
        <w:rPr>
          <w:lang w:val="es-AR"/>
        </w:rPr>
      </w:pPr>
      <w:r>
        <w:rPr>
          <w:b/>
          <w:bCs/>
          <w:lang w:val="es-AR"/>
        </w:rPr>
        <w:lastRenderedPageBreak/>
        <w:t xml:space="preserve">Especie: </w:t>
      </w:r>
      <w:r>
        <w:rPr>
          <w:lang w:val="es-AR"/>
        </w:rPr>
        <w:t xml:space="preserve">Se debe indicar el nombre del título público a valuar. Esto surge </w:t>
      </w:r>
      <w:r w:rsidR="00B22EC4">
        <w:rPr>
          <w:lang w:val="es-AR"/>
        </w:rPr>
        <w:t xml:space="preserve">del inventario de Títulos Públicos enviado por la compañía. </w:t>
      </w:r>
      <w:r w:rsidR="00C016E1" w:rsidRPr="00906844">
        <w:rPr>
          <w:color w:val="000000" w:themeColor="text1"/>
          <w:lang w:val="es-AR"/>
        </w:rPr>
        <w:t>Considerar también contar con la abreviatura del nombre (mediante la cual se efectúa la búsqueda de la cotización), número de ISIN (</w:t>
      </w:r>
      <w:proofErr w:type="spellStart"/>
      <w:r w:rsidR="00C016E1" w:rsidRPr="00906844">
        <w:rPr>
          <w:color w:val="000000" w:themeColor="text1"/>
          <w:lang w:val="es-AR"/>
        </w:rPr>
        <w:t>n°</w:t>
      </w:r>
      <w:proofErr w:type="spellEnd"/>
      <w:r w:rsidR="00C016E1" w:rsidRPr="00906844">
        <w:rPr>
          <w:color w:val="000000" w:themeColor="text1"/>
          <w:lang w:val="es-AR"/>
        </w:rPr>
        <w:t xml:space="preserve"> de identificación de las inversiones).</w:t>
      </w:r>
    </w:p>
    <w:p w14:paraId="2EAB26C7" w14:textId="052C16A5" w:rsidR="00B22EC4" w:rsidRDefault="00B22EC4" w:rsidP="00FE7EC7">
      <w:pPr>
        <w:pStyle w:val="ListParagraph"/>
        <w:numPr>
          <w:ilvl w:val="0"/>
          <w:numId w:val="3"/>
        </w:numPr>
        <w:ind w:left="357" w:hanging="357"/>
        <w:contextualSpacing w:val="0"/>
        <w:jc w:val="both"/>
        <w:rPr>
          <w:lang w:val="es-AR"/>
        </w:rPr>
      </w:pPr>
      <w:r>
        <w:rPr>
          <w:b/>
          <w:bCs/>
          <w:lang w:val="es-AR"/>
        </w:rPr>
        <w:t>Valor nominal:</w:t>
      </w:r>
      <w:r>
        <w:rPr>
          <w:lang w:val="es-AR"/>
        </w:rPr>
        <w:t xml:space="preserve"> Se debe colocar el valor nominal de estos títulos públicos, la cual debe surgir del inventario de TP proporcionado por la compañía</w:t>
      </w:r>
      <w:r w:rsidR="00D0556A">
        <w:rPr>
          <w:lang w:val="es-AR"/>
        </w:rPr>
        <w:t xml:space="preserve">. Es la cantidad de títulos públicos con los que cuenta la compañía. </w:t>
      </w:r>
    </w:p>
    <w:p w14:paraId="5A58FC35" w14:textId="04457E33" w:rsidR="00B22EC4" w:rsidRDefault="00B22EC4" w:rsidP="00FE7EC7">
      <w:pPr>
        <w:pStyle w:val="ListParagraph"/>
        <w:numPr>
          <w:ilvl w:val="0"/>
          <w:numId w:val="3"/>
        </w:numPr>
        <w:ind w:left="357" w:hanging="357"/>
        <w:contextualSpacing w:val="0"/>
        <w:jc w:val="both"/>
        <w:rPr>
          <w:lang w:val="es-AR"/>
        </w:rPr>
      </w:pPr>
      <w:r>
        <w:rPr>
          <w:b/>
          <w:bCs/>
          <w:lang w:val="es-AR"/>
        </w:rPr>
        <w:t xml:space="preserve">% de Amortización: </w:t>
      </w:r>
      <w:r>
        <w:rPr>
          <w:lang w:val="es-AR"/>
        </w:rPr>
        <w:t xml:space="preserve">Los títulos públicos </w:t>
      </w:r>
      <w:r w:rsidR="00840F44">
        <w:rPr>
          <w:lang w:val="es-AR"/>
        </w:rPr>
        <w:t>son</w:t>
      </w:r>
      <w:r>
        <w:rPr>
          <w:lang w:val="es-AR"/>
        </w:rPr>
        <w:t xml:space="preserve"> instrumentos de deuda emitidos por el Estado, mediante los cuales los inversores le prestan fondos a cambio de una rentabilidad determinada. En algunos casos, hay algunos de estos títulos que amortizan el capital periódicamente. En estos casos, el importe computable impositivamente no surge directamente de la cotización del título, sino que para determinar el valor residual al cierre es necesario considerar el porcentaje del capital pendiente de amortización. </w:t>
      </w:r>
    </w:p>
    <w:p w14:paraId="7974A614" w14:textId="27A3B594" w:rsidR="00B22EC4" w:rsidRDefault="00B22EC4" w:rsidP="00FE7EC7">
      <w:pPr>
        <w:pStyle w:val="ListParagraph"/>
        <w:ind w:left="357"/>
        <w:contextualSpacing w:val="0"/>
        <w:jc w:val="both"/>
        <w:rPr>
          <w:lang w:val="es-AR"/>
        </w:rPr>
      </w:pPr>
      <w:r>
        <w:rPr>
          <w:lang w:val="es-AR"/>
        </w:rPr>
        <w:t xml:space="preserve">En estos casos, el valor final impositivo se calcula aplicando el porcentaje del valor residual correspondiente (debe ser informado por la compañía debido a que depende de las amortizaciones realizadas por cada título) sobre la cotización de estos títulos públicos.  </w:t>
      </w:r>
    </w:p>
    <w:p w14:paraId="361FACDF" w14:textId="5CC1041B" w:rsidR="00E934B7" w:rsidRPr="00E934B7" w:rsidRDefault="00F86E5C" w:rsidP="00FE7EC7">
      <w:pPr>
        <w:pStyle w:val="ListParagraph"/>
        <w:numPr>
          <w:ilvl w:val="0"/>
          <w:numId w:val="3"/>
        </w:numPr>
        <w:contextualSpacing w:val="0"/>
        <w:jc w:val="both"/>
        <w:rPr>
          <w:b/>
          <w:bCs/>
          <w:lang w:val="es-AR"/>
        </w:rPr>
      </w:pPr>
      <w:r w:rsidRPr="00F86E5C">
        <w:rPr>
          <w:b/>
          <w:bCs/>
          <w:lang w:val="es-AR"/>
        </w:rPr>
        <w:t xml:space="preserve">Cotización: </w:t>
      </w:r>
      <w:r>
        <w:rPr>
          <w:lang w:val="es-AR"/>
        </w:rPr>
        <w:t xml:space="preserve">Este dato surge de la fuente de información consultada (BOLSAR o Mercado Abierto Electrónico (MAE)), para determinar el valor de Mercado de los Títulos. Debe considerarse la cotización del valor nominal residual del título del que se trate. </w:t>
      </w:r>
    </w:p>
    <w:p w14:paraId="49D358EF" w14:textId="61E0CC58" w:rsidR="00B22EC4" w:rsidRPr="00FE7EC7" w:rsidRDefault="00F86E5C" w:rsidP="00FE7EC7">
      <w:pPr>
        <w:pStyle w:val="ListParagraph"/>
        <w:numPr>
          <w:ilvl w:val="0"/>
          <w:numId w:val="3"/>
        </w:numPr>
        <w:contextualSpacing w:val="0"/>
        <w:jc w:val="both"/>
        <w:rPr>
          <w:b/>
          <w:bCs/>
          <w:lang w:val="es-AR"/>
        </w:rPr>
      </w:pPr>
      <w:r>
        <w:rPr>
          <w:b/>
          <w:bCs/>
          <w:lang w:val="es-AR"/>
        </w:rPr>
        <w:t xml:space="preserve">Valuación Impositiva: </w:t>
      </w:r>
      <w:r>
        <w:rPr>
          <w:lang w:val="es-AR"/>
        </w:rPr>
        <w:t xml:space="preserve">Este monto resulta de multiplicar </w:t>
      </w:r>
      <w:r w:rsidR="00D0556A">
        <w:rPr>
          <w:lang w:val="es-AR"/>
        </w:rPr>
        <w:t xml:space="preserve">el valor nominal </w:t>
      </w:r>
      <w:r>
        <w:rPr>
          <w:lang w:val="es-AR"/>
        </w:rPr>
        <w:t>de</w:t>
      </w:r>
      <w:r w:rsidR="00D0556A">
        <w:rPr>
          <w:lang w:val="es-AR"/>
        </w:rPr>
        <w:t xml:space="preserve"> los</w:t>
      </w:r>
      <w:r>
        <w:rPr>
          <w:lang w:val="es-AR"/>
        </w:rPr>
        <w:t xml:space="preserve"> Títulos Públicos con los que cuenta la compañía, por la valuación pública conocida (valor de mercado) que surge de la fuente de información financiera utilizada (BOLSAR – MAE). </w:t>
      </w:r>
    </w:p>
    <w:p w14:paraId="58F01B62" w14:textId="77777777" w:rsidR="00FE7EC7" w:rsidRPr="00FE7EC7" w:rsidRDefault="00FE7EC7" w:rsidP="00FE7EC7">
      <w:pPr>
        <w:pStyle w:val="ListParagraph"/>
        <w:ind w:left="360"/>
        <w:contextualSpacing w:val="0"/>
        <w:jc w:val="both"/>
        <w:rPr>
          <w:b/>
          <w:bCs/>
          <w:lang w:val="es-AR"/>
        </w:rPr>
      </w:pPr>
    </w:p>
    <w:p w14:paraId="0301F4B2" w14:textId="74585B12" w:rsidR="00F86E5C" w:rsidRDefault="00FE7EC7" w:rsidP="00FE7EC7">
      <w:pPr>
        <w:jc w:val="both"/>
        <w:rPr>
          <w:lang w:val="es-AR"/>
        </w:rPr>
      </w:pPr>
      <w:r>
        <w:rPr>
          <w:lang w:val="es-AR"/>
        </w:rPr>
        <w:t xml:space="preserve">                  </w:t>
      </w:r>
      <w:r w:rsidR="00F86E5C" w:rsidRPr="00F86E5C">
        <w:rPr>
          <w:noProof/>
          <w:lang w:val="es-AR"/>
        </w:rPr>
        <w:drawing>
          <wp:inline distT="0" distB="0" distL="0" distR="0" wp14:anchorId="0685015B" wp14:editId="3791B110">
            <wp:extent cx="5162815" cy="1543129"/>
            <wp:effectExtent l="0" t="0" r="0" b="0"/>
            <wp:docPr id="9224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26529" name=""/>
                    <pic:cNvPicPr/>
                  </pic:nvPicPr>
                  <pic:blipFill>
                    <a:blip r:embed="rId9"/>
                    <a:stretch>
                      <a:fillRect/>
                    </a:stretch>
                  </pic:blipFill>
                  <pic:spPr>
                    <a:xfrm>
                      <a:off x="0" y="0"/>
                      <a:ext cx="5162815" cy="1543129"/>
                    </a:xfrm>
                    <a:prstGeom prst="rect">
                      <a:avLst/>
                    </a:prstGeom>
                  </pic:spPr>
                </pic:pic>
              </a:graphicData>
            </a:graphic>
          </wp:inline>
        </w:drawing>
      </w:r>
    </w:p>
    <w:p w14:paraId="05BAED39" w14:textId="30DF515C" w:rsidR="00D0556A" w:rsidRPr="00D0556A" w:rsidRDefault="00D0556A" w:rsidP="00FE7EC7">
      <w:pPr>
        <w:pStyle w:val="ListParagraph"/>
        <w:numPr>
          <w:ilvl w:val="0"/>
          <w:numId w:val="4"/>
        </w:numPr>
        <w:ind w:left="357" w:hanging="357"/>
        <w:contextualSpacing w:val="0"/>
        <w:jc w:val="both"/>
        <w:rPr>
          <w:b/>
          <w:bCs/>
          <w:lang w:val="es-AR"/>
        </w:rPr>
      </w:pPr>
      <w:r w:rsidRPr="00D0556A">
        <w:rPr>
          <w:b/>
          <w:bCs/>
          <w:lang w:val="es-AR"/>
        </w:rPr>
        <w:t xml:space="preserve">Saldo </w:t>
      </w:r>
      <w:r w:rsidRPr="00906844">
        <w:rPr>
          <w:b/>
          <w:bCs/>
          <w:color w:val="000000" w:themeColor="text1"/>
          <w:lang w:val="es-AR"/>
        </w:rPr>
        <w:t xml:space="preserve">Final – Valuación Contable: </w:t>
      </w:r>
      <w:r w:rsidRPr="00906844">
        <w:rPr>
          <w:color w:val="000000" w:themeColor="text1"/>
          <w:lang w:val="es-AR"/>
        </w:rPr>
        <w:t xml:space="preserve">Es el monto contabilizado por la compañía por esos Títulos Públicos. Surge del sumas y saldos proporcionado por la empresa, y del balance </w:t>
      </w:r>
      <w:r w:rsidRPr="00906844">
        <w:rPr>
          <w:color w:val="000000" w:themeColor="text1"/>
          <w:lang w:val="es-AR"/>
        </w:rPr>
        <w:lastRenderedPageBreak/>
        <w:t>de IGJ. Este monto se debe colocar con signo negativo (-)</w:t>
      </w:r>
      <w:r w:rsidR="003221BB" w:rsidRPr="00906844">
        <w:rPr>
          <w:color w:val="000000" w:themeColor="text1"/>
          <w:lang w:val="es-AR"/>
        </w:rPr>
        <w:t xml:space="preserve"> para eliminar el activo contable del balance impositivo</w:t>
      </w:r>
      <w:r w:rsidRPr="00906844">
        <w:rPr>
          <w:color w:val="000000" w:themeColor="text1"/>
          <w:lang w:val="es-AR"/>
        </w:rPr>
        <w:t xml:space="preserve"> </w:t>
      </w:r>
      <w:r w:rsidR="003221BB" w:rsidRPr="00906844">
        <w:rPr>
          <w:color w:val="000000" w:themeColor="text1"/>
          <w:lang w:val="es-AR"/>
        </w:rPr>
        <w:t xml:space="preserve">e </w:t>
      </w:r>
      <w:r w:rsidRPr="00906844">
        <w:rPr>
          <w:color w:val="000000" w:themeColor="text1"/>
          <w:lang w:val="es-AR"/>
        </w:rPr>
        <w:t>impugnar el cargo</w:t>
      </w:r>
      <w:r w:rsidR="003221BB" w:rsidRPr="00906844">
        <w:rPr>
          <w:color w:val="000000" w:themeColor="text1"/>
          <w:lang w:val="es-AR"/>
        </w:rPr>
        <w:t xml:space="preserve"> por diferencia con el saldo inicial</w:t>
      </w:r>
      <w:r w:rsidRPr="00906844">
        <w:rPr>
          <w:color w:val="000000" w:themeColor="text1"/>
          <w:lang w:val="es-AR"/>
        </w:rPr>
        <w:t xml:space="preserve">. </w:t>
      </w:r>
    </w:p>
    <w:p w14:paraId="5CF7CEF2" w14:textId="009D7643" w:rsidR="00D0556A" w:rsidRPr="00906844" w:rsidRDefault="00D0556A" w:rsidP="00FE7EC7">
      <w:pPr>
        <w:pStyle w:val="ListParagraph"/>
        <w:numPr>
          <w:ilvl w:val="0"/>
          <w:numId w:val="4"/>
        </w:numPr>
        <w:ind w:left="357" w:hanging="357"/>
        <w:contextualSpacing w:val="0"/>
        <w:jc w:val="both"/>
        <w:rPr>
          <w:b/>
          <w:bCs/>
          <w:color w:val="000000" w:themeColor="text1"/>
          <w:lang w:val="es-AR"/>
        </w:rPr>
      </w:pPr>
      <w:r w:rsidRPr="00906844">
        <w:rPr>
          <w:b/>
          <w:bCs/>
          <w:color w:val="000000" w:themeColor="text1"/>
          <w:lang w:val="es-AR"/>
        </w:rPr>
        <w:t xml:space="preserve">Saldo Final – Valuación Impositiva: </w:t>
      </w:r>
      <w:r w:rsidRPr="00906844">
        <w:rPr>
          <w:color w:val="000000" w:themeColor="text1"/>
          <w:lang w:val="es-AR"/>
        </w:rPr>
        <w:t xml:space="preserve">Es el monto que surge de multiplicar </w:t>
      </w:r>
      <w:r w:rsidR="00ED3C71" w:rsidRPr="00906844">
        <w:rPr>
          <w:color w:val="000000" w:themeColor="text1"/>
          <w:lang w:val="es-AR"/>
        </w:rPr>
        <w:t xml:space="preserve">el valor nominal (cantidad) </w:t>
      </w:r>
      <w:r w:rsidRPr="00906844">
        <w:rPr>
          <w:color w:val="000000" w:themeColor="text1"/>
          <w:lang w:val="es-AR"/>
        </w:rPr>
        <w:t xml:space="preserve">de TP que posee la compañía por el valor de mercado obtenido. Es el monto al que se tienen que valuar </w:t>
      </w:r>
      <w:r w:rsidR="003221BB" w:rsidRPr="00906844">
        <w:rPr>
          <w:color w:val="000000" w:themeColor="text1"/>
          <w:lang w:val="es-AR"/>
        </w:rPr>
        <w:t xml:space="preserve">impositivamente </w:t>
      </w:r>
      <w:r w:rsidRPr="00906844">
        <w:rPr>
          <w:color w:val="000000" w:themeColor="text1"/>
          <w:lang w:val="es-AR"/>
        </w:rPr>
        <w:t>los Títulos Públicos al cierre del ejercicio. Se coloca sumando</w:t>
      </w:r>
      <w:r w:rsidR="003221BB" w:rsidRPr="00906844">
        <w:rPr>
          <w:color w:val="000000" w:themeColor="text1"/>
          <w:lang w:val="es-AR"/>
        </w:rPr>
        <w:t xml:space="preserve"> para incluirlo como activo en el balance impositivo</w:t>
      </w:r>
      <w:r w:rsidR="00906844" w:rsidRPr="00B42FDD">
        <w:rPr>
          <w:color w:val="000000" w:themeColor="text1"/>
          <w:lang w:val="es-AR"/>
        </w:rPr>
        <w:t>.</w:t>
      </w:r>
      <w:r w:rsidRPr="00906844">
        <w:rPr>
          <w:color w:val="000000" w:themeColor="text1"/>
          <w:lang w:val="es-AR"/>
        </w:rPr>
        <w:t xml:space="preserve"> </w:t>
      </w:r>
    </w:p>
    <w:p w14:paraId="367B97C1" w14:textId="77777777" w:rsidR="00D0556A" w:rsidRDefault="00D0556A" w:rsidP="00FE7EC7">
      <w:pPr>
        <w:jc w:val="both"/>
        <w:rPr>
          <w:b/>
          <w:bCs/>
          <w:lang w:val="es-AR"/>
        </w:rPr>
      </w:pPr>
    </w:p>
    <w:p w14:paraId="4351CA9A" w14:textId="6D1AD16D" w:rsidR="00D0556A" w:rsidRDefault="00D0556A" w:rsidP="00FE7EC7">
      <w:pPr>
        <w:jc w:val="both"/>
        <w:rPr>
          <w:lang w:val="es-AR"/>
        </w:rPr>
      </w:pPr>
      <w:r>
        <w:rPr>
          <w:lang w:val="es-AR"/>
        </w:rPr>
        <w:t>De esta manera, por medio del reverso de saldos</w:t>
      </w:r>
      <w:r w:rsidR="00906844">
        <w:rPr>
          <w:lang w:val="es-AR"/>
        </w:rPr>
        <w:t xml:space="preserve"> </w:t>
      </w:r>
      <w:r>
        <w:rPr>
          <w:lang w:val="es-AR"/>
        </w:rPr>
        <w:t xml:space="preserve">se impugna la diferencia de cotización entre lo contable y lo impositivo, </w:t>
      </w:r>
      <w:r w:rsidR="003221BB" w:rsidRPr="00906844">
        <w:rPr>
          <w:color w:val="000000" w:themeColor="text1"/>
          <w:lang w:val="es-AR"/>
        </w:rPr>
        <w:t xml:space="preserve">revirtiendo </w:t>
      </w:r>
      <w:r>
        <w:rPr>
          <w:lang w:val="es-AR"/>
        </w:rPr>
        <w:t xml:space="preserve">el hecho de que estén sub o sobre valuados. </w:t>
      </w:r>
    </w:p>
    <w:p w14:paraId="6200D289" w14:textId="77777777" w:rsidR="00ED3C71" w:rsidRDefault="00ED3C71" w:rsidP="00D0556A">
      <w:pPr>
        <w:rPr>
          <w:lang w:val="es-AR"/>
        </w:rPr>
      </w:pPr>
    </w:p>
    <w:p w14:paraId="2B1C1A83" w14:textId="19831BF0" w:rsidR="00ED3C71" w:rsidRPr="002924C7" w:rsidRDefault="00ED3C71" w:rsidP="00FE7EC7">
      <w:pPr>
        <w:jc w:val="both"/>
        <w:rPr>
          <w:b/>
          <w:bCs/>
          <w:u w:val="single"/>
          <w:lang w:val="es-AR"/>
        </w:rPr>
      </w:pPr>
      <w:r w:rsidRPr="002924C7">
        <w:rPr>
          <w:b/>
          <w:bCs/>
          <w:u w:val="single"/>
          <w:lang w:val="es-AR"/>
        </w:rPr>
        <w:t>Obtención de la cotización BOLSAR:</w:t>
      </w:r>
    </w:p>
    <w:p w14:paraId="56665813" w14:textId="3D245B83" w:rsidR="00C07974" w:rsidRPr="002924C7" w:rsidRDefault="00C07974" w:rsidP="00FE7EC7">
      <w:pPr>
        <w:jc w:val="both"/>
        <w:rPr>
          <w:lang w:val="es-AR"/>
        </w:rPr>
      </w:pPr>
      <w:r w:rsidRPr="002924C7">
        <w:rPr>
          <w:lang w:val="es-AR"/>
        </w:rPr>
        <w:t xml:space="preserve">Debe tomarse la cotización al cierre (último precio negociado al cierre) correspondiente al plazo de liquidación habitual del título. Ese valor será utilizado para determinar la valuación impositiva de la tenencia. </w:t>
      </w:r>
    </w:p>
    <w:p w14:paraId="404C81F5" w14:textId="15A62A5A" w:rsidR="00942C51" w:rsidRPr="002924C7" w:rsidRDefault="0090142A" w:rsidP="00FE7EC7">
      <w:pPr>
        <w:pStyle w:val="ListParagraph"/>
        <w:numPr>
          <w:ilvl w:val="0"/>
          <w:numId w:val="5"/>
        </w:numPr>
        <w:ind w:left="357" w:hanging="357"/>
        <w:contextualSpacing w:val="0"/>
        <w:jc w:val="both"/>
        <w:rPr>
          <w:b/>
          <w:bCs/>
          <w:color w:val="000000" w:themeColor="text1"/>
          <w:lang w:val="es-AR"/>
        </w:rPr>
      </w:pPr>
      <w:r w:rsidRPr="002924C7">
        <w:rPr>
          <w:lang w:val="es-AR"/>
        </w:rPr>
        <w:t xml:space="preserve">Ingresar a BOLSAR y buscar el titulo publico mediante su denominación o código ISIN. </w:t>
      </w:r>
    </w:p>
    <w:p w14:paraId="5A6EE54D" w14:textId="186DC59A" w:rsidR="0090142A" w:rsidRPr="002924C7" w:rsidRDefault="0090142A" w:rsidP="00FE7EC7">
      <w:pPr>
        <w:pStyle w:val="ListParagraph"/>
        <w:numPr>
          <w:ilvl w:val="0"/>
          <w:numId w:val="5"/>
        </w:numPr>
        <w:ind w:left="357" w:hanging="357"/>
        <w:contextualSpacing w:val="0"/>
        <w:jc w:val="both"/>
        <w:rPr>
          <w:b/>
          <w:bCs/>
          <w:color w:val="000000" w:themeColor="text1"/>
          <w:lang w:val="es-AR"/>
        </w:rPr>
      </w:pPr>
      <w:r w:rsidRPr="002924C7">
        <w:rPr>
          <w:lang w:val="es-AR"/>
        </w:rPr>
        <w:t xml:space="preserve">Verificar las cotizaciones disponibles para la especie y seleccionar la correspondiente al plazo de liquidación normal del titulo (se suele tomar la de 48 </w:t>
      </w:r>
      <w:proofErr w:type="spellStart"/>
      <w:r w:rsidRPr="002924C7">
        <w:rPr>
          <w:lang w:val="es-AR"/>
        </w:rPr>
        <w:t>hs</w:t>
      </w:r>
      <w:proofErr w:type="spellEnd"/>
      <w:r w:rsidRPr="002924C7">
        <w:rPr>
          <w:lang w:val="es-AR"/>
        </w:rPr>
        <w:t xml:space="preserve"> o la mayor existente).</w:t>
      </w:r>
    </w:p>
    <w:p w14:paraId="7B1E8F34" w14:textId="6A02ED3C" w:rsidR="0090142A" w:rsidRPr="002924C7" w:rsidRDefault="0090142A" w:rsidP="0090142A">
      <w:pPr>
        <w:pStyle w:val="ListParagraph"/>
        <w:numPr>
          <w:ilvl w:val="0"/>
          <w:numId w:val="10"/>
        </w:numPr>
        <w:contextualSpacing w:val="0"/>
        <w:jc w:val="both"/>
        <w:rPr>
          <w:b/>
          <w:bCs/>
          <w:color w:val="000000" w:themeColor="text1"/>
          <w:lang w:val="es-AR"/>
        </w:rPr>
      </w:pPr>
      <w:r w:rsidRPr="002924C7">
        <w:rPr>
          <w:b/>
          <w:bCs/>
          <w:color w:val="000000" w:themeColor="text1"/>
          <w:lang w:val="es-AR"/>
        </w:rPr>
        <w:t xml:space="preserve">Plazo de rescate: </w:t>
      </w:r>
      <w:r w:rsidRPr="002924C7">
        <w:rPr>
          <w:color w:val="000000" w:themeColor="text1"/>
          <w:lang w:val="es-AR"/>
        </w:rPr>
        <w:t>Indica cuanto tiempo tardan el inversor en recuperar el dinero invertido luego de efectuar el retiro. Se deben considerar las cotizaciones correspondientes al plazo de rescate normal de cada título, típicamente 24 horas para títulos públicos de Argentina.</w:t>
      </w:r>
    </w:p>
    <w:p w14:paraId="24CAB4AE" w14:textId="06603486" w:rsidR="0090142A" w:rsidRPr="002924C7" w:rsidRDefault="0090142A" w:rsidP="00FE7EC7">
      <w:pPr>
        <w:pStyle w:val="ListParagraph"/>
        <w:numPr>
          <w:ilvl w:val="0"/>
          <w:numId w:val="5"/>
        </w:numPr>
        <w:ind w:left="357" w:hanging="357"/>
        <w:contextualSpacing w:val="0"/>
        <w:jc w:val="both"/>
        <w:rPr>
          <w:b/>
          <w:bCs/>
          <w:color w:val="000000" w:themeColor="text1"/>
          <w:lang w:val="es-AR"/>
        </w:rPr>
      </w:pPr>
      <w:r w:rsidRPr="002924C7">
        <w:rPr>
          <w:lang w:val="es-AR"/>
        </w:rPr>
        <w:t xml:space="preserve">Se toma la cotización al cierre del ejercicio. Cuando la misma se encuentre expresada por cada 100 unidades de valor nominal, se debe dividir el valor informado por 100 para obtener la cotización unitaria a aplicar en la valuación. </w:t>
      </w:r>
    </w:p>
    <w:p w14:paraId="536CFBA2" w14:textId="5D2C5DE7" w:rsidR="0090142A" w:rsidRPr="002924C7" w:rsidRDefault="0090142A" w:rsidP="00FE7EC7">
      <w:pPr>
        <w:pStyle w:val="ListParagraph"/>
        <w:numPr>
          <w:ilvl w:val="0"/>
          <w:numId w:val="5"/>
        </w:numPr>
        <w:ind w:left="357" w:hanging="357"/>
        <w:contextualSpacing w:val="0"/>
        <w:jc w:val="both"/>
        <w:rPr>
          <w:b/>
          <w:bCs/>
          <w:color w:val="000000" w:themeColor="text1"/>
          <w:lang w:val="es-AR"/>
        </w:rPr>
      </w:pPr>
      <w:r w:rsidRPr="002924C7">
        <w:rPr>
          <w:b/>
          <w:bCs/>
          <w:color w:val="000000" w:themeColor="text1"/>
          <w:lang w:val="es-AR"/>
        </w:rPr>
        <w:t xml:space="preserve">Anexo II: </w:t>
      </w:r>
      <w:r w:rsidRPr="002924C7">
        <w:rPr>
          <w:color w:val="000000" w:themeColor="text1"/>
          <w:lang w:val="es-AR"/>
        </w:rPr>
        <w:t xml:space="preserve">No deben considerarse los valores informados en esta sección, ya que corresponden a precios bilaterales pactados entre partes y no representan cotizaciones de mercado utilizadas para la valuación fiscal. </w:t>
      </w:r>
    </w:p>
    <w:p w14:paraId="0F660454" w14:textId="77777777" w:rsidR="00E62BCD" w:rsidRDefault="00E62BCD">
      <w:pPr>
        <w:rPr>
          <w:lang w:val="es-AR"/>
        </w:rPr>
      </w:pPr>
    </w:p>
    <w:p w14:paraId="4DEA2F82" w14:textId="77777777" w:rsidR="00E62BCD" w:rsidRDefault="00E62BCD" w:rsidP="00FE7EC7">
      <w:pPr>
        <w:jc w:val="both"/>
        <w:rPr>
          <w:b/>
          <w:bCs/>
          <w:u w:val="single"/>
          <w:lang w:val="es-AR"/>
        </w:rPr>
      </w:pPr>
      <w:r w:rsidRPr="00906844">
        <w:rPr>
          <w:b/>
          <w:bCs/>
          <w:u w:val="single"/>
          <w:lang w:val="es-AR"/>
        </w:rPr>
        <w:t>Valuación Impositiva de Títulos Públicos sin cotización:</w:t>
      </w:r>
    </w:p>
    <w:p w14:paraId="51BC494C" w14:textId="1A0E8111" w:rsidR="00E62BCD" w:rsidRDefault="00E62BCD" w:rsidP="00FE7EC7">
      <w:pPr>
        <w:jc w:val="both"/>
        <w:rPr>
          <w:lang w:val="es-AR"/>
        </w:rPr>
      </w:pPr>
      <w:r w:rsidRPr="00E62BCD">
        <w:rPr>
          <w:b/>
          <w:bCs/>
          <w:lang w:val="es-AR"/>
        </w:rPr>
        <w:t>Títulos públicos sin cotización:</w:t>
      </w:r>
      <w:r w:rsidRPr="00E62BCD">
        <w:rPr>
          <w:lang w:val="es-AR"/>
        </w:rPr>
        <w:t xml:space="preserve"> </w:t>
      </w:r>
      <w:r>
        <w:rPr>
          <w:lang w:val="es-AR"/>
        </w:rPr>
        <w:t>Son</w:t>
      </w:r>
      <w:r w:rsidRPr="00E62BCD">
        <w:rPr>
          <w:lang w:val="es-AR"/>
        </w:rPr>
        <w:t xml:space="preserve"> aquellos títulos de deuda emitidos por el Estado que no tienen un precio de mercado observable porque no cotizan en bolsas o mercados </w:t>
      </w:r>
      <w:r w:rsidRPr="00E62BCD">
        <w:rPr>
          <w:lang w:val="es-AR"/>
        </w:rPr>
        <w:lastRenderedPageBreak/>
        <w:t>autorizados, o bien porque no existe una cotización representativa disponible al cierre del ejercicio.</w:t>
      </w:r>
    </w:p>
    <w:p w14:paraId="0EB81F4A" w14:textId="5ED28EEF" w:rsidR="00E62BCD" w:rsidRPr="00E62BCD" w:rsidRDefault="00E62BCD" w:rsidP="00FE7EC7">
      <w:pPr>
        <w:jc w:val="both"/>
        <w:rPr>
          <w:b/>
          <w:bCs/>
          <w:u w:val="single"/>
          <w:lang w:val="es-AR"/>
        </w:rPr>
      </w:pPr>
      <w:r>
        <w:rPr>
          <w:lang w:val="es-AR"/>
        </w:rPr>
        <w:t>En estos casos</w:t>
      </w:r>
      <w:r w:rsidR="0081528F">
        <w:rPr>
          <w:lang w:val="es-AR"/>
        </w:rPr>
        <w:t xml:space="preserve">, tal como establece la normativa, </w:t>
      </w:r>
      <w:r w:rsidR="0081528F" w:rsidRPr="0081528F">
        <w:rPr>
          <w:lang w:val="es-AR"/>
        </w:rPr>
        <w:t>se valuarán por su costo incrementado, de corresponder, con el importe de los intereses, actualizaciones y diferencias de cambio que se hubieran devengado a la fecha de cierre del ejercicio. El mismo procedimiento de valuación se aplicará a los títulos valores emitidos en moneda extranjera.</w:t>
      </w:r>
    </w:p>
    <w:p w14:paraId="6DCF32FC" w14:textId="06CD0091" w:rsidR="00E62BCD" w:rsidRDefault="00E62BCD" w:rsidP="00FE7EC7">
      <w:pPr>
        <w:pStyle w:val="ListParagraph"/>
        <w:ind w:left="360"/>
        <w:jc w:val="both"/>
        <w:rPr>
          <w:lang w:val="es-AR"/>
        </w:rPr>
      </w:pPr>
      <w:r w:rsidRPr="00E62BCD">
        <w:rPr>
          <w:noProof/>
          <w:lang w:val="es-AR"/>
        </w:rPr>
        <w:drawing>
          <wp:inline distT="0" distB="0" distL="0" distR="0" wp14:anchorId="49447814" wp14:editId="2F3CFE05">
            <wp:extent cx="5314950" cy="1867914"/>
            <wp:effectExtent l="0" t="0" r="0" b="0"/>
            <wp:docPr id="5881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7738" name=""/>
                    <pic:cNvPicPr/>
                  </pic:nvPicPr>
                  <pic:blipFill>
                    <a:blip r:embed="rId10"/>
                    <a:stretch>
                      <a:fillRect/>
                    </a:stretch>
                  </pic:blipFill>
                  <pic:spPr>
                    <a:xfrm>
                      <a:off x="0" y="0"/>
                      <a:ext cx="5330543" cy="1873394"/>
                    </a:xfrm>
                    <a:prstGeom prst="rect">
                      <a:avLst/>
                    </a:prstGeom>
                  </pic:spPr>
                </pic:pic>
              </a:graphicData>
            </a:graphic>
          </wp:inline>
        </w:drawing>
      </w:r>
    </w:p>
    <w:p w14:paraId="407F26A1" w14:textId="77777777" w:rsidR="00E62BCD" w:rsidRDefault="00E62BCD" w:rsidP="00FE7EC7">
      <w:pPr>
        <w:pStyle w:val="ListParagraph"/>
        <w:ind w:left="360"/>
        <w:jc w:val="both"/>
        <w:rPr>
          <w:lang w:val="es-AR"/>
        </w:rPr>
      </w:pPr>
    </w:p>
    <w:p w14:paraId="7222785C" w14:textId="75B83AE9" w:rsidR="00E62BCD" w:rsidRDefault="00E62BCD" w:rsidP="00FE7EC7">
      <w:pPr>
        <w:pStyle w:val="ListParagraph"/>
        <w:numPr>
          <w:ilvl w:val="0"/>
          <w:numId w:val="7"/>
        </w:numPr>
        <w:ind w:left="357" w:hanging="357"/>
        <w:contextualSpacing w:val="0"/>
        <w:jc w:val="both"/>
        <w:rPr>
          <w:lang w:val="es-AR"/>
        </w:rPr>
      </w:pPr>
      <w:r>
        <w:rPr>
          <w:b/>
          <w:bCs/>
          <w:lang w:val="es-AR"/>
        </w:rPr>
        <w:t xml:space="preserve">Especie: </w:t>
      </w:r>
      <w:r w:rsidR="00876D27">
        <w:rPr>
          <w:lang w:val="es-AR"/>
        </w:rPr>
        <w:t xml:space="preserve">Se debe indicar el nombre de la especie que se va a valuar. Esto surge del inventario de Títulos Públicos proporcionado por la compañía. </w:t>
      </w:r>
    </w:p>
    <w:p w14:paraId="4ED46210" w14:textId="25859CCD" w:rsidR="00876D27" w:rsidRDefault="00876D27" w:rsidP="00FE7EC7">
      <w:pPr>
        <w:pStyle w:val="ListParagraph"/>
        <w:numPr>
          <w:ilvl w:val="0"/>
          <w:numId w:val="7"/>
        </w:numPr>
        <w:ind w:left="357" w:hanging="357"/>
        <w:contextualSpacing w:val="0"/>
        <w:jc w:val="both"/>
        <w:rPr>
          <w:lang w:val="es-AR"/>
        </w:rPr>
      </w:pPr>
      <w:r>
        <w:rPr>
          <w:b/>
          <w:bCs/>
          <w:lang w:val="es-AR"/>
        </w:rPr>
        <w:t>Costo de Adquisición:</w:t>
      </w:r>
      <w:r>
        <w:rPr>
          <w:lang w:val="es-AR"/>
        </w:rPr>
        <w:t xml:space="preserve"> Se debe determinar el Costo de Adquisición del Título Público. Esta información debe surgir del inventario de Títulos Públicos proporcionado por la compañía. </w:t>
      </w:r>
    </w:p>
    <w:p w14:paraId="1CB21BB9" w14:textId="374BA58A" w:rsidR="00876D27" w:rsidRDefault="00876D27" w:rsidP="00FE7EC7">
      <w:pPr>
        <w:pStyle w:val="ListParagraph"/>
        <w:numPr>
          <w:ilvl w:val="0"/>
          <w:numId w:val="7"/>
        </w:numPr>
        <w:ind w:left="357" w:hanging="357"/>
        <w:contextualSpacing w:val="0"/>
        <w:jc w:val="both"/>
        <w:rPr>
          <w:lang w:val="es-AR"/>
        </w:rPr>
      </w:pPr>
      <w:r>
        <w:rPr>
          <w:b/>
          <w:bCs/>
          <w:lang w:val="es-AR"/>
        </w:rPr>
        <w:t>Intereses Devengados No Cobrados:</w:t>
      </w:r>
      <w:r>
        <w:rPr>
          <w:lang w:val="es-AR"/>
        </w:rPr>
        <w:t xml:space="preserve"> Son los intereses devengados, pero no cobrados a la fecha de cierre del ejercicio. Este importe debe ligar con la planilla soporte proporcionada por la compañía. </w:t>
      </w:r>
    </w:p>
    <w:p w14:paraId="4E12E077" w14:textId="63A9F586" w:rsidR="00876D27" w:rsidRDefault="00876D27" w:rsidP="00FE7EC7">
      <w:pPr>
        <w:pStyle w:val="ListParagraph"/>
        <w:numPr>
          <w:ilvl w:val="0"/>
          <w:numId w:val="7"/>
        </w:numPr>
        <w:ind w:left="357" w:hanging="357"/>
        <w:contextualSpacing w:val="0"/>
        <w:jc w:val="both"/>
        <w:rPr>
          <w:lang w:val="es-AR"/>
        </w:rPr>
      </w:pPr>
      <w:r>
        <w:rPr>
          <w:b/>
          <w:bCs/>
          <w:lang w:val="es-AR"/>
        </w:rPr>
        <w:t>Actualizaciones / Diferencias de Cambio:</w:t>
      </w:r>
      <w:r>
        <w:rPr>
          <w:lang w:val="es-AR"/>
        </w:rPr>
        <w:t xml:space="preserve"> Este importe debe ligar con la planilla soporte proporcionada por la compañía. </w:t>
      </w:r>
    </w:p>
    <w:p w14:paraId="686F27AC" w14:textId="77777777" w:rsidR="00C50786" w:rsidRDefault="00C50786" w:rsidP="00C50786">
      <w:pPr>
        <w:rPr>
          <w:lang w:val="es-AR"/>
        </w:rPr>
      </w:pPr>
    </w:p>
    <w:p w14:paraId="147BF406" w14:textId="2D775502" w:rsidR="00C50786" w:rsidRDefault="00C50786" w:rsidP="00FE7EC7">
      <w:pPr>
        <w:jc w:val="both"/>
        <w:rPr>
          <w:b/>
          <w:bCs/>
          <w:u w:val="single"/>
          <w:lang w:val="es-AR"/>
        </w:rPr>
      </w:pPr>
      <w:r w:rsidRPr="00C50786">
        <w:rPr>
          <w:b/>
          <w:bCs/>
          <w:u w:val="single"/>
          <w:lang w:val="es-AR"/>
        </w:rPr>
        <w:t>Quebrantos provenientes de la enajenación de títulos públicos:</w:t>
      </w:r>
    </w:p>
    <w:p w14:paraId="15E0F913" w14:textId="27D0EAAE" w:rsidR="003E73DA" w:rsidRPr="003E73DA" w:rsidRDefault="003E73DA" w:rsidP="00FE7EC7">
      <w:pPr>
        <w:jc w:val="both"/>
        <w:rPr>
          <w:lang w:val="es-AR"/>
        </w:rPr>
      </w:pPr>
      <w:r>
        <w:rPr>
          <w:lang w:val="es-AR"/>
        </w:rPr>
        <w:t>En relación con los quebrantos de estas inversiones, el artículo 25 de la Ley de Impuesto a las Ganancias dispone que los mismos revisten el carácter de quebrantos específicos, por lo que solo podrán compensarse con ganancias de la misma fuente y clase, no siendo posible su cómputo contra rentas de diferente naturaleza.</w:t>
      </w:r>
    </w:p>
    <w:p w14:paraId="2401E13B" w14:textId="77777777" w:rsidR="00E62BCD" w:rsidRPr="00876D27" w:rsidRDefault="00E62BCD" w:rsidP="00FE7EC7">
      <w:pPr>
        <w:jc w:val="both"/>
        <w:rPr>
          <w:b/>
          <w:bCs/>
          <w:u w:val="single"/>
          <w:lang w:val="es-AR"/>
        </w:rPr>
      </w:pPr>
    </w:p>
    <w:p w14:paraId="6041C1DB" w14:textId="682A77C7" w:rsidR="00876D27" w:rsidRPr="00906844" w:rsidRDefault="00876D27" w:rsidP="00FE7EC7">
      <w:pPr>
        <w:jc w:val="both"/>
        <w:rPr>
          <w:b/>
          <w:bCs/>
          <w:color w:val="000000" w:themeColor="text1"/>
          <w:u w:val="single"/>
          <w:lang w:val="es-AR"/>
        </w:rPr>
      </w:pPr>
      <w:r w:rsidRPr="00906844">
        <w:rPr>
          <w:b/>
          <w:bCs/>
          <w:color w:val="000000" w:themeColor="text1"/>
          <w:u w:val="single"/>
          <w:lang w:val="es-AR"/>
        </w:rPr>
        <w:lastRenderedPageBreak/>
        <w:t xml:space="preserve">Intereses no puestos a disposición: </w:t>
      </w:r>
    </w:p>
    <w:p w14:paraId="1C6F3493" w14:textId="36BFA56A" w:rsidR="00497FB4" w:rsidRPr="00497FB4" w:rsidRDefault="00497FB4" w:rsidP="00FE7EC7">
      <w:pPr>
        <w:jc w:val="both"/>
        <w:rPr>
          <w:color w:val="000000" w:themeColor="text1"/>
          <w:lang w:val="es-AR"/>
        </w:rPr>
      </w:pPr>
      <w:r w:rsidRPr="00497FB4">
        <w:rPr>
          <w:color w:val="000000" w:themeColor="text1"/>
          <w:lang w:val="es-AR"/>
        </w:rPr>
        <w:t xml:space="preserve">Asimismo, debe tenerse en cuenta que, si bien los ingresos de tercera categoría se reconocen por el criterio de lo devengado, el art 24 de la Ley establece una excepción para los intereses o rendimientos de títulos, bonos, </w:t>
      </w:r>
      <w:proofErr w:type="spellStart"/>
      <w:r w:rsidRPr="00497FB4">
        <w:rPr>
          <w:color w:val="000000" w:themeColor="text1"/>
          <w:lang w:val="es-AR"/>
        </w:rPr>
        <w:t>cuotapartes</w:t>
      </w:r>
      <w:proofErr w:type="spellEnd"/>
      <w:r w:rsidRPr="00497FB4">
        <w:rPr>
          <w:color w:val="000000" w:themeColor="text1"/>
          <w:lang w:val="es-AR"/>
        </w:rPr>
        <w:t xml:space="preserve"> de fondos comunes de inversión y demás valores. En estos casos, los ingresos deben imputarse cuando sean puestos a disposición o pagados (lo que ocurra primero) o, en caso de capitalización, siempre que los valores prevean el pago de intereses o rendimientos en un plazo no mayor a un año. Por lo tanto, correspondería excluir dichos ingresos devengados y considerarlos únicamente cuando se verifique alguna de estas condiciones. </w:t>
      </w:r>
    </w:p>
    <w:p w14:paraId="3E3273A8" w14:textId="2B880687" w:rsidR="00876D27" w:rsidRDefault="00876D27" w:rsidP="00FE7EC7">
      <w:pPr>
        <w:jc w:val="both"/>
        <w:rPr>
          <w:lang w:val="es-AR"/>
        </w:rPr>
      </w:pPr>
      <w:r>
        <w:rPr>
          <w:lang w:val="es-AR"/>
        </w:rPr>
        <w:t xml:space="preserve">Esta información debe surgir de la planilla soporte o del inventario de títulos públicos proporcionado por la compañía. </w:t>
      </w:r>
    </w:p>
    <w:p w14:paraId="616FB519" w14:textId="0B91E3D7" w:rsidR="00876D27" w:rsidRDefault="00876D27" w:rsidP="00FE7EC7">
      <w:pPr>
        <w:jc w:val="both"/>
        <w:rPr>
          <w:lang w:val="es-AR"/>
        </w:rPr>
      </w:pPr>
      <w:r>
        <w:rPr>
          <w:lang w:val="es-AR"/>
        </w:rPr>
        <w:t xml:space="preserve">En caso de que la sociedad no posea esta información, se debe calcular considerando las condiciones de emisión del título bajo análisis. </w:t>
      </w:r>
    </w:p>
    <w:p w14:paraId="1CF0A3C3" w14:textId="77777777" w:rsidR="00632B9D" w:rsidRDefault="00632B9D" w:rsidP="00FE7EC7">
      <w:pPr>
        <w:jc w:val="both"/>
        <w:rPr>
          <w:lang w:val="es-AR"/>
        </w:rPr>
      </w:pPr>
    </w:p>
    <w:p w14:paraId="33F865B0" w14:textId="7339AE65" w:rsidR="00632B9D" w:rsidRDefault="00632B9D" w:rsidP="00FE7EC7">
      <w:pPr>
        <w:jc w:val="both"/>
        <w:rPr>
          <w:b/>
          <w:bCs/>
          <w:u w:val="single"/>
          <w:lang w:val="es-AR"/>
        </w:rPr>
      </w:pPr>
      <w:r w:rsidRPr="002D786D">
        <w:rPr>
          <w:b/>
          <w:bCs/>
          <w:u w:val="single"/>
          <w:lang w:val="es-AR"/>
        </w:rPr>
        <w:t xml:space="preserve">Títulos </w:t>
      </w:r>
      <w:r w:rsidR="002D786D" w:rsidRPr="002D786D">
        <w:rPr>
          <w:b/>
          <w:bCs/>
          <w:u w:val="single"/>
          <w:lang w:val="es-AR"/>
        </w:rPr>
        <w:t>públicos en el exterior:</w:t>
      </w:r>
    </w:p>
    <w:p w14:paraId="6836A53A" w14:textId="1BD82B77" w:rsidR="003B78DF" w:rsidRPr="003B78DF" w:rsidRDefault="003B78DF" w:rsidP="00FE7EC7">
      <w:pPr>
        <w:jc w:val="both"/>
        <w:rPr>
          <w:lang w:val="es-AR"/>
        </w:rPr>
      </w:pPr>
      <w:r>
        <w:rPr>
          <w:lang w:val="es-AR"/>
        </w:rPr>
        <w:t xml:space="preserve">En este sentido, consideramos oportuno mencionar el caso de los títulos públicos de fuente extranjera. </w:t>
      </w:r>
      <w:r w:rsidR="00B42FDD">
        <w:rPr>
          <w:lang w:val="es-AR"/>
        </w:rPr>
        <w:t>S</w:t>
      </w:r>
      <w:r>
        <w:rPr>
          <w:lang w:val="es-AR"/>
        </w:rPr>
        <w:t xml:space="preserve">obre la base de lo desarrollado en el </w:t>
      </w:r>
      <w:proofErr w:type="spellStart"/>
      <w:r>
        <w:rPr>
          <w:lang w:val="es-AR"/>
        </w:rPr>
        <w:t>articulo</w:t>
      </w:r>
      <w:proofErr w:type="spellEnd"/>
      <w:r>
        <w:rPr>
          <w:lang w:val="es-AR"/>
        </w:rPr>
        <w:t xml:space="preserve"> de doctrina que se adjunta, se analiza su aplicación al caso en cuestión. </w:t>
      </w:r>
    </w:p>
    <w:p w14:paraId="5D122FB5" w14:textId="7C503C21" w:rsidR="002D786D" w:rsidRDefault="002D786D" w:rsidP="00FE7EC7">
      <w:pPr>
        <w:jc w:val="both"/>
        <w:rPr>
          <w:lang w:val="es-AR"/>
        </w:rPr>
      </w:pPr>
      <w:r>
        <w:rPr>
          <w:lang w:val="es-AR"/>
        </w:rPr>
        <w:t xml:space="preserve">Los resultados derivados de la enajenación de acciones, </w:t>
      </w:r>
      <w:proofErr w:type="spellStart"/>
      <w:r>
        <w:rPr>
          <w:lang w:val="es-AR"/>
        </w:rPr>
        <w:t>cuotapartes</w:t>
      </w:r>
      <w:proofErr w:type="spellEnd"/>
      <w:r>
        <w:rPr>
          <w:lang w:val="es-AR"/>
        </w:rPr>
        <w:t xml:space="preserve"> de fondos comunes de inversión, títulos públicos, bonos y demás valores del exterior se encuentran alcanzados por el impuesto a las ganancias como rentas de fuente extranjera. </w:t>
      </w:r>
    </w:p>
    <w:p w14:paraId="10646B55" w14:textId="0F9CCFE2" w:rsidR="002D786D" w:rsidRDefault="002D786D" w:rsidP="00FE7EC7">
      <w:pPr>
        <w:jc w:val="both"/>
        <w:rPr>
          <w:lang w:val="es-AR"/>
        </w:rPr>
      </w:pPr>
      <w:r>
        <w:rPr>
          <w:lang w:val="es-AR"/>
        </w:rPr>
        <w:t>A tales efectos, el resultado impositivo está dado por la diferencia entre el precio de venta y el costo computable del activo</w:t>
      </w:r>
      <w:r w:rsidR="003B78DF">
        <w:rPr>
          <w:lang w:val="es-AR"/>
        </w:rPr>
        <w:t xml:space="preserve"> (costo de adquisición)</w:t>
      </w:r>
      <w:r>
        <w:rPr>
          <w:lang w:val="es-AR"/>
        </w:rPr>
        <w:t>. Las diferencias de cotización generadas por la tenencia de las inversiones al cierre del ejercicio no deben considerarse para la determinación del impuesto</w:t>
      </w:r>
      <w:r w:rsidR="00B42FDD">
        <w:rPr>
          <w:lang w:val="es-AR"/>
        </w:rPr>
        <w:t>, debiendo efectuarse un análisis PEPS sobre la tenencia.</w:t>
      </w:r>
    </w:p>
    <w:p w14:paraId="4F8B5102" w14:textId="1FF08EA1" w:rsidR="002D786D" w:rsidRPr="002D786D" w:rsidRDefault="002D786D" w:rsidP="00FE7EC7">
      <w:pPr>
        <w:jc w:val="both"/>
        <w:rPr>
          <w:lang w:val="es-AR"/>
        </w:rPr>
      </w:pPr>
      <w:r>
        <w:rPr>
          <w:lang w:val="es-AR"/>
        </w:rPr>
        <w:t xml:space="preserve"> </w:t>
      </w:r>
      <w:r w:rsidRPr="002D786D">
        <w:rPr>
          <w:lang w:val="es-AR"/>
        </w:rPr>
        <w:t>En relación con los quebrantos de fuente extranjera provenientes de este tipo de inversiones, el artículo 132 de la LIG establece que los mismos tienen naturaleza específica, por lo que únicamente podrán compensarse con utilidades de fuente extranjera originadas en operaciones de la misma clase, en el ejercicio en que se generen o dentro 5 años siguientes. Asimismo, los quebrantos de fuente argentina provenientes de estas inversiones no podrán compensarse con ganancias de fuente extranjera de igual naturaleza.</w:t>
      </w:r>
    </w:p>
    <w:p w14:paraId="621F56E1" w14:textId="77777777" w:rsidR="00765271" w:rsidRDefault="00765271" w:rsidP="00FE7EC7">
      <w:pPr>
        <w:jc w:val="both"/>
        <w:rPr>
          <w:lang w:val="es-AR"/>
        </w:rPr>
      </w:pPr>
    </w:p>
    <w:p w14:paraId="3DCB79FF" w14:textId="52520D40" w:rsidR="00765271" w:rsidRDefault="00765271" w:rsidP="00FE7EC7">
      <w:pPr>
        <w:jc w:val="both"/>
        <w:rPr>
          <w:b/>
          <w:bCs/>
          <w:u w:val="single"/>
          <w:lang w:val="es-AR"/>
        </w:rPr>
      </w:pPr>
      <w:r w:rsidRPr="00765271">
        <w:rPr>
          <w:b/>
          <w:bCs/>
          <w:u w:val="single"/>
          <w:lang w:val="es-AR"/>
        </w:rPr>
        <w:lastRenderedPageBreak/>
        <w:t>Tratamiento en el AXI Impositivo:</w:t>
      </w:r>
    </w:p>
    <w:p w14:paraId="6368595B" w14:textId="12D34B1B" w:rsidR="00CE6541" w:rsidRDefault="00A206BF" w:rsidP="00A87FB2">
      <w:pPr>
        <w:jc w:val="both"/>
        <w:rPr>
          <w:lang w:val="es-AR"/>
        </w:rPr>
      </w:pPr>
      <w:r>
        <w:rPr>
          <w:lang w:val="es-AR"/>
        </w:rPr>
        <w:t xml:space="preserve">El artículo 106 de la Ley de Impuesto a las Ganancias prevé que las acciones, cuotas y participaciones sociales, incluidas las cuotas partes de fondos comunes de inversión, deben detraerse del activo computable a los efectos de la determinación del ajuste por inflación impositivo. </w:t>
      </w:r>
    </w:p>
    <w:p w14:paraId="692E7BE9" w14:textId="6D6CF647" w:rsidR="00A87FB2" w:rsidRDefault="00A87FB2" w:rsidP="00A87FB2">
      <w:pPr>
        <w:jc w:val="both"/>
        <w:rPr>
          <w:lang w:val="es-AR"/>
        </w:rPr>
      </w:pPr>
      <w:r>
        <w:rPr>
          <w:lang w:val="es-AR"/>
        </w:rPr>
        <w:t>Los títulos públicos no constituyen participaciones societarias, sino instrumentos de deuda, por lo que</w:t>
      </w:r>
      <w:r w:rsidR="00632B9D">
        <w:rPr>
          <w:lang w:val="es-AR"/>
        </w:rPr>
        <w:t xml:space="preserve"> permanecen incluidos en el activo computable, quedando expuestos frente a la inflación.</w:t>
      </w:r>
      <w:r w:rsidR="006A05C4">
        <w:rPr>
          <w:lang w:val="es-AR"/>
        </w:rPr>
        <w:t xml:space="preserve"> </w:t>
      </w:r>
      <w:proofErr w:type="gramStart"/>
      <w:r w:rsidR="00B42FDD" w:rsidRPr="006A05C4">
        <w:rPr>
          <w:color w:val="000000" w:themeColor="text1"/>
          <w:lang w:val="es-AR"/>
        </w:rPr>
        <w:t>Considerar</w:t>
      </w:r>
      <w:proofErr w:type="gramEnd"/>
      <w:r w:rsidR="00B42FDD" w:rsidRPr="006A05C4">
        <w:rPr>
          <w:color w:val="000000" w:themeColor="text1"/>
          <w:lang w:val="es-AR"/>
        </w:rPr>
        <w:t xml:space="preserve"> que los títulos públicos del exterior mencionados en el apartado precedente deberían considerarse no expuestos a la inflación en función de lo estipulado por el art. 106, inciso a, </w:t>
      </w:r>
      <w:proofErr w:type="spellStart"/>
      <w:r w:rsidR="00B42FDD" w:rsidRPr="006A05C4">
        <w:rPr>
          <w:color w:val="000000" w:themeColor="text1"/>
          <w:lang w:val="es-AR"/>
        </w:rPr>
        <w:t>subinciso</w:t>
      </w:r>
      <w:proofErr w:type="spellEnd"/>
      <w:r w:rsidR="00B42FDD" w:rsidRPr="006A05C4">
        <w:rPr>
          <w:color w:val="000000" w:themeColor="text1"/>
          <w:lang w:val="es-AR"/>
        </w:rPr>
        <w:t xml:space="preserve"> 8.</w:t>
      </w:r>
    </w:p>
    <w:p w14:paraId="2B63DECF" w14:textId="77777777" w:rsidR="00A87FB2" w:rsidRPr="00A87FB2" w:rsidRDefault="00A87FB2" w:rsidP="00A87FB2">
      <w:pPr>
        <w:jc w:val="both"/>
        <w:rPr>
          <w:lang w:val="es-AR"/>
        </w:rPr>
      </w:pPr>
    </w:p>
    <w:p w14:paraId="294699CC" w14:textId="2653441A" w:rsidR="00E934B7" w:rsidRPr="00A87FB2" w:rsidRDefault="00E934B7" w:rsidP="00B7345D">
      <w:pPr>
        <w:rPr>
          <w:color w:val="0070C0"/>
          <w:sz w:val="32"/>
          <w:szCs w:val="32"/>
          <w:lang w:val="es-AR"/>
        </w:rPr>
      </w:pPr>
      <w:r w:rsidRPr="00A87FB2">
        <w:rPr>
          <w:b/>
          <w:bCs/>
          <w:color w:val="0070C0"/>
          <w:sz w:val="32"/>
          <w:szCs w:val="32"/>
          <w:u w:val="single"/>
          <w:lang w:val="es-AR"/>
        </w:rPr>
        <w:t>Ejemplo:</w:t>
      </w:r>
    </w:p>
    <w:tbl>
      <w:tblPr>
        <w:tblW w:w="9656" w:type="dxa"/>
        <w:jc w:val="center"/>
        <w:tblLook w:val="04A0" w:firstRow="1" w:lastRow="0" w:firstColumn="1" w:lastColumn="0" w:noHBand="0" w:noVBand="1"/>
      </w:tblPr>
      <w:tblGrid>
        <w:gridCol w:w="1754"/>
        <w:gridCol w:w="272"/>
        <w:gridCol w:w="960"/>
        <w:gridCol w:w="960"/>
        <w:gridCol w:w="960"/>
        <w:gridCol w:w="960"/>
        <w:gridCol w:w="960"/>
        <w:gridCol w:w="988"/>
        <w:gridCol w:w="988"/>
        <w:gridCol w:w="960"/>
      </w:tblGrid>
      <w:tr w:rsidR="00CE6541" w:rsidRPr="00CE6541" w14:paraId="3238C374" w14:textId="77777777" w:rsidTr="00CE6541">
        <w:trPr>
          <w:trHeight w:val="260"/>
          <w:jc w:val="center"/>
        </w:trPr>
        <w:tc>
          <w:tcPr>
            <w:tcW w:w="1920" w:type="dxa"/>
            <w:gridSpan w:val="2"/>
            <w:tcBorders>
              <w:top w:val="nil"/>
              <w:left w:val="nil"/>
              <w:bottom w:val="nil"/>
              <w:right w:val="nil"/>
            </w:tcBorders>
            <w:shd w:val="clear" w:color="000000" w:fill="FFFFFF"/>
            <w:noWrap/>
            <w:vAlign w:val="bottom"/>
            <w:hideMark/>
          </w:tcPr>
          <w:p w14:paraId="586EB43F" w14:textId="77777777" w:rsidR="00CE6541" w:rsidRPr="00CE6541" w:rsidRDefault="00CE6541" w:rsidP="00CE6541">
            <w:pPr>
              <w:spacing w:after="0" w:line="240" w:lineRule="auto"/>
              <w:rPr>
                <w:rFonts w:ascii="Arial" w:eastAsia="Times New Roman" w:hAnsi="Arial" w:cs="Arial"/>
                <w:b/>
                <w:bCs/>
                <w:kern w:val="0"/>
                <w:sz w:val="20"/>
                <w:szCs w:val="20"/>
                <w:u w:val="single"/>
                <w14:ligatures w14:val="none"/>
              </w:rPr>
            </w:pPr>
            <w:proofErr w:type="spellStart"/>
            <w:r w:rsidRPr="00CE6541">
              <w:rPr>
                <w:rFonts w:ascii="Arial" w:eastAsia="Times New Roman" w:hAnsi="Arial" w:cs="Arial"/>
                <w:b/>
                <w:bCs/>
                <w:kern w:val="0"/>
                <w:sz w:val="20"/>
                <w:szCs w:val="20"/>
                <w:u w:val="single"/>
                <w14:ligatures w14:val="none"/>
              </w:rPr>
              <w:t>Ejercicio</w:t>
            </w:r>
            <w:proofErr w:type="spellEnd"/>
            <w:r w:rsidRPr="00CE6541">
              <w:rPr>
                <w:rFonts w:ascii="Arial" w:eastAsia="Times New Roman" w:hAnsi="Arial" w:cs="Arial"/>
                <w:b/>
                <w:bCs/>
                <w:kern w:val="0"/>
                <w:sz w:val="20"/>
                <w:szCs w:val="20"/>
                <w:u w:val="single"/>
                <w14:ligatures w14:val="none"/>
              </w:rPr>
              <w:t xml:space="preserve"> N°1</w:t>
            </w:r>
          </w:p>
        </w:tc>
        <w:tc>
          <w:tcPr>
            <w:tcW w:w="960" w:type="dxa"/>
            <w:tcBorders>
              <w:top w:val="nil"/>
              <w:left w:val="nil"/>
              <w:bottom w:val="nil"/>
              <w:right w:val="nil"/>
            </w:tcBorders>
            <w:shd w:val="clear" w:color="000000" w:fill="FFFFFF"/>
            <w:noWrap/>
            <w:vAlign w:val="bottom"/>
            <w:hideMark/>
          </w:tcPr>
          <w:p w14:paraId="2A05BBF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909B05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3BF458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BDC692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1B9B2D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7C0F91A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7C5313D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A2C580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51CFE397" w14:textId="77777777" w:rsidTr="00CE6541">
        <w:trPr>
          <w:trHeight w:val="260"/>
          <w:jc w:val="center"/>
        </w:trPr>
        <w:tc>
          <w:tcPr>
            <w:tcW w:w="1754" w:type="dxa"/>
            <w:tcBorders>
              <w:top w:val="nil"/>
              <w:left w:val="nil"/>
              <w:bottom w:val="nil"/>
              <w:right w:val="nil"/>
            </w:tcBorders>
            <w:shd w:val="clear" w:color="000000" w:fill="FFFFFF"/>
            <w:noWrap/>
            <w:vAlign w:val="bottom"/>
            <w:hideMark/>
          </w:tcPr>
          <w:p w14:paraId="46AF0F9C" w14:textId="77777777" w:rsidR="00CE6541" w:rsidRPr="00CE6541" w:rsidRDefault="00CE6541" w:rsidP="00CE6541">
            <w:pPr>
              <w:spacing w:after="0" w:line="240" w:lineRule="auto"/>
              <w:rPr>
                <w:rFonts w:ascii="Arial" w:eastAsia="Times New Roman" w:hAnsi="Arial" w:cs="Arial"/>
                <w:b/>
                <w:bCs/>
                <w:kern w:val="0"/>
                <w:sz w:val="20"/>
                <w:szCs w:val="20"/>
                <w:u w:val="single"/>
                <w14:ligatures w14:val="none"/>
              </w:rPr>
            </w:pPr>
            <w:r w:rsidRPr="00CE6541">
              <w:rPr>
                <w:rFonts w:ascii="Arial" w:eastAsia="Times New Roman" w:hAnsi="Arial" w:cs="Arial"/>
                <w:b/>
                <w:bCs/>
                <w:kern w:val="0"/>
                <w:sz w:val="20"/>
                <w:szCs w:val="20"/>
                <w:u w:val="single"/>
                <w14:ligatures w14:val="none"/>
              </w:rPr>
              <w:t> </w:t>
            </w:r>
          </w:p>
        </w:tc>
        <w:tc>
          <w:tcPr>
            <w:tcW w:w="166" w:type="dxa"/>
            <w:tcBorders>
              <w:top w:val="nil"/>
              <w:left w:val="nil"/>
              <w:bottom w:val="nil"/>
              <w:right w:val="nil"/>
            </w:tcBorders>
            <w:shd w:val="clear" w:color="000000" w:fill="FFFFFF"/>
            <w:noWrap/>
            <w:vAlign w:val="bottom"/>
            <w:hideMark/>
          </w:tcPr>
          <w:p w14:paraId="44F69EA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43225D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2E3996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07FEF0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7011896"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0190BD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2936" w:type="dxa"/>
            <w:gridSpan w:val="3"/>
            <w:tcBorders>
              <w:top w:val="nil"/>
              <w:left w:val="nil"/>
              <w:bottom w:val="nil"/>
              <w:right w:val="nil"/>
            </w:tcBorders>
            <w:shd w:val="clear" w:color="000000" w:fill="FFFFFF"/>
            <w:noWrap/>
            <w:vAlign w:val="bottom"/>
            <w:hideMark/>
          </w:tcPr>
          <w:p w14:paraId="2BE6D6EC" w14:textId="77777777" w:rsidR="00CE6541" w:rsidRPr="00CE6541" w:rsidRDefault="00CE6541" w:rsidP="00CE6541">
            <w:pPr>
              <w:spacing w:after="0" w:line="240" w:lineRule="auto"/>
              <w:rPr>
                <w:rFonts w:ascii="Arial" w:eastAsia="Times New Roman" w:hAnsi="Arial" w:cs="Arial"/>
                <w:b/>
                <w:bCs/>
                <w:kern w:val="0"/>
                <w:sz w:val="20"/>
                <w:szCs w:val="20"/>
                <w:u w:val="single"/>
                <w14:ligatures w14:val="none"/>
              </w:rPr>
            </w:pPr>
            <w:proofErr w:type="spellStart"/>
            <w:r w:rsidRPr="00CE6541">
              <w:rPr>
                <w:rFonts w:ascii="Arial" w:eastAsia="Times New Roman" w:hAnsi="Arial" w:cs="Arial"/>
                <w:b/>
                <w:bCs/>
                <w:kern w:val="0"/>
                <w:sz w:val="20"/>
                <w:szCs w:val="20"/>
                <w:u w:val="single"/>
                <w14:ligatures w14:val="none"/>
              </w:rPr>
              <w:t>Declaracion</w:t>
            </w:r>
            <w:proofErr w:type="spellEnd"/>
            <w:r w:rsidRPr="00CE6541">
              <w:rPr>
                <w:rFonts w:ascii="Arial" w:eastAsia="Times New Roman" w:hAnsi="Arial" w:cs="Arial"/>
                <w:b/>
                <w:bCs/>
                <w:kern w:val="0"/>
                <w:sz w:val="20"/>
                <w:szCs w:val="20"/>
                <w:u w:val="single"/>
                <w14:ligatures w14:val="none"/>
              </w:rPr>
              <w:t xml:space="preserve"> Jurada ej 1</w:t>
            </w:r>
          </w:p>
        </w:tc>
      </w:tr>
      <w:tr w:rsidR="00CE6541" w:rsidRPr="00CE6541" w14:paraId="04E7CE88" w14:textId="77777777" w:rsidTr="00CE6541">
        <w:trPr>
          <w:trHeight w:val="260"/>
          <w:jc w:val="center"/>
        </w:trPr>
        <w:tc>
          <w:tcPr>
            <w:tcW w:w="1754" w:type="dxa"/>
            <w:tcBorders>
              <w:top w:val="nil"/>
              <w:left w:val="nil"/>
              <w:bottom w:val="nil"/>
              <w:right w:val="nil"/>
            </w:tcBorders>
            <w:shd w:val="clear" w:color="000000" w:fill="FFFFFF"/>
            <w:noWrap/>
            <w:vAlign w:val="bottom"/>
            <w:hideMark/>
          </w:tcPr>
          <w:p w14:paraId="2F5AF91D" w14:textId="77777777" w:rsidR="00CE6541" w:rsidRPr="00CE6541" w:rsidRDefault="00CE6541" w:rsidP="00CE6541">
            <w:pPr>
              <w:spacing w:after="0" w:line="240" w:lineRule="auto"/>
              <w:rPr>
                <w:rFonts w:ascii="Arial" w:eastAsia="Times New Roman" w:hAnsi="Arial" w:cs="Arial"/>
                <w:b/>
                <w:bCs/>
                <w:kern w:val="0"/>
                <w:sz w:val="20"/>
                <w:szCs w:val="20"/>
                <w:u w:val="single"/>
                <w14:ligatures w14:val="none"/>
              </w:rPr>
            </w:pPr>
            <w:r w:rsidRPr="00CE6541">
              <w:rPr>
                <w:rFonts w:ascii="Arial" w:eastAsia="Times New Roman" w:hAnsi="Arial" w:cs="Arial"/>
                <w:b/>
                <w:bCs/>
                <w:kern w:val="0"/>
                <w:sz w:val="20"/>
                <w:szCs w:val="20"/>
                <w:u w:val="single"/>
                <w14:ligatures w14:val="none"/>
              </w:rPr>
              <w:t>Datos</w:t>
            </w:r>
          </w:p>
        </w:tc>
        <w:tc>
          <w:tcPr>
            <w:tcW w:w="166" w:type="dxa"/>
            <w:tcBorders>
              <w:top w:val="nil"/>
              <w:left w:val="nil"/>
              <w:bottom w:val="nil"/>
              <w:right w:val="nil"/>
            </w:tcBorders>
            <w:shd w:val="clear" w:color="000000" w:fill="FFFFFF"/>
            <w:noWrap/>
            <w:vAlign w:val="bottom"/>
            <w:hideMark/>
          </w:tcPr>
          <w:p w14:paraId="50139E8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BB5AEC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400082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045888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6944E8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29591E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2F0BCE65"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72F9D35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52E1BA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00588174"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4BEAEA6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0E30728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3A756F9"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5C080C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519F32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F918E9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E18CB1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976" w:type="dxa"/>
            <w:gridSpan w:val="2"/>
            <w:tcBorders>
              <w:top w:val="nil"/>
              <w:left w:val="nil"/>
              <w:bottom w:val="nil"/>
              <w:right w:val="nil"/>
            </w:tcBorders>
            <w:shd w:val="clear" w:color="000000" w:fill="FFFFFF"/>
            <w:noWrap/>
            <w:vAlign w:val="bottom"/>
            <w:hideMark/>
          </w:tcPr>
          <w:p w14:paraId="68350CA5" w14:textId="77777777" w:rsidR="00CE6541" w:rsidRPr="00CE6541" w:rsidRDefault="00CE6541" w:rsidP="00CE6541">
            <w:pPr>
              <w:spacing w:after="0" w:line="240" w:lineRule="auto"/>
              <w:rPr>
                <w:rFonts w:ascii="Arial" w:eastAsia="Times New Roman" w:hAnsi="Arial" w:cs="Arial"/>
                <w:kern w:val="0"/>
                <w:sz w:val="20"/>
                <w:szCs w:val="20"/>
                <w14:ligatures w14:val="none"/>
              </w:rPr>
            </w:pPr>
            <w:proofErr w:type="spellStart"/>
            <w:r w:rsidRPr="00CE6541">
              <w:rPr>
                <w:rFonts w:ascii="Arial" w:eastAsia="Times New Roman" w:hAnsi="Arial" w:cs="Arial"/>
                <w:kern w:val="0"/>
                <w:sz w:val="20"/>
                <w:szCs w:val="20"/>
                <w14:ligatures w14:val="none"/>
              </w:rPr>
              <w:t>Rdo</w:t>
            </w:r>
            <w:proofErr w:type="spellEnd"/>
            <w:r w:rsidRPr="00CE6541">
              <w:rPr>
                <w:rFonts w:ascii="Arial" w:eastAsia="Times New Roman" w:hAnsi="Arial" w:cs="Arial"/>
                <w:kern w:val="0"/>
                <w:sz w:val="20"/>
                <w:szCs w:val="20"/>
                <w14:ligatures w14:val="none"/>
              </w:rPr>
              <w:t xml:space="preserve">. </w:t>
            </w:r>
            <w:proofErr w:type="spellStart"/>
            <w:r w:rsidRPr="00CE6541">
              <w:rPr>
                <w:rFonts w:ascii="Arial" w:eastAsia="Times New Roman" w:hAnsi="Arial" w:cs="Arial"/>
                <w:kern w:val="0"/>
                <w:sz w:val="20"/>
                <w:szCs w:val="20"/>
                <w14:ligatures w14:val="none"/>
              </w:rPr>
              <w:t>Contable</w:t>
            </w:r>
            <w:proofErr w:type="spellEnd"/>
          </w:p>
        </w:tc>
        <w:tc>
          <w:tcPr>
            <w:tcW w:w="960" w:type="dxa"/>
            <w:tcBorders>
              <w:top w:val="nil"/>
              <w:left w:val="nil"/>
              <w:bottom w:val="nil"/>
              <w:right w:val="nil"/>
            </w:tcBorders>
            <w:shd w:val="clear" w:color="000000" w:fill="FFFFFF"/>
            <w:noWrap/>
            <w:vAlign w:val="center"/>
            <w:hideMark/>
          </w:tcPr>
          <w:p w14:paraId="56331279" w14:textId="2E23FCD9" w:rsidR="00CE6541" w:rsidRPr="00CE6541" w:rsidRDefault="00CE6541" w:rsidP="00CE6541">
            <w:pPr>
              <w:spacing w:after="0" w:line="240" w:lineRule="auto"/>
              <w:jc w:val="center"/>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xml:space="preserve">          </w:t>
            </w:r>
            <w:r>
              <w:rPr>
                <w:rFonts w:ascii="Arial" w:eastAsia="Times New Roman" w:hAnsi="Arial" w:cs="Arial"/>
                <w:kern w:val="0"/>
                <w:sz w:val="20"/>
                <w:szCs w:val="20"/>
                <w14:ligatures w14:val="none"/>
              </w:rPr>
              <w:t xml:space="preserve">      </w:t>
            </w:r>
            <w:r w:rsidRPr="00CE6541">
              <w:rPr>
                <w:rFonts w:ascii="Arial" w:eastAsia="Times New Roman" w:hAnsi="Arial" w:cs="Arial"/>
                <w:kern w:val="0"/>
                <w:sz w:val="20"/>
                <w:szCs w:val="20"/>
                <w14:ligatures w14:val="none"/>
              </w:rPr>
              <w:t xml:space="preserve">38 </w:t>
            </w:r>
          </w:p>
        </w:tc>
      </w:tr>
      <w:tr w:rsidR="00CE6541" w:rsidRPr="00CE6541" w14:paraId="562D277C" w14:textId="77777777" w:rsidTr="00CE6541">
        <w:trPr>
          <w:trHeight w:val="250"/>
          <w:jc w:val="center"/>
        </w:trPr>
        <w:tc>
          <w:tcPr>
            <w:tcW w:w="2880" w:type="dxa"/>
            <w:gridSpan w:val="3"/>
            <w:tcBorders>
              <w:top w:val="nil"/>
              <w:left w:val="nil"/>
              <w:bottom w:val="nil"/>
              <w:right w:val="nil"/>
            </w:tcBorders>
            <w:shd w:val="clear" w:color="000000" w:fill="FFFFFF"/>
            <w:noWrap/>
            <w:vAlign w:val="bottom"/>
            <w:hideMark/>
          </w:tcPr>
          <w:p w14:paraId="5E6AFC48" w14:textId="77777777" w:rsidR="00CE6541" w:rsidRPr="00CE6541" w:rsidRDefault="00CE6541" w:rsidP="00CE6541">
            <w:pPr>
              <w:spacing w:after="0" w:line="240" w:lineRule="auto"/>
              <w:rPr>
                <w:rFonts w:ascii="Arial" w:eastAsia="Times New Roman" w:hAnsi="Arial" w:cs="Arial"/>
                <w:kern w:val="0"/>
                <w:sz w:val="20"/>
                <w:szCs w:val="20"/>
                <w14:ligatures w14:val="none"/>
              </w:rPr>
            </w:pPr>
            <w:proofErr w:type="spellStart"/>
            <w:r w:rsidRPr="00CE6541">
              <w:rPr>
                <w:rFonts w:ascii="Arial" w:eastAsia="Times New Roman" w:hAnsi="Arial" w:cs="Arial"/>
                <w:kern w:val="0"/>
                <w:sz w:val="20"/>
                <w:szCs w:val="20"/>
                <w14:ligatures w14:val="none"/>
              </w:rPr>
              <w:t>Compra</w:t>
            </w:r>
            <w:proofErr w:type="spellEnd"/>
            <w:r w:rsidRPr="00CE6541">
              <w:rPr>
                <w:rFonts w:ascii="Arial" w:eastAsia="Times New Roman" w:hAnsi="Arial" w:cs="Arial"/>
                <w:kern w:val="0"/>
                <w:sz w:val="20"/>
                <w:szCs w:val="20"/>
                <w14:ligatures w14:val="none"/>
              </w:rPr>
              <w:t xml:space="preserve"> de </w:t>
            </w:r>
            <w:proofErr w:type="spellStart"/>
            <w:r w:rsidRPr="00CE6541">
              <w:rPr>
                <w:rFonts w:ascii="Arial" w:eastAsia="Times New Roman" w:hAnsi="Arial" w:cs="Arial"/>
                <w:kern w:val="0"/>
                <w:sz w:val="20"/>
                <w:szCs w:val="20"/>
                <w14:ligatures w14:val="none"/>
              </w:rPr>
              <w:t>Títulos</w:t>
            </w:r>
            <w:proofErr w:type="spellEnd"/>
            <w:r w:rsidRPr="00CE6541">
              <w:rPr>
                <w:rFonts w:ascii="Arial" w:eastAsia="Times New Roman" w:hAnsi="Arial" w:cs="Arial"/>
                <w:kern w:val="0"/>
                <w:sz w:val="20"/>
                <w:szCs w:val="20"/>
                <w14:ligatures w14:val="none"/>
              </w:rPr>
              <w:t xml:space="preserve"> </w:t>
            </w:r>
            <w:proofErr w:type="spellStart"/>
            <w:r w:rsidRPr="00CE6541">
              <w:rPr>
                <w:rFonts w:ascii="Arial" w:eastAsia="Times New Roman" w:hAnsi="Arial" w:cs="Arial"/>
                <w:kern w:val="0"/>
                <w:sz w:val="20"/>
                <w:szCs w:val="20"/>
                <w14:ligatures w14:val="none"/>
              </w:rPr>
              <w:t>Públicos</w:t>
            </w:r>
            <w:proofErr w:type="spellEnd"/>
          </w:p>
        </w:tc>
        <w:tc>
          <w:tcPr>
            <w:tcW w:w="960" w:type="dxa"/>
            <w:tcBorders>
              <w:top w:val="nil"/>
              <w:left w:val="nil"/>
              <w:bottom w:val="nil"/>
              <w:right w:val="nil"/>
            </w:tcBorders>
            <w:shd w:val="clear" w:color="000000" w:fill="FFFFFF"/>
            <w:noWrap/>
            <w:vAlign w:val="bottom"/>
            <w:hideMark/>
          </w:tcPr>
          <w:p w14:paraId="495D386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100</w:t>
            </w:r>
          </w:p>
        </w:tc>
        <w:tc>
          <w:tcPr>
            <w:tcW w:w="1920" w:type="dxa"/>
            <w:gridSpan w:val="2"/>
            <w:tcBorders>
              <w:top w:val="nil"/>
              <w:left w:val="nil"/>
              <w:bottom w:val="nil"/>
              <w:right w:val="nil"/>
            </w:tcBorders>
            <w:shd w:val="clear" w:color="000000" w:fill="FFFFFF"/>
            <w:noWrap/>
            <w:vAlign w:val="bottom"/>
            <w:hideMark/>
          </w:tcPr>
          <w:p w14:paraId="18491B37" w14:textId="5564D698"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(100 V.N. a $1C/U)</w:t>
            </w:r>
          </w:p>
        </w:tc>
        <w:tc>
          <w:tcPr>
            <w:tcW w:w="960" w:type="dxa"/>
            <w:tcBorders>
              <w:top w:val="nil"/>
              <w:left w:val="nil"/>
              <w:bottom w:val="nil"/>
              <w:right w:val="nil"/>
            </w:tcBorders>
            <w:shd w:val="clear" w:color="000000" w:fill="FFFFFF"/>
            <w:noWrap/>
            <w:vAlign w:val="bottom"/>
            <w:hideMark/>
          </w:tcPr>
          <w:p w14:paraId="47A5BA0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3BDDE54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4AB2772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center"/>
            <w:hideMark/>
          </w:tcPr>
          <w:p w14:paraId="3B917473" w14:textId="77777777" w:rsidR="00CE6541" w:rsidRPr="00CE6541" w:rsidRDefault="00CE6541" w:rsidP="00CE6541">
            <w:pPr>
              <w:spacing w:after="0" w:line="240" w:lineRule="auto"/>
              <w:jc w:val="center"/>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3619A269"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1D50935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3732566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128FA9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C235365"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24314E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286634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89C31F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6B3615B7" w14:textId="179A5C5B" w:rsidR="00CE6541" w:rsidRPr="00CE6541" w:rsidRDefault="00CE6541" w:rsidP="00CE6541">
            <w:pPr>
              <w:spacing w:after="0" w:line="240" w:lineRule="auto"/>
              <w:rPr>
                <w:rFonts w:ascii="Arial" w:eastAsia="Times New Roman" w:hAnsi="Arial" w:cs="Arial"/>
                <w:kern w:val="0"/>
                <w:sz w:val="20"/>
                <w:szCs w:val="20"/>
                <w14:ligatures w14:val="none"/>
              </w:rPr>
            </w:pPr>
            <w:proofErr w:type="spellStart"/>
            <w:r w:rsidRPr="00CE6541">
              <w:rPr>
                <w:rFonts w:ascii="Arial" w:eastAsia="Times New Roman" w:hAnsi="Arial" w:cs="Arial"/>
                <w:kern w:val="0"/>
                <w:sz w:val="20"/>
                <w:szCs w:val="20"/>
                <w14:ligatures w14:val="none"/>
              </w:rPr>
              <w:t>Ajust</w:t>
            </w:r>
            <w:proofErr w:type="spellEnd"/>
            <w:r>
              <w:rPr>
                <w:rFonts w:ascii="Arial" w:eastAsia="Times New Roman" w:hAnsi="Arial" w:cs="Arial"/>
                <w:kern w:val="0"/>
                <w:sz w:val="20"/>
                <w:szCs w:val="20"/>
                <w14:ligatures w14:val="none"/>
              </w:rPr>
              <w:t xml:space="preserve"> </w:t>
            </w:r>
            <w:r w:rsidRPr="00CE6541">
              <w:rPr>
                <w:rFonts w:ascii="Arial" w:eastAsia="Times New Roman" w:hAnsi="Arial" w:cs="Arial"/>
                <w:kern w:val="0"/>
                <w:sz w:val="20"/>
                <w:szCs w:val="20"/>
                <w14:ligatures w14:val="none"/>
              </w:rPr>
              <w:t>SI</w:t>
            </w:r>
          </w:p>
        </w:tc>
        <w:tc>
          <w:tcPr>
            <w:tcW w:w="988" w:type="dxa"/>
            <w:tcBorders>
              <w:top w:val="nil"/>
              <w:left w:val="nil"/>
              <w:bottom w:val="nil"/>
              <w:right w:val="nil"/>
            </w:tcBorders>
            <w:shd w:val="clear" w:color="000000" w:fill="FFFFFF"/>
            <w:noWrap/>
            <w:vAlign w:val="bottom"/>
            <w:hideMark/>
          </w:tcPr>
          <w:p w14:paraId="14EBFBC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center"/>
            <w:hideMark/>
          </w:tcPr>
          <w:p w14:paraId="3C26C328" w14:textId="2BA04AFA" w:rsidR="00CE6541" w:rsidRPr="00CE6541" w:rsidRDefault="00CE6541" w:rsidP="00CE6541">
            <w:pPr>
              <w:spacing w:after="0" w:line="240" w:lineRule="auto"/>
              <w:jc w:val="center"/>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xml:space="preserve"> </w:t>
            </w:r>
            <w:r>
              <w:rPr>
                <w:rFonts w:ascii="Arial" w:eastAsia="Times New Roman" w:hAnsi="Arial" w:cs="Arial"/>
                <w:kern w:val="0"/>
                <w:sz w:val="20"/>
                <w:szCs w:val="20"/>
                <w14:ligatures w14:val="none"/>
              </w:rPr>
              <w:t xml:space="preserve">   0</w:t>
            </w:r>
            <w:r w:rsidRPr="00CE6541">
              <w:rPr>
                <w:rFonts w:ascii="Arial" w:eastAsia="Times New Roman" w:hAnsi="Arial" w:cs="Arial"/>
                <w:kern w:val="0"/>
                <w:sz w:val="20"/>
                <w:szCs w:val="20"/>
                <w14:ligatures w14:val="none"/>
              </w:rPr>
              <w:t xml:space="preserve"> </w:t>
            </w:r>
          </w:p>
        </w:tc>
      </w:tr>
      <w:tr w:rsidR="00CE6541" w:rsidRPr="00CE6541" w14:paraId="290AC384" w14:textId="77777777" w:rsidTr="00CE6541">
        <w:trPr>
          <w:trHeight w:val="260"/>
          <w:jc w:val="center"/>
        </w:trPr>
        <w:tc>
          <w:tcPr>
            <w:tcW w:w="2880" w:type="dxa"/>
            <w:gridSpan w:val="3"/>
            <w:tcBorders>
              <w:top w:val="single" w:sz="4" w:space="0" w:color="auto"/>
              <w:left w:val="single" w:sz="4" w:space="0" w:color="auto"/>
              <w:bottom w:val="single" w:sz="4" w:space="0" w:color="auto"/>
              <w:right w:val="nil"/>
            </w:tcBorders>
            <w:shd w:val="clear" w:color="000000" w:fill="FFFFFF"/>
            <w:noWrap/>
            <w:vAlign w:val="bottom"/>
            <w:hideMark/>
          </w:tcPr>
          <w:p w14:paraId="1078578F" w14:textId="77777777" w:rsidR="00CE6541" w:rsidRPr="006A05C4" w:rsidRDefault="00CE6541" w:rsidP="00CE6541">
            <w:pPr>
              <w:spacing w:after="0" w:line="240" w:lineRule="auto"/>
              <w:rPr>
                <w:rFonts w:ascii="Arial" w:eastAsia="Times New Roman" w:hAnsi="Arial" w:cs="Arial"/>
                <w:b/>
                <w:bCs/>
                <w:kern w:val="0"/>
                <w:sz w:val="20"/>
                <w:szCs w:val="20"/>
                <w:lang w:val="pt-BR"/>
                <w14:ligatures w14:val="none"/>
              </w:rPr>
            </w:pPr>
            <w:r w:rsidRPr="006A05C4">
              <w:rPr>
                <w:rFonts w:ascii="Arial" w:eastAsia="Times New Roman" w:hAnsi="Arial" w:cs="Arial"/>
                <w:b/>
                <w:bCs/>
                <w:kern w:val="0"/>
                <w:sz w:val="20"/>
                <w:szCs w:val="20"/>
                <w:lang w:val="pt-BR"/>
                <w14:ligatures w14:val="none"/>
              </w:rPr>
              <w:t>Titulos Públicos S/ BS/IGJ</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73C3D260" w14:textId="77777777" w:rsidR="00CE6541" w:rsidRPr="00CE6541" w:rsidRDefault="00CE6541" w:rsidP="00CE6541">
            <w:pPr>
              <w:spacing w:after="0" w:line="240" w:lineRule="auto"/>
              <w:jc w:val="right"/>
              <w:rPr>
                <w:rFonts w:ascii="Arial" w:eastAsia="Times New Roman" w:hAnsi="Arial" w:cs="Arial"/>
                <w:b/>
                <w:bCs/>
                <w:kern w:val="0"/>
                <w:sz w:val="20"/>
                <w:szCs w:val="20"/>
                <w14:ligatures w14:val="none"/>
              </w:rPr>
            </w:pPr>
            <w:r w:rsidRPr="00CE6541">
              <w:rPr>
                <w:rFonts w:ascii="Arial" w:eastAsia="Times New Roman" w:hAnsi="Arial" w:cs="Arial"/>
                <w:b/>
                <w:bCs/>
                <w:kern w:val="0"/>
                <w:sz w:val="20"/>
                <w:szCs w:val="20"/>
                <w14:ligatures w14:val="none"/>
              </w:rPr>
              <w:t>138</w:t>
            </w:r>
          </w:p>
        </w:tc>
        <w:tc>
          <w:tcPr>
            <w:tcW w:w="1920" w:type="dxa"/>
            <w:gridSpan w:val="2"/>
            <w:tcBorders>
              <w:top w:val="nil"/>
              <w:left w:val="nil"/>
              <w:bottom w:val="nil"/>
              <w:right w:val="nil"/>
            </w:tcBorders>
            <w:shd w:val="clear" w:color="000000" w:fill="FFFFFF"/>
            <w:noWrap/>
            <w:vAlign w:val="bottom"/>
            <w:hideMark/>
          </w:tcPr>
          <w:p w14:paraId="3A6AAD61" w14:textId="77777777" w:rsidR="00CE6541" w:rsidRPr="00CE6541" w:rsidRDefault="00CE6541" w:rsidP="00CE6541">
            <w:pPr>
              <w:spacing w:after="0" w:line="240" w:lineRule="auto"/>
              <w:rPr>
                <w:rFonts w:ascii="Arial" w:eastAsia="Times New Roman" w:hAnsi="Arial" w:cs="Arial"/>
                <w:kern w:val="0"/>
                <w:sz w:val="20"/>
                <w:szCs w:val="20"/>
                <w14:ligatures w14:val="none"/>
              </w:rPr>
            </w:pPr>
            <w:proofErr w:type="spellStart"/>
            <w:r w:rsidRPr="00CE6541">
              <w:rPr>
                <w:rFonts w:ascii="Arial" w:eastAsia="Times New Roman" w:hAnsi="Arial" w:cs="Arial"/>
                <w:kern w:val="0"/>
                <w:sz w:val="20"/>
                <w:szCs w:val="20"/>
                <w14:ligatures w14:val="none"/>
              </w:rPr>
              <w:t>Valuación</w:t>
            </w:r>
            <w:proofErr w:type="spellEnd"/>
            <w:r w:rsidRPr="00CE6541">
              <w:rPr>
                <w:rFonts w:ascii="Arial" w:eastAsia="Times New Roman" w:hAnsi="Arial" w:cs="Arial"/>
                <w:kern w:val="0"/>
                <w:sz w:val="20"/>
                <w:szCs w:val="20"/>
                <w14:ligatures w14:val="none"/>
              </w:rPr>
              <w:t xml:space="preserve"> Técnica</w:t>
            </w:r>
          </w:p>
        </w:tc>
        <w:tc>
          <w:tcPr>
            <w:tcW w:w="960" w:type="dxa"/>
            <w:tcBorders>
              <w:top w:val="nil"/>
              <w:left w:val="nil"/>
              <w:bottom w:val="nil"/>
              <w:right w:val="nil"/>
            </w:tcBorders>
            <w:shd w:val="clear" w:color="000000" w:fill="FFFFFF"/>
            <w:noWrap/>
            <w:vAlign w:val="bottom"/>
            <w:hideMark/>
          </w:tcPr>
          <w:p w14:paraId="298A297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3466BD03" w14:textId="17D5BABF" w:rsidR="00CE6541" w:rsidRPr="00CE6541" w:rsidRDefault="00CE6541" w:rsidP="00CE6541">
            <w:pPr>
              <w:spacing w:after="0" w:line="240" w:lineRule="auto"/>
              <w:rPr>
                <w:rFonts w:ascii="Arial" w:eastAsia="Times New Roman" w:hAnsi="Arial" w:cs="Arial"/>
                <w:kern w:val="0"/>
                <w:sz w:val="20"/>
                <w:szCs w:val="20"/>
                <w14:ligatures w14:val="none"/>
              </w:rPr>
            </w:pPr>
            <w:proofErr w:type="spellStart"/>
            <w:r w:rsidRPr="00CE6541">
              <w:rPr>
                <w:rFonts w:ascii="Arial" w:eastAsia="Times New Roman" w:hAnsi="Arial" w:cs="Arial"/>
                <w:kern w:val="0"/>
                <w:sz w:val="20"/>
                <w:szCs w:val="20"/>
                <w14:ligatures w14:val="none"/>
              </w:rPr>
              <w:t>Ajust</w:t>
            </w:r>
            <w:proofErr w:type="spellEnd"/>
            <w:r w:rsidRPr="00CE6541">
              <w:rPr>
                <w:rFonts w:ascii="Arial" w:eastAsia="Times New Roman" w:hAnsi="Arial" w:cs="Arial"/>
                <w:kern w:val="0"/>
                <w:sz w:val="20"/>
                <w:szCs w:val="20"/>
                <w14:ligatures w14:val="none"/>
              </w:rPr>
              <w:t xml:space="preserve"> SF</w:t>
            </w:r>
          </w:p>
        </w:tc>
        <w:tc>
          <w:tcPr>
            <w:tcW w:w="988" w:type="dxa"/>
            <w:tcBorders>
              <w:top w:val="nil"/>
              <w:left w:val="nil"/>
              <w:bottom w:val="nil"/>
              <w:right w:val="nil"/>
            </w:tcBorders>
            <w:shd w:val="clear" w:color="000000" w:fill="FFFFFF"/>
            <w:noWrap/>
            <w:vAlign w:val="bottom"/>
            <w:hideMark/>
          </w:tcPr>
          <w:p w14:paraId="646DE7B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center"/>
            <w:hideMark/>
          </w:tcPr>
          <w:p w14:paraId="675E55B4" w14:textId="2C90B4E4" w:rsidR="00CE6541" w:rsidRPr="00CE6541" w:rsidRDefault="00CE6541" w:rsidP="00CE6541">
            <w:pPr>
              <w:spacing w:after="0" w:line="240" w:lineRule="auto"/>
              <w:jc w:val="center"/>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xml:space="preserve">     15 </w:t>
            </w:r>
          </w:p>
        </w:tc>
      </w:tr>
      <w:tr w:rsidR="00CE6541" w:rsidRPr="00CE6541" w14:paraId="5CCE2938"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1CFB72B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756CFFE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1A1C21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5A0CF2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537749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B81916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4B3617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00AE547E" w14:textId="0183B4AE" w:rsidR="00CE6541" w:rsidRPr="00CE6541" w:rsidRDefault="00CE6541" w:rsidP="00CE6541">
            <w:pPr>
              <w:spacing w:after="0" w:line="240" w:lineRule="auto"/>
              <w:rPr>
                <w:rFonts w:ascii="Arial" w:eastAsia="Times New Roman" w:hAnsi="Arial" w:cs="Arial"/>
                <w:kern w:val="0"/>
                <w:sz w:val="20"/>
                <w:szCs w:val="20"/>
                <w14:ligatures w14:val="none"/>
              </w:rPr>
            </w:pPr>
          </w:p>
        </w:tc>
        <w:tc>
          <w:tcPr>
            <w:tcW w:w="988" w:type="dxa"/>
            <w:tcBorders>
              <w:top w:val="nil"/>
              <w:left w:val="nil"/>
              <w:bottom w:val="nil"/>
              <w:right w:val="nil"/>
            </w:tcBorders>
            <w:shd w:val="clear" w:color="000000" w:fill="FFFFFF"/>
            <w:noWrap/>
            <w:vAlign w:val="bottom"/>
            <w:hideMark/>
          </w:tcPr>
          <w:p w14:paraId="3AEC25D6"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074683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18CC4886" w14:textId="77777777" w:rsidTr="00CE6541">
        <w:trPr>
          <w:trHeight w:val="70"/>
          <w:jc w:val="center"/>
        </w:trPr>
        <w:tc>
          <w:tcPr>
            <w:tcW w:w="1754" w:type="dxa"/>
            <w:tcBorders>
              <w:top w:val="nil"/>
              <w:left w:val="nil"/>
              <w:bottom w:val="nil"/>
              <w:right w:val="nil"/>
            </w:tcBorders>
            <w:shd w:val="clear" w:color="000000" w:fill="FFFFFF"/>
            <w:noWrap/>
            <w:vAlign w:val="bottom"/>
            <w:hideMark/>
          </w:tcPr>
          <w:p w14:paraId="6C10282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42E04B36"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1B22C9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B6450E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280776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5724B5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CC1320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2AA9263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362ACBA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2D3220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6D81C9D2" w14:textId="77777777" w:rsidTr="00CE6541">
        <w:trPr>
          <w:trHeight w:val="270"/>
          <w:jc w:val="center"/>
        </w:trPr>
        <w:tc>
          <w:tcPr>
            <w:tcW w:w="1920" w:type="dxa"/>
            <w:gridSpan w:val="2"/>
            <w:tcBorders>
              <w:top w:val="nil"/>
              <w:left w:val="nil"/>
              <w:bottom w:val="nil"/>
              <w:right w:val="nil"/>
            </w:tcBorders>
            <w:shd w:val="clear" w:color="000000" w:fill="FFFFFF"/>
            <w:noWrap/>
            <w:vAlign w:val="bottom"/>
            <w:hideMark/>
          </w:tcPr>
          <w:p w14:paraId="7006ED15"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xml:space="preserve">Valor de </w:t>
            </w:r>
            <w:proofErr w:type="spellStart"/>
            <w:r w:rsidRPr="00CE6541">
              <w:rPr>
                <w:rFonts w:ascii="Arial" w:eastAsia="Times New Roman" w:hAnsi="Arial" w:cs="Arial"/>
                <w:kern w:val="0"/>
                <w:sz w:val="20"/>
                <w:szCs w:val="20"/>
                <w14:ligatures w14:val="none"/>
              </w:rPr>
              <w:t>Cotización</w:t>
            </w:r>
            <w:proofErr w:type="spellEnd"/>
          </w:p>
        </w:tc>
        <w:tc>
          <w:tcPr>
            <w:tcW w:w="960" w:type="dxa"/>
            <w:tcBorders>
              <w:top w:val="nil"/>
              <w:left w:val="nil"/>
              <w:bottom w:val="nil"/>
              <w:right w:val="nil"/>
            </w:tcBorders>
            <w:shd w:val="clear" w:color="000000" w:fill="FFFFFF"/>
            <w:noWrap/>
            <w:vAlign w:val="bottom"/>
            <w:hideMark/>
          </w:tcPr>
          <w:p w14:paraId="54C2258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725AED7" w14:textId="77777777" w:rsidR="00CE6541" w:rsidRPr="00CE6541" w:rsidRDefault="00CE6541" w:rsidP="00CE6541">
            <w:pPr>
              <w:spacing w:after="0" w:line="240" w:lineRule="auto"/>
              <w:jc w:val="right"/>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1,23</w:t>
            </w:r>
          </w:p>
        </w:tc>
        <w:tc>
          <w:tcPr>
            <w:tcW w:w="1920" w:type="dxa"/>
            <w:gridSpan w:val="2"/>
            <w:tcBorders>
              <w:top w:val="nil"/>
              <w:left w:val="nil"/>
              <w:bottom w:val="nil"/>
              <w:right w:val="nil"/>
            </w:tcBorders>
            <w:shd w:val="clear" w:color="000000" w:fill="FFFFFF"/>
            <w:noWrap/>
            <w:vAlign w:val="bottom"/>
            <w:hideMark/>
          </w:tcPr>
          <w:p w14:paraId="3BB133F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(C/ 100 V.N)</w:t>
            </w:r>
          </w:p>
        </w:tc>
        <w:tc>
          <w:tcPr>
            <w:tcW w:w="960" w:type="dxa"/>
            <w:tcBorders>
              <w:top w:val="nil"/>
              <w:left w:val="nil"/>
              <w:bottom w:val="nil"/>
              <w:right w:val="nil"/>
            </w:tcBorders>
            <w:shd w:val="clear" w:color="000000" w:fill="FFFFFF"/>
            <w:noWrap/>
            <w:vAlign w:val="bottom"/>
            <w:hideMark/>
          </w:tcPr>
          <w:p w14:paraId="1822631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976" w:type="dxa"/>
            <w:gridSpan w:val="2"/>
            <w:tcBorders>
              <w:top w:val="single" w:sz="4" w:space="0" w:color="auto"/>
              <w:left w:val="nil"/>
              <w:bottom w:val="single" w:sz="8" w:space="0" w:color="auto"/>
              <w:right w:val="nil"/>
            </w:tcBorders>
            <w:shd w:val="clear" w:color="000000" w:fill="FFFFFF"/>
            <w:noWrap/>
            <w:vAlign w:val="bottom"/>
            <w:hideMark/>
          </w:tcPr>
          <w:p w14:paraId="7A414312" w14:textId="6FF6E574" w:rsidR="00CE6541" w:rsidRPr="00CE6541" w:rsidRDefault="00CE6541" w:rsidP="00CE6541">
            <w:pPr>
              <w:spacing w:after="0" w:line="240" w:lineRule="auto"/>
              <w:rPr>
                <w:rFonts w:ascii="Arial" w:eastAsia="Times New Roman" w:hAnsi="Arial" w:cs="Arial"/>
                <w:b/>
                <w:bCs/>
                <w:kern w:val="0"/>
                <w:sz w:val="20"/>
                <w:szCs w:val="20"/>
                <w14:ligatures w14:val="none"/>
              </w:rPr>
            </w:pPr>
            <w:proofErr w:type="spellStart"/>
            <w:r w:rsidRPr="00CE6541">
              <w:rPr>
                <w:rFonts w:ascii="Arial" w:eastAsia="Times New Roman" w:hAnsi="Arial" w:cs="Arial"/>
                <w:b/>
                <w:bCs/>
                <w:kern w:val="0"/>
                <w:sz w:val="20"/>
                <w:szCs w:val="20"/>
                <w14:ligatures w14:val="none"/>
              </w:rPr>
              <w:t>Rdo</w:t>
            </w:r>
            <w:proofErr w:type="spellEnd"/>
            <w:r w:rsidRPr="00CE6541">
              <w:rPr>
                <w:rFonts w:ascii="Arial" w:eastAsia="Times New Roman" w:hAnsi="Arial" w:cs="Arial"/>
                <w:b/>
                <w:bCs/>
                <w:kern w:val="0"/>
                <w:sz w:val="20"/>
                <w:szCs w:val="20"/>
                <w14:ligatures w14:val="none"/>
              </w:rPr>
              <w:t xml:space="preserve">. </w:t>
            </w:r>
            <w:proofErr w:type="spellStart"/>
            <w:r w:rsidRPr="00CE6541">
              <w:rPr>
                <w:rFonts w:ascii="Arial" w:eastAsia="Times New Roman" w:hAnsi="Arial" w:cs="Arial"/>
                <w:b/>
                <w:bCs/>
                <w:kern w:val="0"/>
                <w:sz w:val="20"/>
                <w:szCs w:val="20"/>
                <w14:ligatures w14:val="none"/>
              </w:rPr>
              <w:t>Impos</w:t>
            </w:r>
            <w:proofErr w:type="spellEnd"/>
            <w:r w:rsidRPr="00CE6541">
              <w:rPr>
                <w:rFonts w:ascii="Arial" w:eastAsia="Times New Roman" w:hAnsi="Arial" w:cs="Arial"/>
                <w:b/>
                <w:bCs/>
                <w:kern w:val="0"/>
                <w:sz w:val="20"/>
                <w:szCs w:val="20"/>
                <w14:ligatures w14:val="none"/>
              </w:rPr>
              <w:t xml:space="preserve"> </w:t>
            </w:r>
            <w:proofErr w:type="spellStart"/>
            <w:r w:rsidRPr="00CE6541">
              <w:rPr>
                <w:rFonts w:ascii="Arial" w:eastAsia="Times New Roman" w:hAnsi="Arial" w:cs="Arial"/>
                <w:b/>
                <w:bCs/>
                <w:kern w:val="0"/>
                <w:sz w:val="20"/>
                <w:szCs w:val="20"/>
                <w14:ligatures w14:val="none"/>
              </w:rPr>
              <w:t>ej</w:t>
            </w:r>
            <w:proofErr w:type="spellEnd"/>
            <w:r w:rsidRPr="00CE6541">
              <w:rPr>
                <w:rFonts w:ascii="Arial" w:eastAsia="Times New Roman" w:hAnsi="Arial" w:cs="Arial"/>
                <w:b/>
                <w:bCs/>
                <w:kern w:val="0"/>
                <w:sz w:val="20"/>
                <w:szCs w:val="20"/>
                <w14:ligatures w14:val="none"/>
              </w:rPr>
              <w:t>. 1</w:t>
            </w:r>
          </w:p>
        </w:tc>
        <w:tc>
          <w:tcPr>
            <w:tcW w:w="960" w:type="dxa"/>
            <w:tcBorders>
              <w:top w:val="single" w:sz="4" w:space="0" w:color="auto"/>
              <w:left w:val="nil"/>
              <w:bottom w:val="single" w:sz="8" w:space="0" w:color="auto"/>
              <w:right w:val="nil"/>
            </w:tcBorders>
            <w:shd w:val="clear" w:color="000000" w:fill="FFFFFF"/>
            <w:noWrap/>
            <w:vAlign w:val="bottom"/>
            <w:hideMark/>
          </w:tcPr>
          <w:p w14:paraId="34B70D30" w14:textId="0B7F8158" w:rsidR="00CE6541" w:rsidRPr="00CE6541" w:rsidRDefault="00CE6541" w:rsidP="00CE6541">
            <w:pPr>
              <w:spacing w:after="0" w:line="240" w:lineRule="auto"/>
              <w:rPr>
                <w:rFonts w:ascii="Arial" w:eastAsia="Times New Roman" w:hAnsi="Arial" w:cs="Arial"/>
                <w:b/>
                <w:bCs/>
                <w:kern w:val="0"/>
                <w:sz w:val="20"/>
                <w:szCs w:val="20"/>
                <w14:ligatures w14:val="none"/>
              </w:rPr>
            </w:pPr>
            <w:r w:rsidRPr="00CE6541">
              <w:rPr>
                <w:rFonts w:ascii="Arial" w:eastAsia="Times New Roman" w:hAnsi="Arial" w:cs="Arial"/>
                <w:b/>
                <w:bCs/>
                <w:kern w:val="0"/>
                <w:sz w:val="20"/>
                <w:szCs w:val="20"/>
                <w14:ligatures w14:val="none"/>
              </w:rPr>
              <w:t xml:space="preserve">    23 </w:t>
            </w:r>
          </w:p>
        </w:tc>
      </w:tr>
      <w:tr w:rsidR="00CE6541" w:rsidRPr="00CE6541" w14:paraId="70B8BF31" w14:textId="77777777" w:rsidTr="00CE6541">
        <w:trPr>
          <w:trHeight w:val="260"/>
          <w:jc w:val="center"/>
        </w:trPr>
        <w:tc>
          <w:tcPr>
            <w:tcW w:w="1920" w:type="dxa"/>
            <w:gridSpan w:val="2"/>
            <w:tcBorders>
              <w:top w:val="nil"/>
              <w:left w:val="nil"/>
              <w:bottom w:val="nil"/>
              <w:right w:val="nil"/>
            </w:tcBorders>
            <w:shd w:val="clear" w:color="000000" w:fill="FFFFFF"/>
            <w:noWrap/>
            <w:vAlign w:val="bottom"/>
            <w:hideMark/>
          </w:tcPr>
          <w:p w14:paraId="27285FE6" w14:textId="77777777" w:rsidR="00CE6541" w:rsidRPr="00CE6541" w:rsidRDefault="00CE6541" w:rsidP="00CE6541">
            <w:pPr>
              <w:spacing w:after="0" w:line="240" w:lineRule="auto"/>
              <w:rPr>
                <w:rFonts w:ascii="Arial" w:eastAsia="Times New Roman" w:hAnsi="Arial" w:cs="Arial"/>
                <w:b/>
                <w:bCs/>
                <w:kern w:val="0"/>
                <w:sz w:val="20"/>
                <w:szCs w:val="20"/>
                <w:u w:val="single"/>
                <w14:ligatures w14:val="none"/>
              </w:rPr>
            </w:pPr>
            <w:r w:rsidRPr="00CE6541">
              <w:rPr>
                <w:rFonts w:ascii="Arial" w:eastAsia="Times New Roman" w:hAnsi="Arial" w:cs="Arial"/>
                <w:b/>
                <w:bCs/>
                <w:kern w:val="0"/>
                <w:sz w:val="20"/>
                <w:szCs w:val="20"/>
                <w:u w:val="single"/>
                <w14:ligatures w14:val="none"/>
              </w:rPr>
              <w:t>(</w:t>
            </w:r>
            <w:proofErr w:type="spellStart"/>
            <w:r w:rsidRPr="00CE6541">
              <w:rPr>
                <w:rFonts w:ascii="Arial" w:eastAsia="Times New Roman" w:hAnsi="Arial" w:cs="Arial"/>
                <w:b/>
                <w:bCs/>
                <w:kern w:val="0"/>
                <w:sz w:val="20"/>
                <w:szCs w:val="20"/>
                <w:u w:val="single"/>
                <w14:ligatures w14:val="none"/>
              </w:rPr>
              <w:t>fuente</w:t>
            </w:r>
            <w:proofErr w:type="spellEnd"/>
            <w:r w:rsidRPr="00CE6541">
              <w:rPr>
                <w:rFonts w:ascii="Arial" w:eastAsia="Times New Roman" w:hAnsi="Arial" w:cs="Arial"/>
                <w:b/>
                <w:bCs/>
                <w:kern w:val="0"/>
                <w:sz w:val="20"/>
                <w:szCs w:val="20"/>
                <w:u w:val="single"/>
                <w14:ligatures w14:val="none"/>
              </w:rPr>
              <w:t>: MAE)</w:t>
            </w:r>
          </w:p>
        </w:tc>
        <w:tc>
          <w:tcPr>
            <w:tcW w:w="960" w:type="dxa"/>
            <w:tcBorders>
              <w:top w:val="nil"/>
              <w:left w:val="nil"/>
              <w:bottom w:val="nil"/>
              <w:right w:val="nil"/>
            </w:tcBorders>
            <w:shd w:val="clear" w:color="000000" w:fill="FFFFFF"/>
            <w:noWrap/>
            <w:vAlign w:val="bottom"/>
            <w:hideMark/>
          </w:tcPr>
          <w:p w14:paraId="52F3AF8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9A1B7F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C1C5EF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77425C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DDB6E9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162F2C8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2ACC8A4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3E12E45"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2924C7" w14:paraId="01832005"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7A8BA87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5ACBE6F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B68F2B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435286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65BFF4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25C933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4898C8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2936" w:type="dxa"/>
            <w:gridSpan w:val="3"/>
            <w:vMerge w:val="restart"/>
            <w:tcBorders>
              <w:top w:val="nil"/>
              <w:left w:val="nil"/>
              <w:bottom w:val="nil"/>
              <w:right w:val="nil"/>
            </w:tcBorders>
            <w:shd w:val="clear" w:color="000000" w:fill="FFFFFF"/>
            <w:hideMark/>
          </w:tcPr>
          <w:p w14:paraId="0BE23E77" w14:textId="77777777" w:rsidR="00CE6541" w:rsidRPr="00CE6541" w:rsidRDefault="00CE6541" w:rsidP="00CE6541">
            <w:pPr>
              <w:spacing w:after="0" w:line="240" w:lineRule="auto"/>
              <w:jc w:val="center"/>
              <w:rPr>
                <w:rFonts w:ascii="Arial" w:eastAsia="Times New Roman" w:hAnsi="Arial" w:cs="Arial"/>
                <w:kern w:val="0"/>
                <w:sz w:val="20"/>
                <w:szCs w:val="20"/>
                <w:lang w:val="es-AR"/>
                <w14:ligatures w14:val="none"/>
              </w:rPr>
            </w:pPr>
            <w:r w:rsidRPr="00CE6541">
              <w:rPr>
                <w:rFonts w:ascii="Arial" w:eastAsia="Times New Roman" w:hAnsi="Arial" w:cs="Arial"/>
                <w:kern w:val="0"/>
                <w:sz w:val="20"/>
                <w:szCs w:val="20"/>
                <w:lang w:val="es-AR"/>
                <w14:ligatures w14:val="none"/>
              </w:rPr>
              <w:t>El resultado impositivo es equivalente a la diferencia entre el valor de cotización al cierre ($123) y el costo de adquisición.</w:t>
            </w:r>
          </w:p>
        </w:tc>
      </w:tr>
      <w:tr w:rsidR="00CE6541" w:rsidRPr="00CE6541" w14:paraId="7ED8D609"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1E70098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Amort.</w:t>
            </w:r>
          </w:p>
        </w:tc>
        <w:tc>
          <w:tcPr>
            <w:tcW w:w="166" w:type="dxa"/>
            <w:tcBorders>
              <w:top w:val="nil"/>
              <w:left w:val="nil"/>
              <w:bottom w:val="nil"/>
              <w:right w:val="nil"/>
            </w:tcBorders>
            <w:shd w:val="clear" w:color="000000" w:fill="FFFFFF"/>
            <w:noWrap/>
            <w:vAlign w:val="bottom"/>
            <w:hideMark/>
          </w:tcPr>
          <w:p w14:paraId="4B2B46B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645577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D39B5E4" w14:textId="77777777" w:rsidR="00CE6541" w:rsidRPr="00CE6541" w:rsidRDefault="00CE6541" w:rsidP="00CE6541">
            <w:pPr>
              <w:spacing w:after="0" w:line="240" w:lineRule="auto"/>
              <w:jc w:val="right"/>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100%</w:t>
            </w:r>
          </w:p>
        </w:tc>
        <w:tc>
          <w:tcPr>
            <w:tcW w:w="960" w:type="dxa"/>
            <w:tcBorders>
              <w:top w:val="nil"/>
              <w:left w:val="nil"/>
              <w:bottom w:val="nil"/>
              <w:right w:val="nil"/>
            </w:tcBorders>
            <w:shd w:val="clear" w:color="000000" w:fill="FFFFFF"/>
            <w:noWrap/>
            <w:vAlign w:val="bottom"/>
            <w:hideMark/>
          </w:tcPr>
          <w:p w14:paraId="6A03CC1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EBA37A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8F691B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2936" w:type="dxa"/>
            <w:gridSpan w:val="3"/>
            <w:vMerge/>
            <w:tcBorders>
              <w:top w:val="nil"/>
              <w:left w:val="nil"/>
              <w:bottom w:val="nil"/>
              <w:right w:val="nil"/>
            </w:tcBorders>
            <w:vAlign w:val="center"/>
            <w:hideMark/>
          </w:tcPr>
          <w:p w14:paraId="6641A160" w14:textId="77777777" w:rsidR="00CE6541" w:rsidRPr="00CE6541" w:rsidRDefault="00CE6541" w:rsidP="00CE6541">
            <w:pPr>
              <w:spacing w:after="0" w:line="240" w:lineRule="auto"/>
              <w:rPr>
                <w:rFonts w:ascii="Arial" w:eastAsia="Times New Roman" w:hAnsi="Arial" w:cs="Arial"/>
                <w:kern w:val="0"/>
                <w:sz w:val="20"/>
                <w:szCs w:val="20"/>
                <w14:ligatures w14:val="none"/>
              </w:rPr>
            </w:pPr>
          </w:p>
        </w:tc>
      </w:tr>
      <w:tr w:rsidR="00CE6541" w:rsidRPr="00CE6541" w14:paraId="43D44818" w14:textId="77777777" w:rsidTr="00CE6541">
        <w:trPr>
          <w:trHeight w:val="260"/>
          <w:jc w:val="center"/>
        </w:trPr>
        <w:tc>
          <w:tcPr>
            <w:tcW w:w="1920" w:type="dxa"/>
            <w:gridSpan w:val="2"/>
            <w:tcBorders>
              <w:top w:val="nil"/>
              <w:left w:val="nil"/>
              <w:bottom w:val="nil"/>
              <w:right w:val="nil"/>
            </w:tcBorders>
            <w:shd w:val="clear" w:color="000000" w:fill="FFFFFF"/>
            <w:noWrap/>
            <w:vAlign w:val="bottom"/>
            <w:hideMark/>
          </w:tcPr>
          <w:p w14:paraId="5F980244" w14:textId="77777777" w:rsidR="00CE6541" w:rsidRPr="00CE6541" w:rsidRDefault="00CE6541" w:rsidP="00CE6541">
            <w:pPr>
              <w:spacing w:after="0" w:line="240" w:lineRule="auto"/>
              <w:rPr>
                <w:rFonts w:ascii="Arial" w:eastAsia="Times New Roman" w:hAnsi="Arial" w:cs="Arial"/>
                <w:b/>
                <w:bCs/>
                <w:kern w:val="0"/>
                <w:sz w:val="20"/>
                <w:szCs w:val="20"/>
                <w:u w:val="single"/>
                <w14:ligatures w14:val="none"/>
              </w:rPr>
            </w:pPr>
            <w:r w:rsidRPr="00CE6541">
              <w:rPr>
                <w:rFonts w:ascii="Arial" w:eastAsia="Times New Roman" w:hAnsi="Arial" w:cs="Arial"/>
                <w:b/>
                <w:bCs/>
                <w:kern w:val="0"/>
                <w:sz w:val="20"/>
                <w:szCs w:val="20"/>
                <w:u w:val="single"/>
                <w14:ligatures w14:val="none"/>
              </w:rPr>
              <w:t>(</w:t>
            </w:r>
            <w:proofErr w:type="spellStart"/>
            <w:r w:rsidRPr="00CE6541">
              <w:rPr>
                <w:rFonts w:ascii="Arial" w:eastAsia="Times New Roman" w:hAnsi="Arial" w:cs="Arial"/>
                <w:b/>
                <w:bCs/>
                <w:kern w:val="0"/>
                <w:sz w:val="20"/>
                <w:szCs w:val="20"/>
                <w:u w:val="single"/>
                <w14:ligatures w14:val="none"/>
              </w:rPr>
              <w:t>fuente</w:t>
            </w:r>
            <w:proofErr w:type="spellEnd"/>
            <w:r w:rsidRPr="00CE6541">
              <w:rPr>
                <w:rFonts w:ascii="Arial" w:eastAsia="Times New Roman" w:hAnsi="Arial" w:cs="Arial"/>
                <w:b/>
                <w:bCs/>
                <w:kern w:val="0"/>
                <w:sz w:val="20"/>
                <w:szCs w:val="20"/>
                <w:u w:val="single"/>
                <w14:ligatures w14:val="none"/>
              </w:rPr>
              <w:t>: MAE)</w:t>
            </w:r>
          </w:p>
        </w:tc>
        <w:tc>
          <w:tcPr>
            <w:tcW w:w="960" w:type="dxa"/>
            <w:tcBorders>
              <w:top w:val="nil"/>
              <w:left w:val="nil"/>
              <w:bottom w:val="nil"/>
              <w:right w:val="nil"/>
            </w:tcBorders>
            <w:shd w:val="clear" w:color="000000" w:fill="FFFFFF"/>
            <w:noWrap/>
            <w:vAlign w:val="bottom"/>
            <w:hideMark/>
          </w:tcPr>
          <w:p w14:paraId="659BD33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60340D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5DA8F9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CC3121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298958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2936" w:type="dxa"/>
            <w:gridSpan w:val="3"/>
            <w:vMerge/>
            <w:tcBorders>
              <w:top w:val="nil"/>
              <w:left w:val="nil"/>
              <w:bottom w:val="nil"/>
              <w:right w:val="nil"/>
            </w:tcBorders>
            <w:vAlign w:val="center"/>
            <w:hideMark/>
          </w:tcPr>
          <w:p w14:paraId="22AC375A" w14:textId="77777777" w:rsidR="00CE6541" w:rsidRPr="00CE6541" w:rsidRDefault="00CE6541" w:rsidP="00CE6541">
            <w:pPr>
              <w:spacing w:after="0" w:line="240" w:lineRule="auto"/>
              <w:rPr>
                <w:rFonts w:ascii="Arial" w:eastAsia="Times New Roman" w:hAnsi="Arial" w:cs="Arial"/>
                <w:kern w:val="0"/>
                <w:sz w:val="20"/>
                <w:szCs w:val="20"/>
                <w14:ligatures w14:val="none"/>
              </w:rPr>
            </w:pPr>
          </w:p>
        </w:tc>
      </w:tr>
      <w:tr w:rsidR="00CE6541" w:rsidRPr="00CE6541" w14:paraId="5FA7D8AB"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41DE96B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1349983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96161B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7EEFE0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6951EA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1C4BB2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34D0856"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2936" w:type="dxa"/>
            <w:gridSpan w:val="3"/>
            <w:vMerge/>
            <w:tcBorders>
              <w:top w:val="nil"/>
              <w:left w:val="nil"/>
              <w:bottom w:val="nil"/>
              <w:right w:val="nil"/>
            </w:tcBorders>
            <w:vAlign w:val="center"/>
            <w:hideMark/>
          </w:tcPr>
          <w:p w14:paraId="2D45890F" w14:textId="77777777" w:rsidR="00CE6541" w:rsidRPr="00CE6541" w:rsidRDefault="00CE6541" w:rsidP="00CE6541">
            <w:pPr>
              <w:spacing w:after="0" w:line="240" w:lineRule="auto"/>
              <w:rPr>
                <w:rFonts w:ascii="Arial" w:eastAsia="Times New Roman" w:hAnsi="Arial" w:cs="Arial"/>
                <w:kern w:val="0"/>
                <w:sz w:val="20"/>
                <w:szCs w:val="20"/>
                <w14:ligatures w14:val="none"/>
              </w:rPr>
            </w:pPr>
          </w:p>
        </w:tc>
      </w:tr>
      <w:tr w:rsidR="00CE6541" w:rsidRPr="00CE6541" w14:paraId="54AEAE20" w14:textId="77777777" w:rsidTr="00CE6541">
        <w:trPr>
          <w:trHeight w:val="250"/>
          <w:jc w:val="center"/>
        </w:trPr>
        <w:tc>
          <w:tcPr>
            <w:tcW w:w="1920" w:type="dxa"/>
            <w:gridSpan w:val="2"/>
            <w:tcBorders>
              <w:top w:val="nil"/>
              <w:left w:val="nil"/>
              <w:bottom w:val="nil"/>
              <w:right w:val="nil"/>
            </w:tcBorders>
            <w:shd w:val="clear" w:color="000000" w:fill="FFFFFF"/>
            <w:noWrap/>
            <w:vAlign w:val="bottom"/>
            <w:hideMark/>
          </w:tcPr>
          <w:p w14:paraId="452FF841" w14:textId="40BA7266" w:rsidR="00CE6541" w:rsidRPr="00CE6541" w:rsidRDefault="00CE6541" w:rsidP="00CE6541">
            <w:pPr>
              <w:spacing w:after="0" w:line="240" w:lineRule="auto"/>
              <w:rPr>
                <w:rFonts w:ascii="Arial" w:eastAsia="Times New Roman" w:hAnsi="Arial" w:cs="Arial"/>
                <w:kern w:val="0"/>
                <w:sz w:val="20"/>
                <w:szCs w:val="20"/>
                <w:u w:val="single"/>
                <w14:ligatures w14:val="none"/>
              </w:rPr>
            </w:pPr>
            <w:proofErr w:type="spellStart"/>
            <w:r w:rsidRPr="00CE6541">
              <w:rPr>
                <w:rFonts w:ascii="Arial" w:eastAsia="Times New Roman" w:hAnsi="Arial" w:cs="Arial"/>
                <w:kern w:val="0"/>
                <w:sz w:val="20"/>
                <w:szCs w:val="20"/>
                <w:u w:val="single"/>
                <w14:ligatures w14:val="none"/>
              </w:rPr>
              <w:t>Valuación</w:t>
            </w:r>
            <w:proofErr w:type="spellEnd"/>
            <w:r w:rsidRPr="00CE6541">
              <w:rPr>
                <w:rFonts w:ascii="Arial" w:eastAsia="Times New Roman" w:hAnsi="Arial" w:cs="Arial"/>
                <w:kern w:val="0"/>
                <w:sz w:val="20"/>
                <w:szCs w:val="20"/>
                <w:u w:val="single"/>
                <w14:ligatures w14:val="none"/>
              </w:rPr>
              <w:t xml:space="preserve"> Impositiva</w:t>
            </w:r>
          </w:p>
        </w:tc>
        <w:tc>
          <w:tcPr>
            <w:tcW w:w="960" w:type="dxa"/>
            <w:tcBorders>
              <w:top w:val="nil"/>
              <w:left w:val="nil"/>
              <w:bottom w:val="nil"/>
              <w:right w:val="nil"/>
            </w:tcBorders>
            <w:shd w:val="clear" w:color="000000" w:fill="FFFFFF"/>
            <w:noWrap/>
            <w:vAlign w:val="bottom"/>
            <w:hideMark/>
          </w:tcPr>
          <w:p w14:paraId="5C53B12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1C0E3D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FF1767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D597D8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D3191E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2936" w:type="dxa"/>
            <w:gridSpan w:val="3"/>
            <w:vMerge/>
            <w:tcBorders>
              <w:top w:val="nil"/>
              <w:left w:val="nil"/>
              <w:bottom w:val="nil"/>
              <w:right w:val="nil"/>
            </w:tcBorders>
            <w:vAlign w:val="center"/>
            <w:hideMark/>
          </w:tcPr>
          <w:p w14:paraId="01B6963F" w14:textId="77777777" w:rsidR="00CE6541" w:rsidRPr="00CE6541" w:rsidRDefault="00CE6541" w:rsidP="00CE6541">
            <w:pPr>
              <w:spacing w:after="0" w:line="240" w:lineRule="auto"/>
              <w:rPr>
                <w:rFonts w:ascii="Arial" w:eastAsia="Times New Roman" w:hAnsi="Arial" w:cs="Arial"/>
                <w:kern w:val="0"/>
                <w:sz w:val="20"/>
                <w:szCs w:val="20"/>
                <w14:ligatures w14:val="none"/>
              </w:rPr>
            </w:pPr>
          </w:p>
        </w:tc>
      </w:tr>
      <w:tr w:rsidR="00CE6541" w:rsidRPr="00CE6541" w14:paraId="2FC1B68E"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4C5AE72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5662B8B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455B78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76F58F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5B5C7A9"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9B991D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F1D7B3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hideMark/>
          </w:tcPr>
          <w:p w14:paraId="490DB69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hideMark/>
          </w:tcPr>
          <w:p w14:paraId="2E229A1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hideMark/>
          </w:tcPr>
          <w:p w14:paraId="007F53E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634A9140" w14:textId="77777777" w:rsidTr="00CE6541">
        <w:trPr>
          <w:trHeight w:val="260"/>
          <w:jc w:val="center"/>
        </w:trPr>
        <w:tc>
          <w:tcPr>
            <w:tcW w:w="1754" w:type="dxa"/>
            <w:tcBorders>
              <w:top w:val="nil"/>
              <w:left w:val="nil"/>
              <w:bottom w:val="nil"/>
              <w:right w:val="nil"/>
            </w:tcBorders>
            <w:shd w:val="clear" w:color="000000" w:fill="FFFFFF"/>
            <w:noWrap/>
            <w:vAlign w:val="bottom"/>
            <w:hideMark/>
          </w:tcPr>
          <w:p w14:paraId="35853AEE" w14:textId="77777777" w:rsidR="00CE6541" w:rsidRPr="00CE6541" w:rsidRDefault="00CE6541" w:rsidP="00CE6541">
            <w:pPr>
              <w:spacing w:after="0" w:line="240" w:lineRule="auto"/>
              <w:rPr>
                <w:rFonts w:ascii="Arial" w:eastAsia="Times New Roman" w:hAnsi="Arial" w:cs="Arial"/>
                <w:b/>
                <w:bCs/>
                <w:kern w:val="0"/>
                <w:sz w:val="20"/>
                <w:szCs w:val="20"/>
                <w14:ligatures w14:val="none"/>
              </w:rPr>
            </w:pPr>
            <w:r w:rsidRPr="00CE6541">
              <w:rPr>
                <w:rFonts w:ascii="Arial" w:eastAsia="Times New Roman" w:hAnsi="Arial" w:cs="Arial"/>
                <w:b/>
                <w:bCs/>
                <w:kern w:val="0"/>
                <w:sz w:val="20"/>
                <w:szCs w:val="20"/>
                <w14:ligatures w14:val="none"/>
              </w:rPr>
              <w:t>V.N.</w:t>
            </w:r>
          </w:p>
        </w:tc>
        <w:tc>
          <w:tcPr>
            <w:tcW w:w="166" w:type="dxa"/>
            <w:tcBorders>
              <w:top w:val="nil"/>
              <w:left w:val="nil"/>
              <w:bottom w:val="nil"/>
              <w:right w:val="nil"/>
            </w:tcBorders>
            <w:shd w:val="clear" w:color="000000" w:fill="FFFFFF"/>
            <w:noWrap/>
            <w:vAlign w:val="bottom"/>
            <w:hideMark/>
          </w:tcPr>
          <w:p w14:paraId="53329D8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7D23D2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77FE2D8" w14:textId="77777777" w:rsidR="00CE6541" w:rsidRPr="00CE6541" w:rsidRDefault="00CE6541" w:rsidP="00CE6541">
            <w:pPr>
              <w:spacing w:after="0" w:line="240" w:lineRule="auto"/>
              <w:jc w:val="right"/>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100</w:t>
            </w:r>
          </w:p>
        </w:tc>
        <w:tc>
          <w:tcPr>
            <w:tcW w:w="960" w:type="dxa"/>
            <w:tcBorders>
              <w:top w:val="nil"/>
              <w:left w:val="nil"/>
              <w:bottom w:val="nil"/>
              <w:right w:val="nil"/>
            </w:tcBorders>
            <w:shd w:val="clear" w:color="000000" w:fill="FFFFFF"/>
            <w:noWrap/>
            <w:vAlign w:val="bottom"/>
            <w:hideMark/>
          </w:tcPr>
          <w:p w14:paraId="402E59B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D35059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6237315"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1902933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12D693B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CEE0BE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608444F3" w14:textId="77777777" w:rsidTr="00CE6541">
        <w:trPr>
          <w:trHeight w:val="260"/>
          <w:jc w:val="center"/>
        </w:trPr>
        <w:tc>
          <w:tcPr>
            <w:tcW w:w="1920" w:type="dxa"/>
            <w:gridSpan w:val="2"/>
            <w:tcBorders>
              <w:top w:val="nil"/>
              <w:left w:val="nil"/>
              <w:bottom w:val="nil"/>
              <w:right w:val="nil"/>
            </w:tcBorders>
            <w:shd w:val="clear" w:color="000000" w:fill="FFFFFF"/>
            <w:noWrap/>
            <w:vAlign w:val="bottom"/>
            <w:hideMark/>
          </w:tcPr>
          <w:p w14:paraId="3EB32E46" w14:textId="77777777" w:rsidR="00CE6541" w:rsidRPr="00CE6541" w:rsidRDefault="00CE6541" w:rsidP="00CE6541">
            <w:pPr>
              <w:spacing w:after="0" w:line="240" w:lineRule="auto"/>
              <w:rPr>
                <w:rFonts w:ascii="Arial" w:eastAsia="Times New Roman" w:hAnsi="Arial" w:cs="Arial"/>
                <w:b/>
                <w:bCs/>
                <w:kern w:val="0"/>
                <w:sz w:val="20"/>
                <w:szCs w:val="20"/>
                <w14:ligatures w14:val="none"/>
              </w:rPr>
            </w:pPr>
            <w:proofErr w:type="spellStart"/>
            <w:r w:rsidRPr="00CE6541">
              <w:rPr>
                <w:rFonts w:ascii="Arial" w:eastAsia="Times New Roman" w:hAnsi="Arial" w:cs="Arial"/>
                <w:b/>
                <w:bCs/>
                <w:kern w:val="0"/>
                <w:sz w:val="20"/>
                <w:szCs w:val="20"/>
                <w14:ligatures w14:val="none"/>
              </w:rPr>
              <w:t>Cotización</w:t>
            </w:r>
            <w:proofErr w:type="spellEnd"/>
          </w:p>
        </w:tc>
        <w:tc>
          <w:tcPr>
            <w:tcW w:w="960" w:type="dxa"/>
            <w:tcBorders>
              <w:top w:val="nil"/>
              <w:left w:val="nil"/>
              <w:bottom w:val="nil"/>
              <w:right w:val="nil"/>
            </w:tcBorders>
            <w:shd w:val="clear" w:color="000000" w:fill="FFFFFF"/>
            <w:noWrap/>
            <w:vAlign w:val="bottom"/>
            <w:hideMark/>
          </w:tcPr>
          <w:p w14:paraId="7B030E1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F408051" w14:textId="77777777" w:rsidR="00CE6541" w:rsidRPr="00CE6541" w:rsidRDefault="00CE6541" w:rsidP="00CE6541">
            <w:pPr>
              <w:spacing w:after="0" w:line="240" w:lineRule="auto"/>
              <w:jc w:val="right"/>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1,23</w:t>
            </w:r>
          </w:p>
        </w:tc>
        <w:tc>
          <w:tcPr>
            <w:tcW w:w="960" w:type="dxa"/>
            <w:tcBorders>
              <w:top w:val="nil"/>
              <w:left w:val="nil"/>
              <w:bottom w:val="nil"/>
              <w:right w:val="nil"/>
            </w:tcBorders>
            <w:shd w:val="clear" w:color="000000" w:fill="FFFFFF"/>
            <w:noWrap/>
            <w:vAlign w:val="bottom"/>
            <w:hideMark/>
          </w:tcPr>
          <w:p w14:paraId="288775E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FC3B80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27891F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26851A2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5B485CE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221AA05"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40D64173" w14:textId="77777777" w:rsidTr="00CE6541">
        <w:trPr>
          <w:trHeight w:val="70"/>
          <w:jc w:val="center"/>
        </w:trPr>
        <w:tc>
          <w:tcPr>
            <w:tcW w:w="1754" w:type="dxa"/>
            <w:tcBorders>
              <w:top w:val="nil"/>
              <w:left w:val="nil"/>
              <w:bottom w:val="nil"/>
              <w:right w:val="nil"/>
            </w:tcBorders>
            <w:shd w:val="clear" w:color="000000" w:fill="FFFFFF"/>
            <w:noWrap/>
            <w:vAlign w:val="bottom"/>
            <w:hideMark/>
          </w:tcPr>
          <w:p w14:paraId="4D5614E4" w14:textId="77777777" w:rsidR="00CE6541" w:rsidRPr="00CE6541" w:rsidRDefault="00CE6541" w:rsidP="00CE6541">
            <w:pPr>
              <w:spacing w:after="0" w:line="240" w:lineRule="auto"/>
              <w:rPr>
                <w:rFonts w:ascii="Arial" w:eastAsia="Times New Roman" w:hAnsi="Arial" w:cs="Arial"/>
                <w:b/>
                <w:bCs/>
                <w:kern w:val="0"/>
                <w:sz w:val="20"/>
                <w:szCs w:val="20"/>
                <w14:ligatures w14:val="none"/>
              </w:rPr>
            </w:pPr>
            <w:r w:rsidRPr="00CE6541">
              <w:rPr>
                <w:rFonts w:ascii="Arial" w:eastAsia="Times New Roman" w:hAnsi="Arial" w:cs="Arial"/>
                <w:b/>
                <w:bCs/>
                <w:kern w:val="0"/>
                <w:sz w:val="20"/>
                <w:szCs w:val="20"/>
                <w14:ligatures w14:val="none"/>
              </w:rPr>
              <w:t>% Amort.</w:t>
            </w:r>
          </w:p>
        </w:tc>
        <w:tc>
          <w:tcPr>
            <w:tcW w:w="166" w:type="dxa"/>
            <w:tcBorders>
              <w:top w:val="nil"/>
              <w:left w:val="nil"/>
              <w:bottom w:val="nil"/>
              <w:right w:val="nil"/>
            </w:tcBorders>
            <w:shd w:val="clear" w:color="000000" w:fill="FFFFFF"/>
            <w:noWrap/>
            <w:vAlign w:val="bottom"/>
            <w:hideMark/>
          </w:tcPr>
          <w:p w14:paraId="7A6C4DE9"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7F5D0B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C55CE7C" w14:textId="4BC37A76" w:rsidR="00CE6541" w:rsidRPr="00CE6541" w:rsidRDefault="00CE6541" w:rsidP="00CE6541">
            <w:pPr>
              <w:spacing w:after="0" w:line="240" w:lineRule="auto"/>
              <w:jc w:val="right"/>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t>
            </w:r>
            <w:r w:rsidRPr="00CE6541">
              <w:rPr>
                <w:rFonts w:ascii="Arial" w:eastAsia="Times New Roman" w:hAnsi="Arial" w:cs="Arial"/>
                <w:kern w:val="0"/>
                <w:sz w:val="20"/>
                <w:szCs w:val="20"/>
                <w14:ligatures w14:val="none"/>
              </w:rPr>
              <w:t>100%</w:t>
            </w:r>
          </w:p>
        </w:tc>
        <w:tc>
          <w:tcPr>
            <w:tcW w:w="960" w:type="dxa"/>
            <w:tcBorders>
              <w:top w:val="nil"/>
              <w:left w:val="nil"/>
              <w:bottom w:val="nil"/>
              <w:right w:val="nil"/>
            </w:tcBorders>
            <w:shd w:val="clear" w:color="000000" w:fill="FFFFFF"/>
            <w:noWrap/>
            <w:vAlign w:val="bottom"/>
            <w:hideMark/>
          </w:tcPr>
          <w:p w14:paraId="22DF2D2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6D3532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4291AC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47F49BC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0E08310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B4E95D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069CAD26" w14:textId="77777777" w:rsidTr="00CE6541">
        <w:trPr>
          <w:trHeight w:val="260"/>
          <w:jc w:val="center"/>
        </w:trPr>
        <w:tc>
          <w:tcPr>
            <w:tcW w:w="1920" w:type="dxa"/>
            <w:gridSpan w:val="2"/>
            <w:tcBorders>
              <w:top w:val="single" w:sz="4" w:space="0" w:color="auto"/>
              <w:left w:val="single" w:sz="4" w:space="0" w:color="auto"/>
              <w:bottom w:val="single" w:sz="4" w:space="0" w:color="auto"/>
              <w:right w:val="nil"/>
            </w:tcBorders>
            <w:shd w:val="clear" w:color="000000" w:fill="FFFFFF"/>
            <w:noWrap/>
            <w:vAlign w:val="bottom"/>
            <w:hideMark/>
          </w:tcPr>
          <w:p w14:paraId="7699C066" w14:textId="77777777" w:rsidR="00CE6541" w:rsidRPr="00CE6541" w:rsidRDefault="00CE6541" w:rsidP="00CE6541">
            <w:pPr>
              <w:spacing w:after="0" w:line="240" w:lineRule="auto"/>
              <w:rPr>
                <w:rFonts w:ascii="Arial" w:eastAsia="Times New Roman" w:hAnsi="Arial" w:cs="Arial"/>
                <w:b/>
                <w:bCs/>
                <w:kern w:val="0"/>
                <w:sz w:val="20"/>
                <w:szCs w:val="20"/>
                <w14:ligatures w14:val="none"/>
              </w:rPr>
            </w:pPr>
            <w:r w:rsidRPr="00CE6541">
              <w:rPr>
                <w:rFonts w:ascii="Arial" w:eastAsia="Times New Roman" w:hAnsi="Arial" w:cs="Arial"/>
                <w:b/>
                <w:bCs/>
                <w:kern w:val="0"/>
                <w:sz w:val="20"/>
                <w:szCs w:val="20"/>
                <w14:ligatures w14:val="none"/>
              </w:rPr>
              <w:t xml:space="preserve">Val. </w:t>
            </w:r>
            <w:proofErr w:type="spellStart"/>
            <w:r w:rsidRPr="00CE6541">
              <w:rPr>
                <w:rFonts w:ascii="Arial" w:eastAsia="Times New Roman" w:hAnsi="Arial" w:cs="Arial"/>
                <w:b/>
                <w:bCs/>
                <w:kern w:val="0"/>
                <w:sz w:val="20"/>
                <w:szCs w:val="20"/>
                <w14:ligatures w14:val="none"/>
              </w:rPr>
              <w:t>Impositiva</w:t>
            </w:r>
            <w:proofErr w:type="spellEnd"/>
          </w:p>
        </w:tc>
        <w:tc>
          <w:tcPr>
            <w:tcW w:w="960" w:type="dxa"/>
            <w:tcBorders>
              <w:top w:val="single" w:sz="4" w:space="0" w:color="auto"/>
              <w:left w:val="nil"/>
              <w:bottom w:val="single" w:sz="4" w:space="0" w:color="auto"/>
              <w:right w:val="nil"/>
            </w:tcBorders>
            <w:shd w:val="clear" w:color="000000" w:fill="FFFFFF"/>
            <w:noWrap/>
            <w:vAlign w:val="bottom"/>
            <w:hideMark/>
          </w:tcPr>
          <w:p w14:paraId="03771147" w14:textId="77777777" w:rsidR="00CE6541" w:rsidRPr="00CE6541" w:rsidRDefault="00CE6541" w:rsidP="00CE6541">
            <w:pPr>
              <w:spacing w:after="0" w:line="240" w:lineRule="auto"/>
              <w:rPr>
                <w:rFonts w:ascii="Arial" w:eastAsia="Times New Roman" w:hAnsi="Arial" w:cs="Arial"/>
                <w:b/>
                <w:bCs/>
                <w:kern w:val="0"/>
                <w:sz w:val="20"/>
                <w:szCs w:val="20"/>
                <w14:ligatures w14:val="none"/>
              </w:rPr>
            </w:pPr>
            <w:r w:rsidRPr="00CE6541">
              <w:rPr>
                <w:rFonts w:ascii="Arial" w:eastAsia="Times New Roman" w:hAnsi="Arial" w:cs="Arial"/>
                <w:b/>
                <w:bCs/>
                <w:kern w:val="0"/>
                <w:sz w:val="20"/>
                <w:szCs w:val="20"/>
                <w14:ligatures w14:val="none"/>
              </w:rPr>
              <w:t> </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09DE8CF7" w14:textId="5D6E349C" w:rsidR="00CE6541" w:rsidRPr="00CE6541" w:rsidRDefault="00CE6541" w:rsidP="00CE6541">
            <w:pPr>
              <w:spacing w:after="0" w:line="240" w:lineRule="auto"/>
              <w:rPr>
                <w:rFonts w:ascii="Arial" w:eastAsia="Times New Roman" w:hAnsi="Arial" w:cs="Arial"/>
                <w:b/>
                <w:bCs/>
                <w:kern w:val="0"/>
                <w:sz w:val="20"/>
                <w:szCs w:val="20"/>
                <w14:ligatures w14:val="none"/>
              </w:rPr>
            </w:pPr>
            <w:r w:rsidRPr="00CE6541">
              <w:rPr>
                <w:rFonts w:ascii="Arial" w:eastAsia="Times New Roman" w:hAnsi="Arial" w:cs="Arial"/>
                <w:b/>
                <w:bCs/>
                <w:kern w:val="0"/>
                <w:sz w:val="20"/>
                <w:szCs w:val="20"/>
                <w14:ligatures w14:val="none"/>
              </w:rPr>
              <w:t xml:space="preserve">    </w:t>
            </w:r>
            <w:r>
              <w:rPr>
                <w:rFonts w:ascii="Arial" w:eastAsia="Times New Roman" w:hAnsi="Arial" w:cs="Arial"/>
                <w:b/>
                <w:bCs/>
                <w:kern w:val="0"/>
                <w:sz w:val="20"/>
                <w:szCs w:val="20"/>
                <w14:ligatures w14:val="none"/>
              </w:rPr>
              <w:t xml:space="preserve">  </w:t>
            </w:r>
            <w:r w:rsidRPr="00CE6541">
              <w:rPr>
                <w:rFonts w:ascii="Arial" w:eastAsia="Times New Roman" w:hAnsi="Arial" w:cs="Arial"/>
                <w:b/>
                <w:bCs/>
                <w:kern w:val="0"/>
                <w:sz w:val="20"/>
                <w:szCs w:val="20"/>
                <w14:ligatures w14:val="none"/>
              </w:rPr>
              <w:t xml:space="preserve">123 </w:t>
            </w:r>
          </w:p>
        </w:tc>
        <w:tc>
          <w:tcPr>
            <w:tcW w:w="960" w:type="dxa"/>
            <w:tcBorders>
              <w:top w:val="nil"/>
              <w:left w:val="nil"/>
              <w:bottom w:val="nil"/>
              <w:right w:val="nil"/>
            </w:tcBorders>
            <w:shd w:val="clear" w:color="000000" w:fill="FFFFFF"/>
            <w:noWrap/>
            <w:vAlign w:val="bottom"/>
            <w:hideMark/>
          </w:tcPr>
          <w:p w14:paraId="39D28DB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D94535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E4F1079"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5A37A4D5"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23BB660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74614E6"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66738B85" w14:textId="77777777" w:rsidTr="00CE6541">
        <w:trPr>
          <w:trHeight w:val="250"/>
          <w:jc w:val="center"/>
        </w:trPr>
        <w:tc>
          <w:tcPr>
            <w:tcW w:w="1754" w:type="dxa"/>
            <w:tcBorders>
              <w:top w:val="nil"/>
              <w:left w:val="nil"/>
              <w:bottom w:val="nil"/>
              <w:right w:val="nil"/>
            </w:tcBorders>
            <w:shd w:val="clear" w:color="000000" w:fill="FFFFFF"/>
            <w:noWrap/>
            <w:vAlign w:val="bottom"/>
            <w:hideMark/>
          </w:tcPr>
          <w:p w14:paraId="43AB4C5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1D9D898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3FB15ED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290992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04F48D9"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CAAA01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8CBBA5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0AB77ED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3C8A71B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638A736"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460B0940" w14:textId="77777777" w:rsidTr="00CE6541">
        <w:trPr>
          <w:trHeight w:val="250"/>
          <w:jc w:val="center"/>
        </w:trPr>
        <w:tc>
          <w:tcPr>
            <w:tcW w:w="1920" w:type="dxa"/>
            <w:gridSpan w:val="2"/>
            <w:tcBorders>
              <w:top w:val="nil"/>
              <w:left w:val="nil"/>
              <w:bottom w:val="nil"/>
              <w:right w:val="nil"/>
            </w:tcBorders>
            <w:shd w:val="clear" w:color="000000" w:fill="FFFFFF"/>
            <w:noWrap/>
            <w:vAlign w:val="bottom"/>
            <w:hideMark/>
          </w:tcPr>
          <w:p w14:paraId="79BC6366" w14:textId="77777777" w:rsidR="00CE6541" w:rsidRPr="00CE6541" w:rsidRDefault="00CE6541" w:rsidP="00CE6541">
            <w:pPr>
              <w:spacing w:after="0" w:line="240" w:lineRule="auto"/>
              <w:rPr>
                <w:rFonts w:ascii="Arial" w:eastAsia="Times New Roman" w:hAnsi="Arial" w:cs="Arial"/>
                <w:kern w:val="0"/>
                <w:sz w:val="20"/>
                <w:szCs w:val="20"/>
                <w14:ligatures w14:val="none"/>
              </w:rPr>
            </w:pPr>
            <w:proofErr w:type="spellStart"/>
            <w:r w:rsidRPr="00CE6541">
              <w:rPr>
                <w:rFonts w:ascii="Arial" w:eastAsia="Times New Roman" w:hAnsi="Arial" w:cs="Arial"/>
                <w:kern w:val="0"/>
                <w:sz w:val="20"/>
                <w:szCs w:val="20"/>
                <w14:ligatures w14:val="none"/>
              </w:rPr>
              <w:t>Valuación</w:t>
            </w:r>
            <w:proofErr w:type="spellEnd"/>
            <w:r w:rsidRPr="00CE6541">
              <w:rPr>
                <w:rFonts w:ascii="Arial" w:eastAsia="Times New Roman" w:hAnsi="Arial" w:cs="Arial"/>
                <w:kern w:val="0"/>
                <w:sz w:val="20"/>
                <w:szCs w:val="20"/>
                <w14:ligatures w14:val="none"/>
              </w:rPr>
              <w:t xml:space="preserve"> </w:t>
            </w:r>
            <w:proofErr w:type="spellStart"/>
            <w:r w:rsidRPr="00CE6541">
              <w:rPr>
                <w:rFonts w:ascii="Arial" w:eastAsia="Times New Roman" w:hAnsi="Arial" w:cs="Arial"/>
                <w:kern w:val="0"/>
                <w:sz w:val="20"/>
                <w:szCs w:val="20"/>
                <w14:ligatures w14:val="none"/>
              </w:rPr>
              <w:t>Contable</w:t>
            </w:r>
            <w:proofErr w:type="spellEnd"/>
          </w:p>
        </w:tc>
        <w:tc>
          <w:tcPr>
            <w:tcW w:w="960" w:type="dxa"/>
            <w:tcBorders>
              <w:top w:val="nil"/>
              <w:left w:val="nil"/>
              <w:bottom w:val="nil"/>
              <w:right w:val="nil"/>
            </w:tcBorders>
            <w:shd w:val="clear" w:color="000000" w:fill="FFFFFF"/>
            <w:noWrap/>
            <w:vAlign w:val="bottom"/>
            <w:hideMark/>
          </w:tcPr>
          <w:p w14:paraId="4B3E4A7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FBAE423" w14:textId="3C5612C5" w:rsidR="00CE6541" w:rsidRPr="00CE6541" w:rsidRDefault="00CE6541" w:rsidP="00CE6541">
            <w:pPr>
              <w:spacing w:after="0" w:line="240" w:lineRule="auto"/>
              <w:jc w:val="center"/>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t>
            </w:r>
            <w:r w:rsidRPr="00CE6541">
              <w:rPr>
                <w:rFonts w:ascii="Arial" w:eastAsia="Times New Roman" w:hAnsi="Arial" w:cs="Arial"/>
                <w:kern w:val="0"/>
                <w:sz w:val="20"/>
                <w:szCs w:val="20"/>
                <w14:ligatures w14:val="none"/>
              </w:rPr>
              <w:t>138</w:t>
            </w:r>
          </w:p>
        </w:tc>
        <w:tc>
          <w:tcPr>
            <w:tcW w:w="960" w:type="dxa"/>
            <w:tcBorders>
              <w:top w:val="nil"/>
              <w:left w:val="nil"/>
              <w:bottom w:val="nil"/>
              <w:right w:val="nil"/>
            </w:tcBorders>
            <w:shd w:val="clear" w:color="000000" w:fill="FFFFFF"/>
            <w:noWrap/>
            <w:vAlign w:val="bottom"/>
            <w:hideMark/>
          </w:tcPr>
          <w:p w14:paraId="2FCEDBB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DCF125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7C000CF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28FE4CC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3ED346A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A4B4E6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0D3030B9" w14:textId="77777777" w:rsidTr="00CE6541">
        <w:trPr>
          <w:trHeight w:val="82"/>
          <w:jc w:val="center"/>
        </w:trPr>
        <w:tc>
          <w:tcPr>
            <w:tcW w:w="1754" w:type="dxa"/>
            <w:tcBorders>
              <w:top w:val="nil"/>
              <w:left w:val="nil"/>
              <w:bottom w:val="nil"/>
              <w:right w:val="nil"/>
            </w:tcBorders>
            <w:shd w:val="clear" w:color="000000" w:fill="FFFFFF"/>
            <w:noWrap/>
            <w:vAlign w:val="bottom"/>
            <w:hideMark/>
          </w:tcPr>
          <w:p w14:paraId="306EBB8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231E389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596DB1F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050A0D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037A26A" w14:textId="46B0DDD8" w:rsidR="00CE6541" w:rsidRPr="00CE6541" w:rsidRDefault="00CE6541" w:rsidP="00CE6541">
            <w:pPr>
              <w:spacing w:after="0" w:line="240" w:lineRule="auto"/>
              <w:rPr>
                <w:rFonts w:ascii="Arial" w:eastAsia="Times New Roman" w:hAnsi="Arial" w:cs="Arial"/>
                <w:kern w:val="0"/>
                <w:sz w:val="20"/>
                <w:szCs w:val="20"/>
                <w14:ligatures w14:val="none"/>
              </w:rPr>
            </w:pPr>
          </w:p>
        </w:tc>
        <w:tc>
          <w:tcPr>
            <w:tcW w:w="960" w:type="dxa"/>
            <w:tcBorders>
              <w:top w:val="nil"/>
              <w:left w:val="nil"/>
              <w:bottom w:val="nil"/>
              <w:right w:val="nil"/>
            </w:tcBorders>
            <w:shd w:val="clear" w:color="000000" w:fill="FFFFFF"/>
            <w:noWrap/>
            <w:vAlign w:val="bottom"/>
            <w:hideMark/>
          </w:tcPr>
          <w:p w14:paraId="415E807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1734BC4"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1F2E85A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56CB382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D35349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07349541" w14:textId="77777777" w:rsidTr="00CE6541">
        <w:trPr>
          <w:trHeight w:val="260"/>
          <w:jc w:val="center"/>
        </w:trPr>
        <w:tc>
          <w:tcPr>
            <w:tcW w:w="1754" w:type="dxa"/>
            <w:tcBorders>
              <w:top w:val="nil"/>
              <w:left w:val="nil"/>
              <w:bottom w:val="nil"/>
              <w:right w:val="nil"/>
            </w:tcBorders>
            <w:shd w:val="clear" w:color="000000" w:fill="FFFFFF"/>
            <w:noWrap/>
            <w:vAlign w:val="bottom"/>
            <w:hideMark/>
          </w:tcPr>
          <w:p w14:paraId="0CC9D9D7" w14:textId="77777777" w:rsidR="00CE6541" w:rsidRPr="00CE6541" w:rsidRDefault="00CE6541" w:rsidP="00CE6541">
            <w:pPr>
              <w:spacing w:after="0" w:line="240" w:lineRule="auto"/>
              <w:rPr>
                <w:rFonts w:ascii="Arial" w:eastAsia="Times New Roman" w:hAnsi="Arial" w:cs="Arial"/>
                <w:kern w:val="0"/>
                <w:sz w:val="20"/>
                <w:szCs w:val="20"/>
                <w14:ligatures w14:val="none"/>
              </w:rPr>
            </w:pPr>
            <w:proofErr w:type="spellStart"/>
            <w:r w:rsidRPr="00CE6541">
              <w:rPr>
                <w:rFonts w:ascii="Arial" w:eastAsia="Times New Roman" w:hAnsi="Arial" w:cs="Arial"/>
                <w:kern w:val="0"/>
                <w:sz w:val="20"/>
                <w:szCs w:val="20"/>
                <w14:ligatures w14:val="none"/>
              </w:rPr>
              <w:t>Ajuste</w:t>
            </w:r>
            <w:proofErr w:type="spellEnd"/>
          </w:p>
        </w:tc>
        <w:tc>
          <w:tcPr>
            <w:tcW w:w="166" w:type="dxa"/>
            <w:tcBorders>
              <w:top w:val="nil"/>
              <w:left w:val="nil"/>
              <w:bottom w:val="nil"/>
              <w:right w:val="nil"/>
            </w:tcBorders>
            <w:shd w:val="clear" w:color="000000" w:fill="FFFFFF"/>
            <w:noWrap/>
            <w:vAlign w:val="bottom"/>
            <w:hideMark/>
          </w:tcPr>
          <w:p w14:paraId="36B6BC29"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B5D4D6F"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single" w:sz="4" w:space="0" w:color="auto"/>
              <w:left w:val="nil"/>
              <w:bottom w:val="double" w:sz="6" w:space="0" w:color="auto"/>
              <w:right w:val="nil"/>
            </w:tcBorders>
            <w:shd w:val="clear" w:color="000000" w:fill="FFFFFF"/>
            <w:noWrap/>
            <w:vAlign w:val="bottom"/>
            <w:hideMark/>
          </w:tcPr>
          <w:p w14:paraId="65705B50" w14:textId="2B0EE9C3"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xml:space="preserve">      -15 </w:t>
            </w:r>
          </w:p>
        </w:tc>
        <w:tc>
          <w:tcPr>
            <w:tcW w:w="960" w:type="dxa"/>
            <w:tcBorders>
              <w:top w:val="nil"/>
              <w:left w:val="nil"/>
              <w:bottom w:val="nil"/>
              <w:right w:val="nil"/>
            </w:tcBorders>
            <w:shd w:val="clear" w:color="000000" w:fill="FFFFFF"/>
            <w:noWrap/>
            <w:vAlign w:val="bottom"/>
            <w:hideMark/>
          </w:tcPr>
          <w:p w14:paraId="226BEA8D"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2111D893"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4AE3F77"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6BC59DA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173F1A2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ADBA42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r w:rsidR="00CE6541" w:rsidRPr="00CE6541" w14:paraId="7D6FBF29" w14:textId="77777777" w:rsidTr="00CE6541">
        <w:trPr>
          <w:trHeight w:val="260"/>
          <w:jc w:val="center"/>
        </w:trPr>
        <w:tc>
          <w:tcPr>
            <w:tcW w:w="1754" w:type="dxa"/>
            <w:tcBorders>
              <w:top w:val="nil"/>
              <w:left w:val="nil"/>
              <w:bottom w:val="nil"/>
              <w:right w:val="nil"/>
            </w:tcBorders>
            <w:shd w:val="clear" w:color="000000" w:fill="FFFFFF"/>
            <w:noWrap/>
            <w:vAlign w:val="bottom"/>
            <w:hideMark/>
          </w:tcPr>
          <w:p w14:paraId="074E9D7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166" w:type="dxa"/>
            <w:tcBorders>
              <w:top w:val="nil"/>
              <w:left w:val="nil"/>
              <w:bottom w:val="nil"/>
              <w:right w:val="nil"/>
            </w:tcBorders>
            <w:shd w:val="clear" w:color="000000" w:fill="FFFFFF"/>
            <w:noWrap/>
            <w:vAlign w:val="bottom"/>
            <w:hideMark/>
          </w:tcPr>
          <w:p w14:paraId="6DFC3A5E"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0581B51"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4F1CACF2"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A23947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62024A5A"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0CEB4B58"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39B630FB"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88" w:type="dxa"/>
            <w:tcBorders>
              <w:top w:val="nil"/>
              <w:left w:val="nil"/>
              <w:bottom w:val="nil"/>
              <w:right w:val="nil"/>
            </w:tcBorders>
            <w:shd w:val="clear" w:color="000000" w:fill="FFFFFF"/>
            <w:noWrap/>
            <w:vAlign w:val="bottom"/>
            <w:hideMark/>
          </w:tcPr>
          <w:p w14:paraId="1D81E800"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c>
          <w:tcPr>
            <w:tcW w:w="960" w:type="dxa"/>
            <w:tcBorders>
              <w:top w:val="nil"/>
              <w:left w:val="nil"/>
              <w:bottom w:val="nil"/>
              <w:right w:val="nil"/>
            </w:tcBorders>
            <w:shd w:val="clear" w:color="000000" w:fill="FFFFFF"/>
            <w:noWrap/>
            <w:vAlign w:val="bottom"/>
            <w:hideMark/>
          </w:tcPr>
          <w:p w14:paraId="1BAE012C" w14:textId="77777777" w:rsidR="00CE6541" w:rsidRPr="00CE6541" w:rsidRDefault="00CE6541" w:rsidP="00CE6541">
            <w:pPr>
              <w:spacing w:after="0" w:line="240" w:lineRule="auto"/>
              <w:rPr>
                <w:rFonts w:ascii="Arial" w:eastAsia="Times New Roman" w:hAnsi="Arial" w:cs="Arial"/>
                <w:kern w:val="0"/>
                <w:sz w:val="20"/>
                <w:szCs w:val="20"/>
                <w14:ligatures w14:val="none"/>
              </w:rPr>
            </w:pPr>
            <w:r w:rsidRPr="00CE6541">
              <w:rPr>
                <w:rFonts w:ascii="Arial" w:eastAsia="Times New Roman" w:hAnsi="Arial" w:cs="Arial"/>
                <w:kern w:val="0"/>
                <w:sz w:val="20"/>
                <w:szCs w:val="20"/>
                <w14:ligatures w14:val="none"/>
              </w:rPr>
              <w:t> </w:t>
            </w:r>
          </w:p>
        </w:tc>
      </w:tr>
    </w:tbl>
    <w:p w14:paraId="5ED4B00E" w14:textId="77777777" w:rsidR="00CE6541" w:rsidRPr="00221417" w:rsidRDefault="00CE6541" w:rsidP="00221417">
      <w:pPr>
        <w:rPr>
          <w:b/>
          <w:bCs/>
          <w:u w:val="single"/>
          <w:lang w:val="es-AR"/>
        </w:rPr>
      </w:pPr>
    </w:p>
    <w:sectPr w:rsidR="00CE6541" w:rsidRPr="002214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5AB"/>
    <w:multiLevelType w:val="hybridMultilevel"/>
    <w:tmpl w:val="208E2AC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0F931C95"/>
    <w:multiLevelType w:val="hybridMultilevel"/>
    <w:tmpl w:val="AF32A7AA"/>
    <w:lvl w:ilvl="0" w:tplc="A7AC20B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37688"/>
    <w:multiLevelType w:val="hybridMultilevel"/>
    <w:tmpl w:val="77AEF11E"/>
    <w:lvl w:ilvl="0" w:tplc="27D0B3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2824D9"/>
    <w:multiLevelType w:val="hybridMultilevel"/>
    <w:tmpl w:val="E5E29716"/>
    <w:lvl w:ilvl="0" w:tplc="B7AA7AF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8D1DF2"/>
    <w:multiLevelType w:val="hybridMultilevel"/>
    <w:tmpl w:val="79A4144A"/>
    <w:lvl w:ilvl="0" w:tplc="3230B9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F9F07FD"/>
    <w:multiLevelType w:val="hybridMultilevel"/>
    <w:tmpl w:val="3252C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152E60"/>
    <w:multiLevelType w:val="hybridMultilevel"/>
    <w:tmpl w:val="9D74D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107EE0"/>
    <w:multiLevelType w:val="hybridMultilevel"/>
    <w:tmpl w:val="6D049F12"/>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52932AE7"/>
    <w:multiLevelType w:val="hybridMultilevel"/>
    <w:tmpl w:val="FE662C66"/>
    <w:lvl w:ilvl="0" w:tplc="C2A4AA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C7A45BC"/>
    <w:multiLevelType w:val="hybridMultilevel"/>
    <w:tmpl w:val="22D0C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37017404">
    <w:abstractNumId w:val="9"/>
  </w:num>
  <w:num w:numId="2" w16cid:durableId="1145897881">
    <w:abstractNumId w:val="7"/>
  </w:num>
  <w:num w:numId="3" w16cid:durableId="867328715">
    <w:abstractNumId w:val="8"/>
  </w:num>
  <w:num w:numId="4" w16cid:durableId="1228762309">
    <w:abstractNumId w:val="1"/>
  </w:num>
  <w:num w:numId="5" w16cid:durableId="1621062086">
    <w:abstractNumId w:val="3"/>
  </w:num>
  <w:num w:numId="6" w16cid:durableId="1729962776">
    <w:abstractNumId w:val="2"/>
  </w:num>
  <w:num w:numId="7" w16cid:durableId="535626578">
    <w:abstractNumId w:val="4"/>
  </w:num>
  <w:num w:numId="8" w16cid:durableId="1949965825">
    <w:abstractNumId w:val="6"/>
  </w:num>
  <w:num w:numId="9" w16cid:durableId="1766337409">
    <w:abstractNumId w:val="5"/>
  </w:num>
  <w:num w:numId="10" w16cid:durableId="40622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51"/>
    <w:rsid w:val="00066903"/>
    <w:rsid w:val="000C58CE"/>
    <w:rsid w:val="00130F37"/>
    <w:rsid w:val="00221417"/>
    <w:rsid w:val="00222C82"/>
    <w:rsid w:val="00233D6F"/>
    <w:rsid w:val="002924C7"/>
    <w:rsid w:val="002D786D"/>
    <w:rsid w:val="003221BB"/>
    <w:rsid w:val="00325371"/>
    <w:rsid w:val="003B78DF"/>
    <w:rsid w:val="003E73DA"/>
    <w:rsid w:val="00457BE9"/>
    <w:rsid w:val="00487C98"/>
    <w:rsid w:val="00497FB4"/>
    <w:rsid w:val="00552680"/>
    <w:rsid w:val="00561270"/>
    <w:rsid w:val="0059615C"/>
    <w:rsid w:val="00632B9D"/>
    <w:rsid w:val="006A05C4"/>
    <w:rsid w:val="006E3CE6"/>
    <w:rsid w:val="00721332"/>
    <w:rsid w:val="00726186"/>
    <w:rsid w:val="00765271"/>
    <w:rsid w:val="007C6B83"/>
    <w:rsid w:val="007D24A0"/>
    <w:rsid w:val="0081528F"/>
    <w:rsid w:val="00825BBB"/>
    <w:rsid w:val="0083340B"/>
    <w:rsid w:val="00840F44"/>
    <w:rsid w:val="00876D27"/>
    <w:rsid w:val="00890348"/>
    <w:rsid w:val="008B256F"/>
    <w:rsid w:val="0090142A"/>
    <w:rsid w:val="00906844"/>
    <w:rsid w:val="00942C51"/>
    <w:rsid w:val="00984827"/>
    <w:rsid w:val="00A206BF"/>
    <w:rsid w:val="00A5178D"/>
    <w:rsid w:val="00A55690"/>
    <w:rsid w:val="00A83D18"/>
    <w:rsid w:val="00A87FB2"/>
    <w:rsid w:val="00B02D73"/>
    <w:rsid w:val="00B05B06"/>
    <w:rsid w:val="00B07227"/>
    <w:rsid w:val="00B22EC4"/>
    <w:rsid w:val="00B42FDD"/>
    <w:rsid w:val="00B7345D"/>
    <w:rsid w:val="00C016E1"/>
    <w:rsid w:val="00C039D1"/>
    <w:rsid w:val="00C047A7"/>
    <w:rsid w:val="00C07974"/>
    <w:rsid w:val="00C50786"/>
    <w:rsid w:val="00CE6541"/>
    <w:rsid w:val="00CF422C"/>
    <w:rsid w:val="00D0556A"/>
    <w:rsid w:val="00D84BB2"/>
    <w:rsid w:val="00D87324"/>
    <w:rsid w:val="00D90042"/>
    <w:rsid w:val="00E62BCD"/>
    <w:rsid w:val="00E934B7"/>
    <w:rsid w:val="00ED3307"/>
    <w:rsid w:val="00ED3C71"/>
    <w:rsid w:val="00F43945"/>
    <w:rsid w:val="00F766A7"/>
    <w:rsid w:val="00F86E5C"/>
    <w:rsid w:val="00FC5BE2"/>
    <w:rsid w:val="00FC6C8C"/>
    <w:rsid w:val="00FE38E9"/>
    <w:rsid w:val="00FE7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E5F4"/>
  <w15:chartTrackingRefBased/>
  <w15:docId w15:val="{DAE64463-8160-4756-B4BF-8F258C2F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C51"/>
    <w:rPr>
      <w:rFonts w:eastAsiaTheme="majorEastAsia" w:cstheme="majorBidi"/>
      <w:color w:val="272727" w:themeColor="text1" w:themeTint="D8"/>
    </w:rPr>
  </w:style>
  <w:style w:type="paragraph" w:styleId="Title">
    <w:name w:val="Title"/>
    <w:basedOn w:val="Normal"/>
    <w:next w:val="Normal"/>
    <w:link w:val="TitleChar"/>
    <w:uiPriority w:val="10"/>
    <w:qFormat/>
    <w:rsid w:val="00942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C51"/>
    <w:pPr>
      <w:spacing w:before="160"/>
      <w:jc w:val="center"/>
    </w:pPr>
    <w:rPr>
      <w:i/>
      <w:iCs/>
      <w:color w:val="404040" w:themeColor="text1" w:themeTint="BF"/>
    </w:rPr>
  </w:style>
  <w:style w:type="character" w:customStyle="1" w:styleId="QuoteChar">
    <w:name w:val="Quote Char"/>
    <w:basedOn w:val="DefaultParagraphFont"/>
    <w:link w:val="Quote"/>
    <w:uiPriority w:val="29"/>
    <w:rsid w:val="00942C51"/>
    <w:rPr>
      <w:i/>
      <w:iCs/>
      <w:color w:val="404040" w:themeColor="text1" w:themeTint="BF"/>
    </w:rPr>
  </w:style>
  <w:style w:type="paragraph" w:styleId="ListParagraph">
    <w:name w:val="List Paragraph"/>
    <w:basedOn w:val="Normal"/>
    <w:uiPriority w:val="34"/>
    <w:qFormat/>
    <w:rsid w:val="00942C51"/>
    <w:pPr>
      <w:ind w:left="720"/>
      <w:contextualSpacing/>
    </w:pPr>
  </w:style>
  <w:style w:type="character" w:styleId="IntenseEmphasis">
    <w:name w:val="Intense Emphasis"/>
    <w:basedOn w:val="DefaultParagraphFont"/>
    <w:uiPriority w:val="21"/>
    <w:qFormat/>
    <w:rsid w:val="00942C51"/>
    <w:rPr>
      <w:i/>
      <w:iCs/>
      <w:color w:val="0F4761" w:themeColor="accent1" w:themeShade="BF"/>
    </w:rPr>
  </w:style>
  <w:style w:type="paragraph" w:styleId="IntenseQuote">
    <w:name w:val="Intense Quote"/>
    <w:basedOn w:val="Normal"/>
    <w:next w:val="Normal"/>
    <w:link w:val="IntenseQuoteChar"/>
    <w:uiPriority w:val="30"/>
    <w:qFormat/>
    <w:rsid w:val="00942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C51"/>
    <w:rPr>
      <w:i/>
      <w:iCs/>
      <w:color w:val="0F4761" w:themeColor="accent1" w:themeShade="BF"/>
    </w:rPr>
  </w:style>
  <w:style w:type="character" w:styleId="IntenseReference">
    <w:name w:val="Intense Reference"/>
    <w:basedOn w:val="DefaultParagraphFont"/>
    <w:uiPriority w:val="32"/>
    <w:qFormat/>
    <w:rsid w:val="00942C51"/>
    <w:rPr>
      <w:b/>
      <w:bCs/>
      <w:smallCaps/>
      <w:color w:val="0F4761" w:themeColor="accent1" w:themeShade="BF"/>
      <w:spacing w:val="5"/>
    </w:rPr>
  </w:style>
  <w:style w:type="character" w:styleId="Hyperlink">
    <w:name w:val="Hyperlink"/>
    <w:basedOn w:val="DefaultParagraphFont"/>
    <w:uiPriority w:val="99"/>
    <w:unhideWhenUsed/>
    <w:rsid w:val="00B07227"/>
    <w:rPr>
      <w:color w:val="467886" w:themeColor="hyperlink"/>
      <w:u w:val="single"/>
    </w:rPr>
  </w:style>
  <w:style w:type="character" w:styleId="UnresolvedMention">
    <w:name w:val="Unresolved Mention"/>
    <w:basedOn w:val="DefaultParagraphFont"/>
    <w:uiPriority w:val="99"/>
    <w:semiHidden/>
    <w:unhideWhenUsed/>
    <w:rsid w:val="00B07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bymadata.com.a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olsar.info/boletines.php?id=boletine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036B5-9226-4A4D-93BD-19CB37700371}">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81</TotalTime>
  <Pages>8</Pages>
  <Words>2362</Words>
  <Characters>13466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Czajkowski, Chiara</dc:creator>
  <cp:keywords/>
  <dc:description/>
  <cp:lastModifiedBy>Czajkowski, Chiara</cp:lastModifiedBy>
  <cp:revision>6</cp:revision>
  <dcterms:created xsi:type="dcterms:W3CDTF">2026-07-17T14:07:00Z</dcterms:created>
  <dcterms:modified xsi:type="dcterms:W3CDTF">2026-07-29T12:59:00Z</dcterms:modified>
</cp:coreProperties>
</file>