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1BFAC" w14:textId="16631BDB" w:rsidR="006D4890" w:rsidRPr="00A567F5" w:rsidRDefault="005E19C0" w:rsidP="00BC2FDF">
      <w:pPr>
        <w:spacing w:after="0"/>
        <w:jc w:val="center"/>
        <w:rPr>
          <w:rFonts w:ascii="Daytona" w:hAnsi="Daytona"/>
          <w:b/>
          <w:bCs/>
          <w:sz w:val="36"/>
          <w:szCs w:val="36"/>
          <w:lang w:val="es-AR"/>
        </w:rPr>
      </w:pPr>
      <w:r w:rsidRPr="00A567F5">
        <w:rPr>
          <w:rFonts w:ascii="Daytona" w:hAnsi="Daytona"/>
          <w:b/>
          <w:bCs/>
          <w:sz w:val="36"/>
          <w:szCs w:val="36"/>
          <w:lang w:val="es-AR"/>
        </w:rPr>
        <w:t xml:space="preserve">Bienes </w:t>
      </w:r>
      <w:r w:rsidR="00E022D9">
        <w:rPr>
          <w:rFonts w:ascii="Daytona" w:hAnsi="Daytona"/>
          <w:b/>
          <w:bCs/>
          <w:sz w:val="36"/>
          <w:szCs w:val="36"/>
          <w:lang w:val="es-AR"/>
        </w:rPr>
        <w:t>I</w:t>
      </w:r>
      <w:r w:rsidRPr="00A567F5">
        <w:rPr>
          <w:rFonts w:ascii="Daytona" w:hAnsi="Daytona"/>
          <w:b/>
          <w:bCs/>
          <w:sz w:val="36"/>
          <w:szCs w:val="36"/>
          <w:lang w:val="es-AR"/>
        </w:rPr>
        <w:t>ntangibles</w:t>
      </w:r>
    </w:p>
    <w:p w14:paraId="0CC764AF" w14:textId="6910EE15" w:rsidR="009B0A93" w:rsidRPr="00022793" w:rsidRDefault="000C44AF" w:rsidP="00022793">
      <w:pPr>
        <w:spacing w:after="0"/>
        <w:jc w:val="both"/>
        <w:rPr>
          <w:b/>
          <w:bCs/>
          <w:sz w:val="32"/>
          <w:szCs w:val="32"/>
          <w:lang w:val="es-AR"/>
        </w:rPr>
      </w:pPr>
      <w:r w:rsidRPr="00022793">
        <w:rPr>
          <w:b/>
          <w:bCs/>
          <w:sz w:val="32"/>
          <w:szCs w:val="32"/>
          <w:lang w:val="es-AR"/>
        </w:rPr>
        <w:t>Legislación.</w:t>
      </w:r>
    </w:p>
    <w:p w14:paraId="70E7579C" w14:textId="77777777" w:rsidR="00BC2FDF" w:rsidRDefault="00BC2FDF" w:rsidP="00022793">
      <w:pPr>
        <w:spacing w:after="0"/>
        <w:jc w:val="both"/>
        <w:rPr>
          <w:b/>
          <w:bCs/>
          <w:sz w:val="24"/>
          <w:szCs w:val="24"/>
          <w:lang w:val="es-AR"/>
        </w:rPr>
      </w:pPr>
    </w:p>
    <w:p w14:paraId="37279643" w14:textId="5D7FFBB1" w:rsidR="00BC2FDF" w:rsidRPr="00BC2FDF" w:rsidRDefault="000C44AF" w:rsidP="00022793">
      <w:pPr>
        <w:spacing w:after="0"/>
        <w:jc w:val="both"/>
        <w:rPr>
          <w:b/>
          <w:bCs/>
          <w:sz w:val="24"/>
          <w:szCs w:val="24"/>
          <w:u w:val="single"/>
          <w:lang w:val="es-AR"/>
        </w:rPr>
      </w:pPr>
      <w:r w:rsidRPr="00BC2FDF">
        <w:rPr>
          <w:b/>
          <w:bCs/>
          <w:sz w:val="24"/>
          <w:szCs w:val="24"/>
          <w:u w:val="single"/>
          <w:lang w:val="es-AR"/>
        </w:rPr>
        <w:t>Ley de impuesto a las ganancias.</w:t>
      </w:r>
    </w:p>
    <w:p w14:paraId="7E4990AE" w14:textId="7618F979" w:rsidR="00BC2FDF" w:rsidRPr="00BC2FDF" w:rsidRDefault="00BC2FDF" w:rsidP="00022793">
      <w:pPr>
        <w:spacing w:after="0"/>
        <w:jc w:val="both"/>
        <w:rPr>
          <w:sz w:val="24"/>
          <w:szCs w:val="24"/>
          <w:lang w:val="es-AR"/>
        </w:rPr>
      </w:pPr>
      <w:r w:rsidRPr="00BC2FDF">
        <w:rPr>
          <w:b/>
          <w:bCs/>
          <w:sz w:val="24"/>
          <w:szCs w:val="24"/>
          <w:lang w:val="es-AR"/>
        </w:rPr>
        <w:t xml:space="preserve">Art. 64 - </w:t>
      </w:r>
      <w:r w:rsidRPr="00BC2FDF">
        <w:rPr>
          <w:sz w:val="24"/>
          <w:szCs w:val="24"/>
          <w:lang w:val="es-AR"/>
        </w:rPr>
        <w:t>Cuando se enajenen llaves, marcas, patentes, derechos de concesión y otros activos similares, la ganancia bruta se establecerá deduciendo del precio de venta el costo de adquisición actualizado mediante la aplicación de los índices mencionados en el artículo 93, desde la fecha de compra hasta la fecha de venta. El monto así obtenido se disminuirá en las amortizaciones que hubiera correspondido aplicar, calculadas sobre el valor actualizado.</w:t>
      </w:r>
    </w:p>
    <w:p w14:paraId="089E90E4" w14:textId="67404DFB" w:rsidR="000C44AF" w:rsidRPr="00BC2FDF" w:rsidRDefault="00BC2FDF" w:rsidP="00022793">
      <w:pPr>
        <w:spacing w:after="0"/>
        <w:jc w:val="both"/>
        <w:rPr>
          <w:sz w:val="24"/>
          <w:szCs w:val="24"/>
          <w:lang w:val="es-AR"/>
        </w:rPr>
      </w:pPr>
      <w:r w:rsidRPr="00BC2FDF">
        <w:rPr>
          <w:sz w:val="24"/>
          <w:szCs w:val="24"/>
          <w:lang w:val="es-AR"/>
        </w:rPr>
        <w:t>En los casos en que el enajenante sea un sujeto que deba practicar el ajuste por inflación establecido en el Título VI, será de aplicación lo previsto en el penúltimo párrafo del artículo 62.</w:t>
      </w:r>
    </w:p>
    <w:p w14:paraId="375D7B6D" w14:textId="77777777" w:rsidR="000C44AF" w:rsidRDefault="000C44AF" w:rsidP="00022793">
      <w:pPr>
        <w:spacing w:after="0"/>
        <w:jc w:val="both"/>
        <w:rPr>
          <w:b/>
          <w:bCs/>
          <w:sz w:val="24"/>
          <w:szCs w:val="24"/>
          <w:lang w:val="es-AR"/>
        </w:rPr>
      </w:pPr>
    </w:p>
    <w:p w14:paraId="4AB12EF6" w14:textId="685DF838" w:rsidR="00BC2FDF" w:rsidRDefault="00BC2FDF" w:rsidP="00022793">
      <w:pPr>
        <w:spacing w:after="0"/>
        <w:jc w:val="both"/>
        <w:rPr>
          <w:b/>
          <w:bCs/>
          <w:sz w:val="24"/>
          <w:szCs w:val="24"/>
          <w:lang w:val="es-AR"/>
        </w:rPr>
      </w:pPr>
      <w:r w:rsidRPr="00BC2FDF">
        <w:rPr>
          <w:b/>
          <w:bCs/>
          <w:sz w:val="24"/>
          <w:szCs w:val="24"/>
          <w:lang w:val="es-AR"/>
        </w:rPr>
        <w:t>DEDUCCIONES ADMITIDAS</w:t>
      </w:r>
    </w:p>
    <w:p w14:paraId="0C534FF0" w14:textId="630C9FF9" w:rsidR="000C44AF" w:rsidRPr="00BC2FDF" w:rsidRDefault="00BC2FDF" w:rsidP="00022793">
      <w:pPr>
        <w:spacing w:after="0"/>
        <w:jc w:val="both"/>
        <w:rPr>
          <w:sz w:val="24"/>
          <w:szCs w:val="24"/>
          <w:lang w:val="es-AR"/>
        </w:rPr>
      </w:pPr>
      <w:r w:rsidRPr="00BC2FDF">
        <w:rPr>
          <w:b/>
          <w:bCs/>
          <w:sz w:val="24"/>
          <w:szCs w:val="24"/>
          <w:lang w:val="es-AR"/>
        </w:rPr>
        <w:t xml:space="preserve">Art. 85 - </w:t>
      </w:r>
      <w:r w:rsidRPr="00BC2FDF">
        <w:rPr>
          <w:sz w:val="24"/>
          <w:szCs w:val="24"/>
          <w:lang w:val="es-AR"/>
        </w:rPr>
        <w:t>De la ganancia del año fiscal, cualquiera fuese la fuente de ganancia y con las limitaciones contenidas en esta ley, se podrá deducir:</w:t>
      </w:r>
    </w:p>
    <w:p w14:paraId="56C8DD8A" w14:textId="0BEE768D" w:rsidR="000C44AF" w:rsidRDefault="00BC2FDF" w:rsidP="00022793">
      <w:pPr>
        <w:spacing w:after="0"/>
        <w:jc w:val="both"/>
        <w:rPr>
          <w:sz w:val="24"/>
          <w:szCs w:val="24"/>
          <w:lang w:val="es-AR"/>
        </w:rPr>
      </w:pPr>
      <w:r w:rsidRPr="00BC2FDF">
        <w:rPr>
          <w:sz w:val="24"/>
          <w:szCs w:val="24"/>
          <w:lang w:val="es-AR"/>
        </w:rPr>
        <w:t>e) Las amortizaciones de los bienes inmateriales que por sus características tengan un plazo de duración limitado, como patentes, concesiones y activos similares.</w:t>
      </w:r>
    </w:p>
    <w:p w14:paraId="44AEF4DA" w14:textId="77777777" w:rsidR="001D5EEB" w:rsidRDefault="001D5EEB" w:rsidP="00022793">
      <w:pPr>
        <w:spacing w:after="0"/>
        <w:jc w:val="both"/>
        <w:rPr>
          <w:sz w:val="24"/>
          <w:szCs w:val="24"/>
          <w:lang w:val="es-AR"/>
        </w:rPr>
      </w:pPr>
    </w:p>
    <w:p w14:paraId="1001F968" w14:textId="03F918DB" w:rsidR="001D5EEB" w:rsidRPr="001D5EEB" w:rsidRDefault="001D5EEB" w:rsidP="001D5EEB">
      <w:pPr>
        <w:spacing w:after="0"/>
        <w:jc w:val="both"/>
        <w:rPr>
          <w:b/>
          <w:bCs/>
          <w:sz w:val="24"/>
          <w:szCs w:val="24"/>
          <w:lang w:val="es-AR"/>
        </w:rPr>
      </w:pPr>
      <w:r w:rsidRPr="001D5EEB">
        <w:rPr>
          <w:b/>
          <w:bCs/>
          <w:sz w:val="24"/>
          <w:szCs w:val="24"/>
          <w:lang w:val="es-AR"/>
        </w:rPr>
        <w:t>Amortización de bienes muebles</w:t>
      </w:r>
    </w:p>
    <w:p w14:paraId="36C9CE98" w14:textId="77777777" w:rsidR="001D5EEB" w:rsidRPr="001D5EEB" w:rsidRDefault="001D5EEB" w:rsidP="001D5EEB">
      <w:pPr>
        <w:spacing w:after="0"/>
        <w:jc w:val="both"/>
        <w:rPr>
          <w:sz w:val="24"/>
          <w:szCs w:val="24"/>
          <w:lang w:val="es-AR"/>
        </w:rPr>
      </w:pPr>
      <w:r w:rsidRPr="001D5EEB">
        <w:rPr>
          <w:b/>
          <w:bCs/>
          <w:sz w:val="24"/>
          <w:szCs w:val="24"/>
          <w:lang w:val="es-AR"/>
        </w:rPr>
        <w:t>Art. 88 -</w:t>
      </w:r>
      <w:r w:rsidRPr="001D5EEB">
        <w:rPr>
          <w:sz w:val="24"/>
          <w:szCs w:val="24"/>
          <w:lang w:val="es-AR"/>
        </w:rPr>
        <w:t xml:space="preserve"> En concepto de amortización impositiva anual para compensar el desgaste de los bienes -excepto inmuebles- empleados por el contribuyente para producir ganancias gravadas, se admitirá deducir la suma que resulte de acuerdo con las siguientes normas:</w:t>
      </w:r>
    </w:p>
    <w:p w14:paraId="77075F74" w14:textId="77777777" w:rsidR="001D5EEB" w:rsidRPr="001D5EEB" w:rsidRDefault="001D5EEB" w:rsidP="001D5EEB">
      <w:pPr>
        <w:spacing w:after="0"/>
        <w:jc w:val="both"/>
        <w:rPr>
          <w:sz w:val="24"/>
          <w:szCs w:val="24"/>
          <w:lang w:val="es-AR"/>
        </w:rPr>
      </w:pPr>
    </w:p>
    <w:p w14:paraId="70E5D4DB" w14:textId="77777777" w:rsidR="001D5EEB" w:rsidRPr="001D5EEB" w:rsidRDefault="001D5EEB" w:rsidP="001D5EEB">
      <w:pPr>
        <w:spacing w:after="0"/>
        <w:jc w:val="both"/>
        <w:rPr>
          <w:sz w:val="24"/>
          <w:szCs w:val="24"/>
          <w:lang w:val="es-AR"/>
        </w:rPr>
      </w:pPr>
      <w:r w:rsidRPr="001D5EEB">
        <w:rPr>
          <w:sz w:val="24"/>
          <w:szCs w:val="24"/>
          <w:lang w:val="es-AR"/>
        </w:rPr>
        <w:t>1) Se dividirá el costo o valor de adquisición de los bienes por un número igual a los años de vida útil probable de los mismos. La Administración Federal de Ingresos Públicos podrá admitir un procedimiento distinto (unidades producidas, horas trabajadas, etcétera) cuando razones de orden técnico lo justifiquen.</w:t>
      </w:r>
    </w:p>
    <w:p w14:paraId="3C23CF2B" w14:textId="77777777" w:rsidR="001D5EEB" w:rsidRPr="001D5EEB" w:rsidRDefault="001D5EEB" w:rsidP="001D5EEB">
      <w:pPr>
        <w:spacing w:after="0"/>
        <w:jc w:val="both"/>
        <w:rPr>
          <w:sz w:val="24"/>
          <w:szCs w:val="24"/>
          <w:lang w:val="es-AR"/>
        </w:rPr>
      </w:pPr>
    </w:p>
    <w:p w14:paraId="44CF76F8" w14:textId="77777777" w:rsidR="001D5EEB" w:rsidRPr="001D5EEB" w:rsidRDefault="001D5EEB" w:rsidP="001D5EEB">
      <w:pPr>
        <w:spacing w:after="0"/>
        <w:jc w:val="both"/>
        <w:rPr>
          <w:sz w:val="24"/>
          <w:szCs w:val="24"/>
          <w:lang w:val="es-AR"/>
        </w:rPr>
      </w:pPr>
      <w:r w:rsidRPr="001D5EEB">
        <w:rPr>
          <w:sz w:val="24"/>
          <w:szCs w:val="24"/>
          <w:lang w:val="es-AR"/>
        </w:rPr>
        <w:t>2) A la cuota de amortización ordinaria calculada conforme con lo dispuesto en el apartado anterior, o a la cuota de amortización efectuada por el contribuyente con arreglo a normas especiales, se le aplicará el índice de actualización mencionado en el artículo 93, referido a la fecha de adquisición o construcción que indique la tabla elaborada por la Administración Federal de Ingresos Públicos para el mes al que corresponda la fecha de cierre del período fiscal que se liquida. El importe así obtenido será la amortización anual deducible.</w:t>
      </w:r>
    </w:p>
    <w:p w14:paraId="6613D378" w14:textId="77777777" w:rsidR="001D5EEB" w:rsidRPr="001D5EEB" w:rsidRDefault="001D5EEB" w:rsidP="001D5EEB">
      <w:pPr>
        <w:spacing w:after="0"/>
        <w:jc w:val="both"/>
        <w:rPr>
          <w:sz w:val="24"/>
          <w:szCs w:val="24"/>
          <w:lang w:val="es-AR"/>
        </w:rPr>
      </w:pPr>
    </w:p>
    <w:p w14:paraId="21A49875" w14:textId="77777777" w:rsidR="001D5EEB" w:rsidRPr="001D5EEB" w:rsidRDefault="001D5EEB" w:rsidP="001D5EEB">
      <w:pPr>
        <w:spacing w:after="0"/>
        <w:jc w:val="both"/>
        <w:rPr>
          <w:sz w:val="24"/>
          <w:szCs w:val="24"/>
          <w:lang w:val="es-AR"/>
        </w:rPr>
      </w:pPr>
      <w:r w:rsidRPr="001D5EEB">
        <w:rPr>
          <w:sz w:val="24"/>
          <w:szCs w:val="24"/>
          <w:lang w:val="es-AR"/>
        </w:rPr>
        <w:t xml:space="preserve">Cuando se trate de </w:t>
      </w:r>
      <w:r w:rsidRPr="001D5EEB">
        <w:rPr>
          <w:b/>
          <w:bCs/>
          <w:sz w:val="24"/>
          <w:szCs w:val="24"/>
          <w:lang w:val="es-AR"/>
        </w:rPr>
        <w:t>bienes inmateriales amortizables</w:t>
      </w:r>
      <w:r w:rsidRPr="001D5EEB">
        <w:rPr>
          <w:sz w:val="24"/>
          <w:szCs w:val="24"/>
          <w:lang w:val="es-AR"/>
        </w:rPr>
        <w:t xml:space="preserve"> la suma a deducir se determinará aplicando las normas establecidas en el párrafo anterior.</w:t>
      </w:r>
    </w:p>
    <w:p w14:paraId="42798FA1" w14:textId="77777777" w:rsidR="001D5EEB" w:rsidRPr="001D5EEB" w:rsidRDefault="001D5EEB" w:rsidP="001D5EEB">
      <w:pPr>
        <w:spacing w:after="0"/>
        <w:jc w:val="both"/>
        <w:rPr>
          <w:sz w:val="24"/>
          <w:szCs w:val="24"/>
          <w:lang w:val="es-AR"/>
        </w:rPr>
      </w:pPr>
    </w:p>
    <w:p w14:paraId="5DC347DD" w14:textId="4C87E622" w:rsidR="001D5EEB" w:rsidRPr="00BC2FDF" w:rsidRDefault="001D5EEB" w:rsidP="001D5EEB">
      <w:pPr>
        <w:spacing w:after="0"/>
        <w:jc w:val="both"/>
        <w:rPr>
          <w:sz w:val="24"/>
          <w:szCs w:val="24"/>
          <w:lang w:val="es-AR"/>
        </w:rPr>
      </w:pPr>
      <w:r w:rsidRPr="001D5EEB">
        <w:rPr>
          <w:sz w:val="24"/>
          <w:szCs w:val="24"/>
          <w:lang w:val="es-AR"/>
        </w:rPr>
        <w:t>A los efectos de la determinación del valor original de los bienes amortizables, no se computarán las comisiones pagadas y/o acreditadas a entidades del mismo conjunto económico, intermediarias en la operación de compra, salvo que se pruebe una efectiva prestación de servicios a tales fines.</w:t>
      </w:r>
    </w:p>
    <w:p w14:paraId="271E1FAB" w14:textId="77777777" w:rsidR="00BC2FDF" w:rsidRDefault="00BC2FDF" w:rsidP="00022793">
      <w:pPr>
        <w:spacing w:after="0"/>
        <w:jc w:val="both"/>
        <w:rPr>
          <w:b/>
          <w:bCs/>
          <w:sz w:val="24"/>
          <w:szCs w:val="24"/>
          <w:lang w:val="es-AR"/>
        </w:rPr>
      </w:pPr>
    </w:p>
    <w:p w14:paraId="4C228990" w14:textId="10B80A82" w:rsidR="00BC2FDF" w:rsidRPr="00BC2FDF" w:rsidRDefault="00BC2FDF" w:rsidP="00022793">
      <w:pPr>
        <w:spacing w:after="0"/>
        <w:jc w:val="both"/>
        <w:rPr>
          <w:b/>
          <w:bCs/>
          <w:sz w:val="24"/>
          <w:szCs w:val="24"/>
          <w:lang w:val="es-MX"/>
        </w:rPr>
      </w:pPr>
      <w:r w:rsidRPr="00BC2FDF">
        <w:rPr>
          <w:b/>
          <w:bCs/>
          <w:sz w:val="24"/>
          <w:szCs w:val="24"/>
          <w:lang w:val="es-MX"/>
        </w:rPr>
        <w:t>DEDUCCIONES ESPECIALES DE LA TERCERA CATEGORÍA</w:t>
      </w:r>
    </w:p>
    <w:p w14:paraId="758B3BF7" w14:textId="640436D2" w:rsidR="00BC2FDF" w:rsidRPr="00BC2FDF" w:rsidRDefault="00BC2FDF" w:rsidP="00022793">
      <w:pPr>
        <w:spacing w:after="0"/>
        <w:jc w:val="both"/>
        <w:rPr>
          <w:sz w:val="24"/>
          <w:szCs w:val="24"/>
          <w:lang w:val="es-MX"/>
        </w:rPr>
      </w:pPr>
      <w:r w:rsidRPr="00BC2FDF">
        <w:rPr>
          <w:b/>
          <w:bCs/>
          <w:sz w:val="24"/>
          <w:szCs w:val="24"/>
          <w:lang w:val="es-MX"/>
        </w:rPr>
        <w:t xml:space="preserve">Art. 91 - </w:t>
      </w:r>
      <w:r w:rsidRPr="00BC2FDF">
        <w:rPr>
          <w:sz w:val="24"/>
          <w:szCs w:val="24"/>
          <w:lang w:val="es-MX"/>
        </w:rPr>
        <w:t>De las ganancias de la tercera categoría y con las limitaciones de esta ley también se podrá deducir:</w:t>
      </w:r>
    </w:p>
    <w:p w14:paraId="7E4DE882" w14:textId="14942EE2" w:rsidR="00BC2FDF" w:rsidRPr="00BC2FDF" w:rsidRDefault="00BC2FDF" w:rsidP="00022793">
      <w:pPr>
        <w:spacing w:after="0"/>
        <w:jc w:val="both"/>
        <w:rPr>
          <w:sz w:val="24"/>
          <w:szCs w:val="24"/>
          <w:lang w:val="es-AR"/>
        </w:rPr>
      </w:pPr>
      <w:r w:rsidRPr="00BC2FDF">
        <w:rPr>
          <w:sz w:val="24"/>
          <w:szCs w:val="24"/>
          <w:lang w:val="es-AR"/>
        </w:rPr>
        <w:t>c) Los gastos de organización. La Administración Federal de Ingresos Públicos admitirá su afectación al primer ejercicio o su amortización en un plazo no mayor de cinco (5) años, a opción del contribuyente.</w:t>
      </w:r>
    </w:p>
    <w:p w14:paraId="30F90D4C" w14:textId="77777777" w:rsidR="00BC2FDF" w:rsidRDefault="00BC2FDF" w:rsidP="00022793">
      <w:pPr>
        <w:spacing w:after="0"/>
        <w:jc w:val="both"/>
        <w:rPr>
          <w:b/>
          <w:bCs/>
          <w:sz w:val="24"/>
          <w:szCs w:val="24"/>
          <w:lang w:val="es-AR"/>
        </w:rPr>
      </w:pPr>
    </w:p>
    <w:p w14:paraId="53A167D3" w14:textId="435A223A" w:rsidR="00BC2FDF" w:rsidRPr="00BC2FDF" w:rsidRDefault="00BC2FDF" w:rsidP="00022793">
      <w:pPr>
        <w:spacing w:after="0"/>
        <w:jc w:val="both"/>
        <w:rPr>
          <w:b/>
          <w:bCs/>
          <w:sz w:val="24"/>
          <w:szCs w:val="24"/>
          <w:lang w:val="es-AR"/>
        </w:rPr>
      </w:pPr>
      <w:r w:rsidRPr="00BC2FDF">
        <w:rPr>
          <w:b/>
          <w:bCs/>
          <w:sz w:val="24"/>
          <w:szCs w:val="24"/>
          <w:lang w:val="es-AR"/>
        </w:rPr>
        <w:t>DEDUCCIONES NO ADMITIDAS</w:t>
      </w:r>
    </w:p>
    <w:p w14:paraId="71B269A7" w14:textId="7218FACB" w:rsidR="00BC2FDF" w:rsidRPr="00BC2FDF" w:rsidRDefault="00BC2FDF" w:rsidP="00022793">
      <w:pPr>
        <w:spacing w:after="0"/>
        <w:jc w:val="both"/>
        <w:rPr>
          <w:sz w:val="24"/>
          <w:szCs w:val="24"/>
          <w:lang w:val="es-AR"/>
        </w:rPr>
      </w:pPr>
      <w:r w:rsidRPr="00BC2FDF">
        <w:rPr>
          <w:b/>
          <w:bCs/>
          <w:sz w:val="24"/>
          <w:szCs w:val="24"/>
          <w:lang w:val="es-AR"/>
        </w:rPr>
        <w:t>Art. 92 -</w:t>
      </w:r>
      <w:r w:rsidRPr="00BC2FDF">
        <w:rPr>
          <w:sz w:val="24"/>
          <w:szCs w:val="24"/>
          <w:lang w:val="es-AR"/>
        </w:rPr>
        <w:t xml:space="preserve"> No serán deducibles, sin distinción de categorías:</w:t>
      </w:r>
    </w:p>
    <w:p w14:paraId="6F53C900" w14:textId="67648E6B" w:rsidR="00BC2FDF" w:rsidRDefault="00BC2FDF" w:rsidP="00022793">
      <w:pPr>
        <w:spacing w:after="0"/>
        <w:jc w:val="both"/>
        <w:rPr>
          <w:sz w:val="24"/>
          <w:szCs w:val="24"/>
          <w:lang w:val="es-AR"/>
        </w:rPr>
      </w:pPr>
      <w:r w:rsidRPr="00BC2FDF">
        <w:rPr>
          <w:sz w:val="24"/>
          <w:szCs w:val="24"/>
          <w:lang w:val="es-AR"/>
        </w:rPr>
        <w:t>h) La amortización de llave, marcas y activos similares.</w:t>
      </w:r>
    </w:p>
    <w:p w14:paraId="200095FC" w14:textId="77777777" w:rsidR="00BC2FDF" w:rsidRDefault="00BC2FDF" w:rsidP="00022793">
      <w:pPr>
        <w:spacing w:after="0"/>
        <w:jc w:val="both"/>
        <w:rPr>
          <w:sz w:val="24"/>
          <w:szCs w:val="24"/>
          <w:lang w:val="es-AR"/>
        </w:rPr>
      </w:pPr>
    </w:p>
    <w:p w14:paraId="3357D1CB" w14:textId="44DA4D07" w:rsidR="00BC2FDF" w:rsidRPr="00415A22" w:rsidRDefault="00415A22" w:rsidP="00022793">
      <w:pPr>
        <w:spacing w:after="0"/>
        <w:jc w:val="both"/>
        <w:rPr>
          <w:b/>
          <w:bCs/>
          <w:sz w:val="24"/>
          <w:szCs w:val="24"/>
          <w:u w:val="single"/>
          <w:lang w:val="es-AR"/>
        </w:rPr>
      </w:pPr>
      <w:r w:rsidRPr="00415A22">
        <w:rPr>
          <w:b/>
          <w:bCs/>
          <w:sz w:val="24"/>
          <w:szCs w:val="24"/>
          <w:u w:val="single"/>
          <w:lang w:val="es-AR"/>
        </w:rPr>
        <w:t>Decreto Reglamentario Ley de Impuesto a las Ganancias:</w:t>
      </w:r>
    </w:p>
    <w:p w14:paraId="442F9275" w14:textId="77777777" w:rsidR="00BC2FDF" w:rsidRDefault="00BC2FDF" w:rsidP="00022793">
      <w:pPr>
        <w:spacing w:after="0"/>
        <w:jc w:val="both"/>
        <w:rPr>
          <w:sz w:val="24"/>
          <w:szCs w:val="24"/>
          <w:lang w:val="es-AR"/>
        </w:rPr>
      </w:pPr>
    </w:p>
    <w:p w14:paraId="313A8046" w14:textId="501B666F" w:rsidR="00415A22" w:rsidRPr="00415A22" w:rsidRDefault="00415A22" w:rsidP="00022793">
      <w:pPr>
        <w:spacing w:after="0"/>
        <w:jc w:val="both"/>
        <w:rPr>
          <w:b/>
          <w:bCs/>
          <w:sz w:val="24"/>
          <w:szCs w:val="24"/>
          <w:lang w:val="es-AR"/>
        </w:rPr>
      </w:pPr>
      <w:r w:rsidRPr="00415A22">
        <w:rPr>
          <w:b/>
          <w:bCs/>
          <w:sz w:val="24"/>
          <w:szCs w:val="24"/>
          <w:lang w:val="es-AR"/>
        </w:rPr>
        <w:t>Intangibles</w:t>
      </w:r>
    </w:p>
    <w:p w14:paraId="2C57B926" w14:textId="77777777" w:rsidR="00415A22" w:rsidRPr="00415A22" w:rsidRDefault="00415A22" w:rsidP="00022793">
      <w:pPr>
        <w:spacing w:after="0"/>
        <w:jc w:val="both"/>
        <w:rPr>
          <w:sz w:val="24"/>
          <w:szCs w:val="24"/>
          <w:lang w:val="es-AR"/>
        </w:rPr>
      </w:pPr>
      <w:r w:rsidRPr="00415A22">
        <w:rPr>
          <w:b/>
          <w:bCs/>
          <w:sz w:val="24"/>
          <w:szCs w:val="24"/>
          <w:lang w:val="es-AR"/>
        </w:rPr>
        <w:t>Art. 209 -</w:t>
      </w:r>
      <w:r w:rsidRPr="00415A22">
        <w:rPr>
          <w:sz w:val="24"/>
          <w:szCs w:val="24"/>
          <w:lang w:val="es-AR"/>
        </w:rPr>
        <w:t xml:space="preserve"> La amortización prevista por el inciso e) del artículo 85 de la ley, solo procederá respecto de intangibles adquiridos cuya titularidad comporte un derecho que se extingue por el transcurso del tiempo.</w:t>
      </w:r>
    </w:p>
    <w:p w14:paraId="3C66B7BA" w14:textId="77777777" w:rsidR="00415A22" w:rsidRPr="00415A22" w:rsidRDefault="00415A22" w:rsidP="00022793">
      <w:pPr>
        <w:spacing w:after="0"/>
        <w:jc w:val="both"/>
        <w:rPr>
          <w:sz w:val="24"/>
          <w:szCs w:val="24"/>
          <w:lang w:val="es-AR"/>
        </w:rPr>
      </w:pPr>
    </w:p>
    <w:p w14:paraId="0BCDD4EC" w14:textId="4BA33B01" w:rsidR="00BC2FDF" w:rsidRDefault="00415A22" w:rsidP="00022793">
      <w:pPr>
        <w:spacing w:after="0"/>
        <w:jc w:val="both"/>
        <w:rPr>
          <w:sz w:val="24"/>
          <w:szCs w:val="24"/>
          <w:lang w:val="es-AR"/>
        </w:rPr>
      </w:pPr>
      <w:r w:rsidRPr="00415A22">
        <w:rPr>
          <w:sz w:val="24"/>
          <w:szCs w:val="24"/>
          <w:lang w:val="es-AR"/>
        </w:rPr>
        <w:t>Con el fin de establecer las amortizaciones deducibles, el costo de adquisición de los referidos intangibles se dividirá por el número de años que, legalmente, resulten amparados por el derecho que comportan. El resultado así obtenido será la cuota de amortización deducible, resultando aplicable a efectos de su determinación y cómputo, en lo pertinente, las disposiciones contenidas en los artículos 88 de la ley y 206 y 207 de este reglamento.</w:t>
      </w:r>
    </w:p>
    <w:p w14:paraId="06137491" w14:textId="77777777" w:rsidR="00BC2FDF" w:rsidRDefault="00BC2FDF" w:rsidP="00022793">
      <w:pPr>
        <w:spacing w:after="0"/>
        <w:jc w:val="both"/>
        <w:rPr>
          <w:sz w:val="24"/>
          <w:szCs w:val="24"/>
          <w:lang w:val="es-AR"/>
        </w:rPr>
      </w:pPr>
    </w:p>
    <w:p w14:paraId="626E874B" w14:textId="255C4D3F" w:rsidR="00415A22" w:rsidRPr="00415A22" w:rsidRDefault="00415A22" w:rsidP="00022793">
      <w:pPr>
        <w:spacing w:after="0"/>
        <w:jc w:val="both"/>
        <w:rPr>
          <w:b/>
          <w:bCs/>
          <w:sz w:val="24"/>
          <w:szCs w:val="24"/>
          <w:lang w:val="es-MX"/>
        </w:rPr>
      </w:pPr>
      <w:r w:rsidRPr="00415A22">
        <w:rPr>
          <w:b/>
          <w:bCs/>
          <w:sz w:val="24"/>
          <w:szCs w:val="24"/>
          <w:lang w:val="es-MX"/>
        </w:rPr>
        <w:t>Costo de intangibles</w:t>
      </w:r>
    </w:p>
    <w:p w14:paraId="499995BB" w14:textId="45493AA9" w:rsidR="00BC2FDF" w:rsidRPr="00415A22" w:rsidRDefault="00415A22" w:rsidP="00022793">
      <w:pPr>
        <w:spacing w:after="0"/>
        <w:jc w:val="both"/>
        <w:rPr>
          <w:sz w:val="24"/>
          <w:szCs w:val="24"/>
          <w:lang w:val="es-MX"/>
        </w:rPr>
      </w:pPr>
      <w:r w:rsidRPr="00415A22">
        <w:rPr>
          <w:b/>
          <w:bCs/>
          <w:sz w:val="24"/>
          <w:szCs w:val="24"/>
          <w:lang w:val="es-MX"/>
        </w:rPr>
        <w:t>Art. 210 -</w:t>
      </w:r>
      <w:r w:rsidRPr="00415A22">
        <w:rPr>
          <w:sz w:val="24"/>
          <w:szCs w:val="24"/>
          <w:lang w:val="es-MX"/>
        </w:rPr>
        <w:t xml:space="preserve"> En el caso de venta de bienes intangibles producidos por el vendedor, el costo computable estará dado por el importe de los gastos efectuados para su obtención en tanto no hubieren sido deducidos impositivamente. Tales gastos se actualizarán desde la fecha de realización hasta la fecha de venta.</w:t>
      </w:r>
    </w:p>
    <w:p w14:paraId="40823776" w14:textId="77777777" w:rsidR="00BC2FDF" w:rsidRDefault="00BC2FDF" w:rsidP="00022793">
      <w:pPr>
        <w:spacing w:after="0"/>
        <w:jc w:val="both"/>
        <w:rPr>
          <w:sz w:val="24"/>
          <w:szCs w:val="24"/>
          <w:lang w:val="es-AR"/>
        </w:rPr>
      </w:pPr>
    </w:p>
    <w:p w14:paraId="59792BE1" w14:textId="2F0DC896" w:rsidR="00F44D76" w:rsidRPr="00F44D76" w:rsidRDefault="00F44D76" w:rsidP="00022793">
      <w:pPr>
        <w:spacing w:after="0"/>
        <w:jc w:val="both"/>
        <w:rPr>
          <w:b/>
          <w:bCs/>
          <w:sz w:val="24"/>
          <w:szCs w:val="24"/>
          <w:lang w:val="es-AR"/>
        </w:rPr>
      </w:pPr>
      <w:r w:rsidRPr="00F44D76">
        <w:rPr>
          <w:b/>
          <w:bCs/>
          <w:sz w:val="24"/>
          <w:szCs w:val="24"/>
          <w:lang w:val="es-AR"/>
        </w:rPr>
        <w:t>Gastos de investigación, estudio y desarrollo</w:t>
      </w:r>
    </w:p>
    <w:p w14:paraId="4F41C8AF" w14:textId="1895348D" w:rsidR="00BC2FDF" w:rsidRDefault="00F44D76" w:rsidP="00022793">
      <w:pPr>
        <w:spacing w:after="0"/>
        <w:jc w:val="both"/>
        <w:rPr>
          <w:sz w:val="24"/>
          <w:szCs w:val="24"/>
          <w:lang w:val="es-AR"/>
        </w:rPr>
      </w:pPr>
      <w:r w:rsidRPr="00F44D76">
        <w:rPr>
          <w:b/>
          <w:bCs/>
          <w:sz w:val="24"/>
          <w:szCs w:val="24"/>
          <w:lang w:val="es-AR"/>
        </w:rPr>
        <w:t xml:space="preserve">Art. 220 - </w:t>
      </w:r>
      <w:r w:rsidRPr="00F44D76">
        <w:rPr>
          <w:sz w:val="24"/>
          <w:szCs w:val="24"/>
          <w:lang w:val="es-AR"/>
        </w:rPr>
        <w:t>Los gastos de investigación, estudio y desarrollo destinados a la obtención de intangibles, podrán deducirse en el ejercicio en que se devenguen o amortizarse en un plazo no mayor a cinco (5) años, a opción del contribuyente.</w:t>
      </w:r>
    </w:p>
    <w:p w14:paraId="20D0A9E7" w14:textId="77777777" w:rsidR="00F43B9B" w:rsidRDefault="00F43B9B" w:rsidP="00022793">
      <w:pPr>
        <w:spacing w:after="0"/>
        <w:jc w:val="both"/>
        <w:rPr>
          <w:sz w:val="24"/>
          <w:szCs w:val="24"/>
          <w:lang w:val="es-AR"/>
        </w:rPr>
      </w:pPr>
    </w:p>
    <w:p w14:paraId="45629BC6" w14:textId="77777777" w:rsidR="00C62865" w:rsidRDefault="00C62865" w:rsidP="00022793">
      <w:pPr>
        <w:spacing w:after="0"/>
        <w:jc w:val="both"/>
        <w:rPr>
          <w:b/>
          <w:bCs/>
          <w:sz w:val="24"/>
          <w:szCs w:val="24"/>
          <w:lang w:val="es-AR"/>
        </w:rPr>
      </w:pPr>
    </w:p>
    <w:p w14:paraId="2BCDBFBD" w14:textId="7B49482B" w:rsidR="00C62865" w:rsidRPr="00022793" w:rsidRDefault="00C62865" w:rsidP="00F43B9B">
      <w:pPr>
        <w:spacing w:after="0"/>
        <w:contextualSpacing/>
        <w:jc w:val="both"/>
        <w:rPr>
          <w:b/>
          <w:bCs/>
          <w:sz w:val="32"/>
          <w:szCs w:val="32"/>
          <w:lang w:val="es-AR"/>
        </w:rPr>
      </w:pPr>
      <w:r w:rsidRPr="00022793">
        <w:rPr>
          <w:b/>
          <w:bCs/>
          <w:sz w:val="32"/>
          <w:szCs w:val="32"/>
          <w:lang w:val="es-AR"/>
        </w:rPr>
        <w:t>Teoría.</w:t>
      </w:r>
    </w:p>
    <w:p w14:paraId="0D0828D9" w14:textId="2231314B" w:rsidR="005E19C0" w:rsidRPr="00C52026" w:rsidRDefault="00022793" w:rsidP="00F43B9B">
      <w:pPr>
        <w:spacing w:after="0"/>
        <w:contextualSpacing/>
        <w:jc w:val="both"/>
        <w:rPr>
          <w:b/>
          <w:bCs/>
          <w:sz w:val="24"/>
          <w:szCs w:val="24"/>
          <w:lang w:val="es-AR"/>
        </w:rPr>
      </w:pPr>
      <w:r w:rsidRPr="00C52026">
        <w:rPr>
          <w:sz w:val="24"/>
          <w:szCs w:val="24"/>
          <w:lang w:val="es-AR"/>
        </w:rPr>
        <w:t>La norma impositiva no define a los activos intangibles/ inmateriales, por lo que se debería entender a los mismos de acuerdo al concepto adoptado por las normas contables.</w:t>
      </w:r>
    </w:p>
    <w:p w14:paraId="388A4173" w14:textId="6FC298CE" w:rsidR="005E19C0" w:rsidRPr="00C52026" w:rsidRDefault="009B0A93" w:rsidP="00F43B9B">
      <w:pPr>
        <w:contextualSpacing/>
        <w:jc w:val="both"/>
        <w:rPr>
          <w:sz w:val="24"/>
          <w:szCs w:val="24"/>
          <w:lang w:val="es-AR"/>
        </w:rPr>
      </w:pPr>
      <w:r w:rsidRPr="00C52026">
        <w:rPr>
          <w:sz w:val="24"/>
          <w:szCs w:val="24"/>
          <w:lang w:val="es-AR"/>
        </w:rPr>
        <w:t>De acuerdo con la R</w:t>
      </w:r>
      <w:r w:rsidR="00F57F0B" w:rsidRPr="00C52026">
        <w:rPr>
          <w:sz w:val="24"/>
          <w:szCs w:val="24"/>
          <w:lang w:val="es-AR"/>
        </w:rPr>
        <w:t>.</w:t>
      </w:r>
      <w:r w:rsidRPr="00C52026">
        <w:rPr>
          <w:sz w:val="24"/>
          <w:szCs w:val="24"/>
          <w:lang w:val="es-AR"/>
        </w:rPr>
        <w:t>T</w:t>
      </w:r>
      <w:r w:rsidR="00F57F0B" w:rsidRPr="00C52026">
        <w:rPr>
          <w:sz w:val="24"/>
          <w:szCs w:val="24"/>
          <w:lang w:val="es-AR"/>
        </w:rPr>
        <w:t>.</w:t>
      </w:r>
      <w:r w:rsidRPr="00C52026">
        <w:rPr>
          <w:sz w:val="24"/>
          <w:szCs w:val="24"/>
          <w:lang w:val="es-AR"/>
        </w:rPr>
        <w:t xml:space="preserve"> 9, modificada por la R</w:t>
      </w:r>
      <w:r w:rsidR="00F57F0B" w:rsidRPr="00C52026">
        <w:rPr>
          <w:sz w:val="24"/>
          <w:szCs w:val="24"/>
          <w:lang w:val="es-AR"/>
        </w:rPr>
        <w:t>.</w:t>
      </w:r>
      <w:r w:rsidRPr="00C52026">
        <w:rPr>
          <w:sz w:val="24"/>
          <w:szCs w:val="24"/>
          <w:lang w:val="es-AR"/>
        </w:rPr>
        <w:t>T</w:t>
      </w:r>
      <w:r w:rsidR="00F57F0B" w:rsidRPr="00C52026">
        <w:rPr>
          <w:sz w:val="24"/>
          <w:szCs w:val="24"/>
          <w:lang w:val="es-AR"/>
        </w:rPr>
        <w:t>.</w:t>
      </w:r>
      <w:r w:rsidRPr="00C52026">
        <w:rPr>
          <w:sz w:val="24"/>
          <w:szCs w:val="24"/>
          <w:lang w:val="es-AR"/>
        </w:rPr>
        <w:t xml:space="preserve"> 19, los bienes intangibles son los representativos de franquicias, privilegios u otros similares, incluyendo los anticipos por su adquisición, que no son bienes tangibles ni derechos contra terceros, y que expresan un valor cuya existencia depende de la posibilidad futura de producir ingresos.</w:t>
      </w:r>
    </w:p>
    <w:p w14:paraId="2335CC10" w14:textId="77777777" w:rsidR="009B0A93" w:rsidRPr="00C52026" w:rsidRDefault="009B0A93" w:rsidP="00F43B9B">
      <w:pPr>
        <w:contextualSpacing/>
        <w:jc w:val="both"/>
        <w:rPr>
          <w:sz w:val="24"/>
          <w:szCs w:val="24"/>
          <w:lang w:val="es-AR"/>
        </w:rPr>
      </w:pPr>
    </w:p>
    <w:p w14:paraId="4219DBE7" w14:textId="6096EC10" w:rsidR="009B0A93" w:rsidRPr="00C52026" w:rsidRDefault="009B0A93" w:rsidP="00F43B9B">
      <w:pPr>
        <w:contextualSpacing/>
        <w:jc w:val="both"/>
        <w:rPr>
          <w:b/>
          <w:bCs/>
          <w:sz w:val="24"/>
          <w:szCs w:val="24"/>
          <w:lang w:val="es-AR"/>
        </w:rPr>
      </w:pPr>
      <w:r w:rsidRPr="00C52026">
        <w:rPr>
          <w:b/>
          <w:bCs/>
          <w:sz w:val="24"/>
          <w:szCs w:val="24"/>
          <w:lang w:val="es-AR"/>
        </w:rPr>
        <w:t>Tipos de Bienes intangibles</w:t>
      </w:r>
    </w:p>
    <w:tbl>
      <w:tblPr>
        <w:tblStyle w:val="TableGrid"/>
        <w:tblW w:w="9476" w:type="dxa"/>
        <w:tblLook w:val="04A0" w:firstRow="1" w:lastRow="0" w:firstColumn="1" w:lastColumn="0" w:noHBand="0" w:noVBand="1"/>
      </w:tblPr>
      <w:tblGrid>
        <w:gridCol w:w="4738"/>
        <w:gridCol w:w="4738"/>
      </w:tblGrid>
      <w:tr w:rsidR="009B0A93" w:rsidRPr="00C52026" w14:paraId="369C74A4" w14:textId="77777777" w:rsidTr="00A567F5">
        <w:trPr>
          <w:trHeight w:val="482"/>
        </w:trPr>
        <w:tc>
          <w:tcPr>
            <w:tcW w:w="4738" w:type="dxa"/>
          </w:tcPr>
          <w:p w14:paraId="0BAA004D" w14:textId="31BBE828" w:rsidR="009B0A93" w:rsidRPr="00C52026" w:rsidRDefault="009B0A93" w:rsidP="00F43B9B">
            <w:pPr>
              <w:contextualSpacing/>
              <w:jc w:val="center"/>
              <w:rPr>
                <w:sz w:val="24"/>
                <w:szCs w:val="24"/>
                <w:lang w:val="es-AR"/>
              </w:rPr>
            </w:pPr>
            <w:r w:rsidRPr="00C52026">
              <w:rPr>
                <w:sz w:val="24"/>
                <w:szCs w:val="24"/>
                <w:lang w:val="es-AR"/>
              </w:rPr>
              <w:t>Bienes inmateriales</w:t>
            </w:r>
          </w:p>
        </w:tc>
        <w:tc>
          <w:tcPr>
            <w:tcW w:w="4738" w:type="dxa"/>
          </w:tcPr>
          <w:p w14:paraId="13DA3E80" w14:textId="4D32AB93" w:rsidR="009B0A93" w:rsidRPr="00C52026" w:rsidRDefault="009B0A93" w:rsidP="00F43B9B">
            <w:pPr>
              <w:contextualSpacing/>
              <w:jc w:val="center"/>
              <w:rPr>
                <w:sz w:val="24"/>
                <w:szCs w:val="24"/>
                <w:lang w:val="es-AR"/>
              </w:rPr>
            </w:pPr>
            <w:r w:rsidRPr="00C52026">
              <w:rPr>
                <w:sz w:val="24"/>
                <w:szCs w:val="24"/>
                <w:lang w:val="es-AR"/>
              </w:rPr>
              <w:t>Costos diferidos</w:t>
            </w:r>
          </w:p>
        </w:tc>
      </w:tr>
      <w:tr w:rsidR="009B0A93" w:rsidRPr="00C52026" w14:paraId="30E585C0" w14:textId="77777777" w:rsidTr="00A567F5">
        <w:trPr>
          <w:trHeight w:val="1715"/>
        </w:trPr>
        <w:tc>
          <w:tcPr>
            <w:tcW w:w="4738" w:type="dxa"/>
          </w:tcPr>
          <w:p w14:paraId="2B337DA3" w14:textId="6946374C" w:rsidR="009B0A93" w:rsidRPr="00C52026" w:rsidRDefault="00A567F5" w:rsidP="00F43B9B">
            <w:pPr>
              <w:contextualSpacing/>
              <w:jc w:val="both"/>
              <w:rPr>
                <w:sz w:val="24"/>
                <w:szCs w:val="24"/>
                <w:lang w:val="es-AR"/>
              </w:rPr>
            </w:pPr>
            <w:r w:rsidRPr="00C52026">
              <w:rPr>
                <w:sz w:val="24"/>
                <w:szCs w:val="24"/>
                <w:lang w:val="es-AR"/>
              </w:rPr>
              <w:br/>
              <w:t>Aquellos bienes que pueden tener, o no, vida útil definida, tales como marcas, patentes, y derechos de propiedad intelectual, entre otros.</w:t>
            </w:r>
          </w:p>
        </w:tc>
        <w:tc>
          <w:tcPr>
            <w:tcW w:w="4738" w:type="dxa"/>
          </w:tcPr>
          <w:p w14:paraId="7167A9AF" w14:textId="66C33146" w:rsidR="009B0A93" w:rsidRPr="00C52026" w:rsidRDefault="00A567F5" w:rsidP="00F43B9B">
            <w:pPr>
              <w:contextualSpacing/>
              <w:jc w:val="both"/>
              <w:rPr>
                <w:sz w:val="24"/>
                <w:szCs w:val="24"/>
                <w:lang w:val="es-AR"/>
              </w:rPr>
            </w:pPr>
            <w:r w:rsidRPr="00C52026">
              <w:rPr>
                <w:sz w:val="24"/>
                <w:szCs w:val="24"/>
                <w:lang w:val="es-AR"/>
              </w:rPr>
              <w:br/>
              <w:t>Aquellos gastos que puedan generar un beneficio económico a futuro, tales como gastos de constitución, gastos de estudio, investigación y desarrollo, gastos de publicidad, entre otros. No incluye gastos pagados por adelantado ni gastos financieros.</w:t>
            </w:r>
            <w:r w:rsidRPr="00C52026">
              <w:rPr>
                <w:sz w:val="24"/>
                <w:szCs w:val="24"/>
                <w:lang w:val="es-AR"/>
              </w:rPr>
              <w:br/>
            </w:r>
          </w:p>
        </w:tc>
      </w:tr>
    </w:tbl>
    <w:p w14:paraId="19E79435" w14:textId="77777777" w:rsidR="009B0A93" w:rsidRPr="00C52026" w:rsidRDefault="009B0A93" w:rsidP="00F43B9B">
      <w:pPr>
        <w:contextualSpacing/>
        <w:jc w:val="both"/>
        <w:rPr>
          <w:sz w:val="24"/>
          <w:szCs w:val="24"/>
          <w:lang w:val="es-AR"/>
        </w:rPr>
      </w:pPr>
    </w:p>
    <w:p w14:paraId="19060848" w14:textId="7222C370" w:rsidR="00A567F5" w:rsidRPr="00C52026" w:rsidRDefault="00F95212" w:rsidP="00F43B9B">
      <w:pPr>
        <w:contextualSpacing/>
        <w:jc w:val="both"/>
        <w:rPr>
          <w:b/>
          <w:bCs/>
          <w:sz w:val="24"/>
          <w:szCs w:val="24"/>
          <w:lang w:val="es-AR"/>
        </w:rPr>
      </w:pPr>
      <w:r w:rsidRPr="00C52026">
        <w:rPr>
          <w:sz w:val="24"/>
          <w:szCs w:val="24"/>
          <w:lang w:val="es-AR"/>
        </w:rPr>
        <w:t xml:space="preserve"> </w:t>
      </w:r>
      <w:r w:rsidR="00EA5B59" w:rsidRPr="00C52026">
        <w:rPr>
          <w:b/>
          <w:bCs/>
          <w:sz w:val="24"/>
          <w:szCs w:val="24"/>
          <w:lang w:val="es-AR"/>
        </w:rPr>
        <w:t>Tipos de c</w:t>
      </w:r>
      <w:r w:rsidRPr="00C52026">
        <w:rPr>
          <w:b/>
          <w:bCs/>
          <w:sz w:val="24"/>
          <w:szCs w:val="24"/>
          <w:lang w:val="es-AR"/>
        </w:rPr>
        <w:t>ostos diferidos</w:t>
      </w:r>
    </w:p>
    <w:tbl>
      <w:tblPr>
        <w:tblStyle w:val="TableGrid"/>
        <w:tblW w:w="0" w:type="auto"/>
        <w:tblLook w:val="04A0" w:firstRow="1" w:lastRow="0" w:firstColumn="1" w:lastColumn="0" w:noHBand="0" w:noVBand="1"/>
      </w:tblPr>
      <w:tblGrid>
        <w:gridCol w:w="4675"/>
        <w:gridCol w:w="4675"/>
      </w:tblGrid>
      <w:tr w:rsidR="00F95212" w:rsidRPr="00C52026" w14:paraId="45586A4C" w14:textId="77777777" w:rsidTr="00F95212">
        <w:tc>
          <w:tcPr>
            <w:tcW w:w="4675" w:type="dxa"/>
          </w:tcPr>
          <w:p w14:paraId="3E237FBA" w14:textId="3B36E686" w:rsidR="00F95212" w:rsidRPr="00C52026" w:rsidRDefault="00F95212" w:rsidP="00F43B9B">
            <w:pPr>
              <w:contextualSpacing/>
              <w:jc w:val="center"/>
              <w:rPr>
                <w:sz w:val="24"/>
                <w:szCs w:val="24"/>
                <w:lang w:val="es-AR"/>
              </w:rPr>
            </w:pPr>
            <w:r w:rsidRPr="00C52026">
              <w:rPr>
                <w:sz w:val="24"/>
                <w:szCs w:val="24"/>
                <w:lang w:val="es-AR"/>
              </w:rPr>
              <w:t>Costos de organización</w:t>
            </w:r>
          </w:p>
        </w:tc>
        <w:tc>
          <w:tcPr>
            <w:tcW w:w="4675" w:type="dxa"/>
          </w:tcPr>
          <w:p w14:paraId="72E7E566" w14:textId="7D5C7388" w:rsidR="00F95212" w:rsidRPr="00C52026" w:rsidRDefault="00F95212" w:rsidP="00F43B9B">
            <w:pPr>
              <w:contextualSpacing/>
              <w:jc w:val="center"/>
              <w:rPr>
                <w:sz w:val="24"/>
                <w:szCs w:val="24"/>
                <w:lang w:val="es-AR"/>
              </w:rPr>
            </w:pPr>
            <w:r w:rsidRPr="00C52026">
              <w:rPr>
                <w:sz w:val="24"/>
                <w:szCs w:val="24"/>
                <w:lang w:val="es-AR"/>
              </w:rPr>
              <w:t>Costos preoperativos</w:t>
            </w:r>
          </w:p>
        </w:tc>
      </w:tr>
      <w:tr w:rsidR="00F95212" w:rsidRPr="001A19D9" w14:paraId="4ADF47A1" w14:textId="77777777" w:rsidTr="00F95212">
        <w:tc>
          <w:tcPr>
            <w:tcW w:w="4675" w:type="dxa"/>
          </w:tcPr>
          <w:p w14:paraId="6BF2C358" w14:textId="66BF13E1" w:rsidR="00F95212" w:rsidRPr="00C52026" w:rsidRDefault="00F95212" w:rsidP="00F43B9B">
            <w:pPr>
              <w:contextualSpacing/>
              <w:jc w:val="both"/>
              <w:rPr>
                <w:sz w:val="24"/>
                <w:szCs w:val="24"/>
                <w:lang w:val="es-AR"/>
              </w:rPr>
            </w:pPr>
            <w:r w:rsidRPr="00C52026">
              <w:rPr>
                <w:sz w:val="24"/>
                <w:szCs w:val="24"/>
                <w:lang w:val="es-AR"/>
              </w:rPr>
              <w:br/>
              <w:t>Aquellos costos que son para lograr la constitución de un nuevo ente y darle existencia</w:t>
            </w:r>
            <w:r w:rsidR="00C52026" w:rsidRPr="00C52026">
              <w:rPr>
                <w:sz w:val="24"/>
                <w:szCs w:val="24"/>
                <w:lang w:val="es-AR"/>
              </w:rPr>
              <w:t xml:space="preserve"> </w:t>
            </w:r>
            <w:r w:rsidRPr="00C52026">
              <w:rPr>
                <w:sz w:val="24"/>
                <w:szCs w:val="24"/>
                <w:lang w:val="es-AR"/>
              </w:rPr>
              <w:t>legal.</w:t>
            </w:r>
            <w:r w:rsidRPr="00C52026">
              <w:rPr>
                <w:sz w:val="24"/>
                <w:szCs w:val="24"/>
                <w:lang w:val="es-AR"/>
              </w:rPr>
              <w:br/>
            </w:r>
          </w:p>
        </w:tc>
        <w:tc>
          <w:tcPr>
            <w:tcW w:w="4675" w:type="dxa"/>
          </w:tcPr>
          <w:p w14:paraId="5B3CE9B9" w14:textId="16770F1A" w:rsidR="00F95212" w:rsidRPr="00C52026" w:rsidRDefault="00F95212" w:rsidP="00F43B9B">
            <w:pPr>
              <w:contextualSpacing/>
              <w:jc w:val="both"/>
              <w:rPr>
                <w:sz w:val="24"/>
                <w:szCs w:val="24"/>
                <w:lang w:val="es-AR"/>
              </w:rPr>
            </w:pPr>
            <w:r w:rsidRPr="00C52026">
              <w:rPr>
                <w:sz w:val="24"/>
                <w:szCs w:val="24"/>
                <w:lang w:val="es-AR"/>
              </w:rPr>
              <w:br/>
              <w:t>Aquellos costos que un nuevo ente o un ente existente deban incurrir en forma previa al inicio de una nueva actividad u operación.</w:t>
            </w:r>
            <w:r w:rsidRPr="00C52026">
              <w:rPr>
                <w:sz w:val="24"/>
                <w:szCs w:val="24"/>
                <w:lang w:val="es-AR"/>
              </w:rPr>
              <w:br/>
            </w:r>
          </w:p>
        </w:tc>
      </w:tr>
    </w:tbl>
    <w:p w14:paraId="3357BD5C" w14:textId="77777777" w:rsidR="00F95212" w:rsidRPr="00C52026" w:rsidRDefault="00F95212" w:rsidP="00F43B9B">
      <w:pPr>
        <w:contextualSpacing/>
        <w:jc w:val="both"/>
        <w:rPr>
          <w:sz w:val="24"/>
          <w:szCs w:val="24"/>
          <w:lang w:val="es-AR"/>
        </w:rPr>
      </w:pPr>
    </w:p>
    <w:p w14:paraId="5861D177" w14:textId="218379C3" w:rsidR="00EA5B59" w:rsidRDefault="00F95212" w:rsidP="00F43B9B">
      <w:pPr>
        <w:contextualSpacing/>
        <w:jc w:val="both"/>
        <w:rPr>
          <w:sz w:val="24"/>
          <w:szCs w:val="24"/>
          <w:lang w:val="es-AR"/>
        </w:rPr>
      </w:pPr>
      <w:r w:rsidRPr="00C52026">
        <w:rPr>
          <w:sz w:val="24"/>
          <w:szCs w:val="24"/>
          <w:lang w:val="es-AR"/>
        </w:rPr>
        <w:t xml:space="preserve">Los </w:t>
      </w:r>
      <w:r w:rsidRPr="00C52026">
        <w:rPr>
          <w:b/>
          <w:bCs/>
          <w:sz w:val="24"/>
          <w:szCs w:val="24"/>
          <w:lang w:val="es-AR"/>
        </w:rPr>
        <w:t>costos preoperativos</w:t>
      </w:r>
      <w:r w:rsidRPr="00C52026">
        <w:rPr>
          <w:sz w:val="24"/>
          <w:szCs w:val="24"/>
          <w:lang w:val="es-AR"/>
        </w:rPr>
        <w:t xml:space="preserve"> </w:t>
      </w:r>
      <w:r w:rsidR="00EA5B59" w:rsidRPr="00C52026">
        <w:rPr>
          <w:sz w:val="24"/>
          <w:szCs w:val="24"/>
          <w:lang w:val="es-AR"/>
        </w:rPr>
        <w:t xml:space="preserve">son costos directos atribuibles a la nueva actividad u operación y claramente incrementales respecto de los costos del ente si la nueva actividad u operación no se hubiera desarrollado. No corresponde incluir dentro de ellos las erogaciones efectuadas como un componente del costo de los bienes de uso. </w:t>
      </w:r>
    </w:p>
    <w:p w14:paraId="2785F8C0" w14:textId="77777777" w:rsidR="00C52026" w:rsidRDefault="00C52026" w:rsidP="00F43B9B">
      <w:pPr>
        <w:contextualSpacing/>
        <w:jc w:val="both"/>
        <w:rPr>
          <w:sz w:val="24"/>
          <w:szCs w:val="24"/>
          <w:lang w:val="es-AR"/>
        </w:rPr>
      </w:pPr>
    </w:p>
    <w:p w14:paraId="5085E503" w14:textId="77777777" w:rsidR="00C52026" w:rsidRDefault="00C52026" w:rsidP="00F43B9B">
      <w:pPr>
        <w:contextualSpacing/>
        <w:jc w:val="both"/>
        <w:rPr>
          <w:sz w:val="24"/>
          <w:szCs w:val="24"/>
          <w:lang w:val="es-AR"/>
        </w:rPr>
      </w:pPr>
    </w:p>
    <w:p w14:paraId="59D3B322" w14:textId="3FD6541C" w:rsidR="00EA5B59" w:rsidRPr="00F43B9B" w:rsidRDefault="00EA5B59" w:rsidP="00F43B9B">
      <w:pPr>
        <w:contextualSpacing/>
        <w:jc w:val="both"/>
        <w:rPr>
          <w:b/>
          <w:bCs/>
          <w:sz w:val="24"/>
          <w:szCs w:val="24"/>
          <w:lang w:val="es-AR"/>
        </w:rPr>
      </w:pPr>
      <w:r w:rsidRPr="00F43B9B">
        <w:rPr>
          <w:b/>
          <w:bCs/>
          <w:sz w:val="24"/>
          <w:szCs w:val="24"/>
          <w:lang w:val="es-AR"/>
        </w:rPr>
        <w:t xml:space="preserve">Valor Llave </w:t>
      </w:r>
    </w:p>
    <w:p w14:paraId="0157FD7D" w14:textId="154AC321" w:rsidR="00EA5B59" w:rsidRDefault="00EA5B59" w:rsidP="00F43B9B">
      <w:pPr>
        <w:contextualSpacing/>
        <w:jc w:val="both"/>
        <w:rPr>
          <w:sz w:val="24"/>
          <w:szCs w:val="24"/>
          <w:lang w:val="es-AR"/>
        </w:rPr>
      </w:pPr>
      <w:r w:rsidRPr="00F43B9B">
        <w:rPr>
          <w:sz w:val="24"/>
          <w:szCs w:val="24"/>
          <w:lang w:val="es-AR"/>
        </w:rPr>
        <w:t>Se considera "llave" en términos legales a un conjunto de circunstancias relacionadas con la fama, crédito, prestigio o factores imponderables, que no pueden entrar en el balance comercial, pero deben apreciarse al momento de transferir un fondo de comercio.</w:t>
      </w:r>
    </w:p>
    <w:p w14:paraId="69E8EC80" w14:textId="77777777" w:rsidR="00F43B9B" w:rsidRPr="00F43B9B" w:rsidRDefault="00F43B9B" w:rsidP="00F43B9B">
      <w:pPr>
        <w:contextualSpacing/>
        <w:jc w:val="both"/>
        <w:rPr>
          <w:sz w:val="24"/>
          <w:szCs w:val="24"/>
          <w:lang w:val="es-AR"/>
        </w:rPr>
      </w:pPr>
    </w:p>
    <w:p w14:paraId="5C429D83" w14:textId="43A168F5" w:rsidR="00EA5B59" w:rsidRPr="00F43B9B" w:rsidRDefault="00EA5B59" w:rsidP="00F43B9B">
      <w:pPr>
        <w:contextualSpacing/>
        <w:jc w:val="both"/>
        <w:rPr>
          <w:b/>
          <w:bCs/>
          <w:sz w:val="24"/>
          <w:szCs w:val="24"/>
          <w:lang w:val="es-AR"/>
        </w:rPr>
      </w:pPr>
      <w:r w:rsidRPr="00F43B9B">
        <w:rPr>
          <w:b/>
          <w:bCs/>
          <w:sz w:val="24"/>
          <w:szCs w:val="24"/>
          <w:lang w:val="es-AR"/>
        </w:rPr>
        <w:t>¿Cuándo debe ser reconocido</w:t>
      </w:r>
      <w:r w:rsidR="00F43B9B">
        <w:rPr>
          <w:b/>
          <w:bCs/>
          <w:sz w:val="24"/>
          <w:szCs w:val="24"/>
          <w:lang w:val="es-AR"/>
        </w:rPr>
        <w:t xml:space="preserve"> contablemente</w:t>
      </w:r>
      <w:r w:rsidRPr="00F43B9B">
        <w:rPr>
          <w:b/>
          <w:bCs/>
          <w:sz w:val="24"/>
          <w:szCs w:val="24"/>
          <w:lang w:val="es-AR"/>
        </w:rPr>
        <w:t>?</w:t>
      </w:r>
    </w:p>
    <w:p w14:paraId="74A17F0E" w14:textId="47788A4C" w:rsidR="00EA5B59" w:rsidRPr="00F43B9B" w:rsidRDefault="00EA5B59" w:rsidP="00F43B9B">
      <w:pPr>
        <w:contextualSpacing/>
        <w:jc w:val="both"/>
        <w:rPr>
          <w:sz w:val="24"/>
          <w:szCs w:val="24"/>
          <w:lang w:val="es-AR"/>
        </w:rPr>
      </w:pPr>
      <w:r w:rsidRPr="00F43B9B">
        <w:rPr>
          <w:sz w:val="24"/>
          <w:szCs w:val="24"/>
          <w:lang w:val="es-AR"/>
        </w:rPr>
        <w:t>Según la R</w:t>
      </w:r>
      <w:r w:rsidR="00F57F0B" w:rsidRPr="00F43B9B">
        <w:rPr>
          <w:sz w:val="24"/>
          <w:szCs w:val="24"/>
          <w:lang w:val="es-AR"/>
        </w:rPr>
        <w:t>.</w:t>
      </w:r>
      <w:r w:rsidRPr="00F43B9B">
        <w:rPr>
          <w:sz w:val="24"/>
          <w:szCs w:val="24"/>
          <w:lang w:val="es-AR"/>
        </w:rPr>
        <w:t>T</w:t>
      </w:r>
      <w:r w:rsidR="00F57F0B" w:rsidRPr="00F43B9B">
        <w:rPr>
          <w:sz w:val="24"/>
          <w:szCs w:val="24"/>
          <w:lang w:val="es-AR"/>
        </w:rPr>
        <w:t>.</w:t>
      </w:r>
      <w:r w:rsidRPr="00F43B9B">
        <w:rPr>
          <w:sz w:val="24"/>
          <w:szCs w:val="24"/>
          <w:lang w:val="es-AR"/>
        </w:rPr>
        <w:t xml:space="preserve"> 18, el valor llave debe ser reconocido cuando existan diferencias entre el valor pagado y el contable de:</w:t>
      </w:r>
    </w:p>
    <w:p w14:paraId="706E6996" w14:textId="7A53BCC5" w:rsidR="00EA5B59" w:rsidRPr="00F43B9B" w:rsidRDefault="00EA5B59" w:rsidP="00F43B9B">
      <w:pPr>
        <w:pStyle w:val="ListParagraph"/>
        <w:numPr>
          <w:ilvl w:val="0"/>
          <w:numId w:val="1"/>
        </w:numPr>
        <w:jc w:val="both"/>
        <w:rPr>
          <w:sz w:val="24"/>
          <w:szCs w:val="24"/>
          <w:lang w:val="es-AR"/>
        </w:rPr>
      </w:pPr>
      <w:r w:rsidRPr="00F43B9B">
        <w:rPr>
          <w:sz w:val="24"/>
          <w:szCs w:val="24"/>
          <w:lang w:val="es-AR"/>
        </w:rPr>
        <w:t>Cada uno de los activos y pasivos involucrados en una transacción de combinación de negocios.</w:t>
      </w:r>
    </w:p>
    <w:p w14:paraId="1B6F6B6D" w14:textId="588405D8" w:rsidR="00EA5B59" w:rsidRPr="00F43B9B" w:rsidRDefault="00EA5B59" w:rsidP="00F43B9B">
      <w:pPr>
        <w:pStyle w:val="ListParagraph"/>
        <w:numPr>
          <w:ilvl w:val="0"/>
          <w:numId w:val="1"/>
        </w:numPr>
        <w:jc w:val="both"/>
        <w:rPr>
          <w:sz w:val="24"/>
          <w:szCs w:val="24"/>
          <w:lang w:val="es-AR"/>
        </w:rPr>
      </w:pPr>
      <w:r w:rsidRPr="00F43B9B">
        <w:rPr>
          <w:sz w:val="24"/>
          <w:szCs w:val="24"/>
          <w:lang w:val="es-AR"/>
        </w:rPr>
        <w:t>El porcentual de patrimonio neto de la empresa adquirida.</w:t>
      </w:r>
    </w:p>
    <w:p w14:paraId="21AF1B10" w14:textId="0807551B" w:rsidR="00083DEA" w:rsidRPr="00F43B9B" w:rsidRDefault="00083DEA" w:rsidP="00F43B9B">
      <w:pPr>
        <w:contextualSpacing/>
        <w:jc w:val="both"/>
        <w:rPr>
          <w:sz w:val="24"/>
          <w:szCs w:val="24"/>
          <w:lang w:val="es-AR"/>
        </w:rPr>
      </w:pPr>
      <w:r w:rsidRPr="00F43B9B">
        <w:rPr>
          <w:sz w:val="24"/>
          <w:szCs w:val="24"/>
          <w:lang w:val="es-AR"/>
        </w:rPr>
        <w:t>Cabe recalcar que no se reconocerán la llave autogenerada ni los cambios en el valor de la llave adquirida que fueren causados por el accionar de la administración del ente o por hechos del contexto.</w:t>
      </w:r>
    </w:p>
    <w:p w14:paraId="5D417AD5" w14:textId="77777777" w:rsidR="008A01C9" w:rsidRPr="00F43B9B" w:rsidRDefault="008A01C9" w:rsidP="00F43B9B">
      <w:pPr>
        <w:contextualSpacing/>
        <w:jc w:val="both"/>
        <w:rPr>
          <w:sz w:val="24"/>
          <w:szCs w:val="24"/>
          <w:lang w:val="es-AR"/>
        </w:rPr>
      </w:pPr>
    </w:p>
    <w:p w14:paraId="474792AB" w14:textId="37D46E30" w:rsidR="004A1002" w:rsidRPr="00F43B9B" w:rsidRDefault="00F43B9B" w:rsidP="00F43B9B">
      <w:pPr>
        <w:contextualSpacing/>
        <w:jc w:val="both"/>
        <w:rPr>
          <w:sz w:val="24"/>
          <w:szCs w:val="24"/>
          <w:lang w:val="es-AR"/>
        </w:rPr>
      </w:pPr>
      <w:r w:rsidRPr="00F43B9B">
        <w:rPr>
          <w:sz w:val="24"/>
          <w:szCs w:val="24"/>
          <w:lang w:val="es-AR"/>
        </w:rPr>
        <w:t xml:space="preserve">Los </w:t>
      </w:r>
      <w:r>
        <w:rPr>
          <w:sz w:val="24"/>
          <w:szCs w:val="24"/>
          <w:lang w:val="es-AR"/>
        </w:rPr>
        <w:t xml:space="preserve">bienes </w:t>
      </w:r>
      <w:r w:rsidRPr="00F43B9B">
        <w:rPr>
          <w:sz w:val="24"/>
          <w:szCs w:val="24"/>
          <w:lang w:val="es-AR"/>
        </w:rPr>
        <w:t xml:space="preserve">intangibles </w:t>
      </w:r>
      <w:r>
        <w:rPr>
          <w:sz w:val="24"/>
          <w:szCs w:val="24"/>
          <w:lang w:val="es-AR"/>
        </w:rPr>
        <w:t>s</w:t>
      </w:r>
      <w:r w:rsidR="008A01C9" w:rsidRPr="00F43B9B">
        <w:rPr>
          <w:sz w:val="24"/>
          <w:szCs w:val="24"/>
          <w:lang w:val="es-AR"/>
        </w:rPr>
        <w:t xml:space="preserve">e van a reconocer contablemente cuando pueda demostrarse capacidad para generar beneficios futuros y se pueda determinar el costo sobre bases contables (reales). </w:t>
      </w:r>
    </w:p>
    <w:p w14:paraId="67B341D8" w14:textId="77777777" w:rsidR="004A1002" w:rsidRPr="00F43B9B" w:rsidRDefault="004A1002" w:rsidP="00F43B9B">
      <w:pPr>
        <w:contextualSpacing/>
        <w:jc w:val="both"/>
        <w:rPr>
          <w:sz w:val="24"/>
          <w:szCs w:val="24"/>
          <w:lang w:val="es-AR"/>
        </w:rPr>
      </w:pPr>
    </w:p>
    <w:p w14:paraId="3552EE26" w14:textId="063B44C1" w:rsidR="00F43B9B" w:rsidRPr="00F43B9B" w:rsidRDefault="008A4EB6" w:rsidP="00F43B9B">
      <w:pPr>
        <w:contextualSpacing/>
        <w:jc w:val="both"/>
        <w:rPr>
          <w:b/>
          <w:bCs/>
          <w:sz w:val="24"/>
          <w:szCs w:val="24"/>
          <w:lang w:val="es-AR"/>
        </w:rPr>
      </w:pPr>
      <w:r w:rsidRPr="00F43B9B">
        <w:rPr>
          <w:b/>
          <w:bCs/>
          <w:sz w:val="24"/>
          <w:szCs w:val="24"/>
          <w:lang w:val="es-AR"/>
        </w:rPr>
        <w:t>Valuación</w:t>
      </w:r>
      <w:r w:rsidR="004A1002" w:rsidRPr="00F43B9B">
        <w:rPr>
          <w:b/>
          <w:bCs/>
          <w:sz w:val="24"/>
          <w:szCs w:val="24"/>
          <w:lang w:val="es-AR"/>
        </w:rPr>
        <w:t xml:space="preserve"> </w:t>
      </w:r>
      <w:r w:rsidRPr="00F43B9B">
        <w:rPr>
          <w:b/>
          <w:bCs/>
          <w:sz w:val="24"/>
          <w:szCs w:val="24"/>
          <w:lang w:val="es-AR"/>
        </w:rPr>
        <w:t>contable</w:t>
      </w:r>
      <w:r w:rsidR="004A1002" w:rsidRPr="00F43B9B">
        <w:rPr>
          <w:b/>
          <w:bCs/>
          <w:sz w:val="24"/>
          <w:szCs w:val="24"/>
          <w:lang w:val="es-AR"/>
        </w:rPr>
        <w:t xml:space="preserve"> y valuación </w:t>
      </w:r>
      <w:r w:rsidRPr="00F43B9B">
        <w:rPr>
          <w:b/>
          <w:bCs/>
          <w:sz w:val="24"/>
          <w:szCs w:val="24"/>
          <w:lang w:val="es-AR"/>
        </w:rPr>
        <w:t>impositiva</w:t>
      </w:r>
    </w:p>
    <w:tbl>
      <w:tblPr>
        <w:tblStyle w:val="TableGrid"/>
        <w:tblW w:w="0" w:type="auto"/>
        <w:tblLook w:val="04A0" w:firstRow="1" w:lastRow="0" w:firstColumn="1" w:lastColumn="0" w:noHBand="0" w:noVBand="1"/>
      </w:tblPr>
      <w:tblGrid>
        <w:gridCol w:w="4635"/>
        <w:gridCol w:w="4635"/>
      </w:tblGrid>
      <w:tr w:rsidR="004A1002" w:rsidRPr="00F43B9B" w14:paraId="19DA3959" w14:textId="77777777" w:rsidTr="004A1002">
        <w:trPr>
          <w:trHeight w:val="466"/>
        </w:trPr>
        <w:tc>
          <w:tcPr>
            <w:tcW w:w="4635" w:type="dxa"/>
          </w:tcPr>
          <w:p w14:paraId="6B328E3A" w14:textId="731DB92D" w:rsidR="004A1002" w:rsidRPr="00F43B9B" w:rsidRDefault="004A1002" w:rsidP="00F43B9B">
            <w:pPr>
              <w:contextualSpacing/>
              <w:jc w:val="center"/>
              <w:rPr>
                <w:b/>
                <w:bCs/>
                <w:sz w:val="24"/>
                <w:szCs w:val="24"/>
                <w:lang w:val="es-AR"/>
              </w:rPr>
            </w:pPr>
            <w:r w:rsidRPr="00F43B9B">
              <w:rPr>
                <w:b/>
                <w:bCs/>
                <w:sz w:val="24"/>
                <w:szCs w:val="24"/>
                <w:lang w:val="es-AR"/>
              </w:rPr>
              <w:t>Valuación Contable</w:t>
            </w:r>
          </w:p>
        </w:tc>
        <w:tc>
          <w:tcPr>
            <w:tcW w:w="4635" w:type="dxa"/>
          </w:tcPr>
          <w:p w14:paraId="0D8747CD" w14:textId="4B56EBE5" w:rsidR="004A1002" w:rsidRPr="00F43B9B" w:rsidRDefault="004A1002" w:rsidP="00F43B9B">
            <w:pPr>
              <w:contextualSpacing/>
              <w:jc w:val="center"/>
              <w:rPr>
                <w:b/>
                <w:bCs/>
                <w:sz w:val="24"/>
                <w:szCs w:val="24"/>
                <w:lang w:val="es-AR"/>
              </w:rPr>
            </w:pPr>
            <w:r w:rsidRPr="00F43B9B">
              <w:rPr>
                <w:b/>
                <w:bCs/>
                <w:sz w:val="24"/>
                <w:szCs w:val="24"/>
                <w:lang w:val="es-AR"/>
              </w:rPr>
              <w:t>Valuación impositiva</w:t>
            </w:r>
          </w:p>
        </w:tc>
      </w:tr>
      <w:tr w:rsidR="004A1002" w:rsidRPr="001A19D9" w14:paraId="6A312CD5" w14:textId="77777777" w:rsidTr="004A1002">
        <w:trPr>
          <w:trHeight w:val="1307"/>
        </w:trPr>
        <w:tc>
          <w:tcPr>
            <w:tcW w:w="4635" w:type="dxa"/>
          </w:tcPr>
          <w:p w14:paraId="63D6D5CF" w14:textId="21F0EF19" w:rsidR="004A1002" w:rsidRPr="00F43B9B" w:rsidRDefault="004A1002" w:rsidP="00F43B9B">
            <w:pPr>
              <w:contextualSpacing/>
              <w:jc w:val="both"/>
              <w:rPr>
                <w:sz w:val="20"/>
                <w:szCs w:val="20"/>
                <w:lang w:val="es-AR"/>
              </w:rPr>
            </w:pPr>
            <w:r w:rsidRPr="00F43B9B">
              <w:rPr>
                <w:sz w:val="20"/>
                <w:szCs w:val="20"/>
                <w:lang w:val="es-AR"/>
              </w:rPr>
              <w:t xml:space="preserve">En líneas generales, los intangibles se valúan a su costo de adquisición – depreciaciones acumuladas. El valor llave también se valúa a su costo de adquisición – depreciaciones acumuladas, en caso de contar con vida útil definida. Caso contrario, no deprecia. </w:t>
            </w:r>
            <w:r w:rsidRPr="00F43B9B">
              <w:rPr>
                <w:sz w:val="20"/>
                <w:szCs w:val="20"/>
                <w:lang w:val="es-AR"/>
              </w:rPr>
              <w:br/>
            </w:r>
          </w:p>
        </w:tc>
        <w:tc>
          <w:tcPr>
            <w:tcW w:w="4635" w:type="dxa"/>
          </w:tcPr>
          <w:p w14:paraId="43D5552B" w14:textId="3F650801" w:rsidR="004A1002" w:rsidRPr="00F43B9B" w:rsidRDefault="004A1002" w:rsidP="00F43B9B">
            <w:pPr>
              <w:contextualSpacing/>
              <w:jc w:val="both"/>
              <w:rPr>
                <w:sz w:val="20"/>
                <w:szCs w:val="20"/>
                <w:lang w:val="es-AR"/>
              </w:rPr>
            </w:pPr>
            <w:r w:rsidRPr="00F43B9B">
              <w:rPr>
                <w:sz w:val="20"/>
                <w:szCs w:val="20"/>
                <w:lang w:val="es-AR"/>
              </w:rPr>
              <w:t>La Ley del Impuesto a las Ganancias no establece una valuación para activos intangibles, pero ante dicha falta se considera la norma contable, por lo tanto, deberá determinarse considerando su valor de adquisición, descontado de depreciaciones acumuladas, en caso de corresponder.</w:t>
            </w:r>
            <w:r w:rsidRPr="00F43B9B">
              <w:rPr>
                <w:sz w:val="20"/>
                <w:szCs w:val="20"/>
                <w:lang w:val="es-AR"/>
              </w:rPr>
              <w:br/>
            </w:r>
          </w:p>
        </w:tc>
      </w:tr>
    </w:tbl>
    <w:p w14:paraId="1722BC16" w14:textId="77777777" w:rsidR="004A1002" w:rsidRPr="00F43B9B" w:rsidRDefault="004A1002" w:rsidP="00F43B9B">
      <w:pPr>
        <w:contextualSpacing/>
        <w:jc w:val="both"/>
        <w:rPr>
          <w:b/>
          <w:bCs/>
          <w:sz w:val="24"/>
          <w:szCs w:val="24"/>
          <w:lang w:val="es-AR"/>
        </w:rPr>
      </w:pPr>
    </w:p>
    <w:p w14:paraId="4922C1B0" w14:textId="630AC952" w:rsidR="00EA5B59" w:rsidRPr="00F43B9B" w:rsidRDefault="00680289" w:rsidP="00F43B9B">
      <w:pPr>
        <w:contextualSpacing/>
        <w:jc w:val="both"/>
        <w:rPr>
          <w:b/>
          <w:bCs/>
          <w:sz w:val="24"/>
          <w:szCs w:val="24"/>
          <w:lang w:val="es-AR"/>
        </w:rPr>
      </w:pPr>
      <w:r w:rsidRPr="00F43B9B">
        <w:rPr>
          <w:b/>
          <w:bCs/>
          <w:sz w:val="24"/>
          <w:szCs w:val="24"/>
          <w:lang w:val="es-AR"/>
        </w:rPr>
        <w:t>Amortizaciones de bienes intangibles</w:t>
      </w:r>
    </w:p>
    <w:p w14:paraId="6282F58F" w14:textId="49E4F5FF" w:rsidR="00680289" w:rsidRPr="00F43B9B" w:rsidRDefault="00680289" w:rsidP="001D5EEB">
      <w:pPr>
        <w:contextualSpacing/>
        <w:jc w:val="both"/>
        <w:rPr>
          <w:sz w:val="24"/>
          <w:szCs w:val="24"/>
          <w:lang w:val="es-AR"/>
        </w:rPr>
      </w:pPr>
      <w:r w:rsidRPr="00F43B9B">
        <w:rPr>
          <w:sz w:val="24"/>
          <w:szCs w:val="24"/>
          <w:lang w:val="es-AR"/>
        </w:rPr>
        <w:t xml:space="preserve">La ley del Impuesto a las Ganancias en el </w:t>
      </w:r>
      <w:r w:rsidR="00C20E4F" w:rsidRPr="00F43B9B">
        <w:rPr>
          <w:sz w:val="24"/>
          <w:szCs w:val="24"/>
          <w:lang w:val="es-AR"/>
        </w:rPr>
        <w:t>artículo</w:t>
      </w:r>
      <w:r w:rsidRPr="00F43B9B">
        <w:rPr>
          <w:sz w:val="24"/>
          <w:szCs w:val="24"/>
          <w:lang w:val="es-AR"/>
        </w:rPr>
        <w:t xml:space="preserve"> 8</w:t>
      </w:r>
      <w:r w:rsidR="001D5EEB">
        <w:rPr>
          <w:sz w:val="24"/>
          <w:szCs w:val="24"/>
          <w:lang w:val="es-AR"/>
        </w:rPr>
        <w:t>5</w:t>
      </w:r>
      <w:r w:rsidR="0088081E" w:rsidRPr="00F43B9B">
        <w:rPr>
          <w:sz w:val="24"/>
          <w:szCs w:val="24"/>
          <w:lang w:val="es-AR"/>
        </w:rPr>
        <w:t xml:space="preserve"> inc. </w:t>
      </w:r>
      <w:r w:rsidR="001D5EEB">
        <w:rPr>
          <w:sz w:val="24"/>
          <w:szCs w:val="24"/>
          <w:lang w:val="es-AR"/>
        </w:rPr>
        <w:t>e</w:t>
      </w:r>
      <w:r w:rsidR="0088081E" w:rsidRPr="00F43B9B">
        <w:rPr>
          <w:sz w:val="24"/>
          <w:szCs w:val="24"/>
          <w:lang w:val="es-AR"/>
        </w:rPr>
        <w:t>)</w:t>
      </w:r>
      <w:r w:rsidRPr="00F43B9B">
        <w:rPr>
          <w:sz w:val="24"/>
          <w:szCs w:val="24"/>
          <w:lang w:val="es-AR"/>
        </w:rPr>
        <w:t xml:space="preserve"> indica que serán deducibles las amortizaciones de los bienes inmateriales que por sus características tengan un plazo de duración limitado, como patentes, concesiones y activos similares. La cuestión de que sean o no amortizables radica en determinar si tienen o no una vida útil determinada, ya sea legal o contractual.</w:t>
      </w:r>
    </w:p>
    <w:p w14:paraId="51C7852F" w14:textId="30651AC4" w:rsidR="00680289" w:rsidRPr="00F43B9B" w:rsidRDefault="00C20E4F" w:rsidP="001D5EEB">
      <w:pPr>
        <w:contextualSpacing/>
        <w:jc w:val="both"/>
        <w:rPr>
          <w:sz w:val="24"/>
          <w:szCs w:val="24"/>
          <w:lang w:val="es-AR"/>
        </w:rPr>
      </w:pPr>
      <w:r w:rsidRPr="00F43B9B">
        <w:rPr>
          <w:sz w:val="24"/>
          <w:szCs w:val="24"/>
          <w:lang w:val="es-AR"/>
        </w:rPr>
        <w:t>El decreto reglamentario</w:t>
      </w:r>
      <w:r w:rsidR="008F6421" w:rsidRPr="00F43B9B">
        <w:rPr>
          <w:sz w:val="24"/>
          <w:szCs w:val="24"/>
          <w:lang w:val="es-AR"/>
        </w:rPr>
        <w:t xml:space="preserve"> 862/2019</w:t>
      </w:r>
      <w:r w:rsidRPr="00F43B9B">
        <w:rPr>
          <w:sz w:val="24"/>
          <w:szCs w:val="24"/>
          <w:lang w:val="es-AR"/>
        </w:rPr>
        <w:t xml:space="preserve">, en el artículo 209, indica que el </w:t>
      </w:r>
      <w:r w:rsidR="0081414B" w:rsidRPr="00F43B9B">
        <w:rPr>
          <w:sz w:val="24"/>
          <w:szCs w:val="24"/>
          <w:lang w:val="es-AR"/>
        </w:rPr>
        <w:t>artículo</w:t>
      </w:r>
      <w:r w:rsidRPr="00F43B9B">
        <w:rPr>
          <w:sz w:val="24"/>
          <w:szCs w:val="24"/>
          <w:lang w:val="es-AR"/>
        </w:rPr>
        <w:t xml:space="preserve"> 8</w:t>
      </w:r>
      <w:r w:rsidR="001D5EEB">
        <w:rPr>
          <w:sz w:val="24"/>
          <w:szCs w:val="24"/>
          <w:lang w:val="es-AR"/>
        </w:rPr>
        <w:t>5</w:t>
      </w:r>
      <w:r w:rsidR="0088081E" w:rsidRPr="00F43B9B">
        <w:rPr>
          <w:sz w:val="24"/>
          <w:szCs w:val="24"/>
          <w:lang w:val="es-AR"/>
        </w:rPr>
        <w:t xml:space="preserve"> inc. </w:t>
      </w:r>
      <w:r w:rsidR="001D5EEB">
        <w:rPr>
          <w:sz w:val="24"/>
          <w:szCs w:val="24"/>
          <w:lang w:val="es-AR"/>
        </w:rPr>
        <w:t>e</w:t>
      </w:r>
      <w:r w:rsidR="0088081E" w:rsidRPr="00F43B9B">
        <w:rPr>
          <w:sz w:val="24"/>
          <w:szCs w:val="24"/>
          <w:lang w:val="es-AR"/>
        </w:rPr>
        <w:t>)</w:t>
      </w:r>
      <w:r w:rsidRPr="00F43B9B">
        <w:rPr>
          <w:sz w:val="24"/>
          <w:szCs w:val="24"/>
          <w:lang w:val="es-AR"/>
        </w:rPr>
        <w:t xml:space="preserve"> de la Ley del Impuesto a las ganancias solo procederá respecto de intangibles adquiridos cuya titularidad comporte un derecho que se extingue por el transcurso del tiempo.</w:t>
      </w:r>
    </w:p>
    <w:p w14:paraId="09746B05" w14:textId="06CCBD74" w:rsidR="00C20E4F" w:rsidRPr="00F43B9B" w:rsidRDefault="00C20E4F" w:rsidP="001D5EEB">
      <w:pPr>
        <w:contextualSpacing/>
        <w:jc w:val="both"/>
        <w:rPr>
          <w:sz w:val="24"/>
          <w:szCs w:val="24"/>
          <w:lang w:val="es-AR"/>
        </w:rPr>
      </w:pPr>
      <w:r w:rsidRPr="00F43B9B">
        <w:rPr>
          <w:sz w:val="24"/>
          <w:szCs w:val="24"/>
          <w:lang w:val="es-AR"/>
        </w:rPr>
        <w:t>La cuota de amortización deducible será resultado del costo de adquisición de los referidos intangibles que se dividirá por el número de años que, legalmente, resulten amparados por el derecho que comportan.</w:t>
      </w:r>
    </w:p>
    <w:p w14:paraId="6FCC8A4C" w14:textId="77400E5E" w:rsidR="00C20E4F" w:rsidRPr="00F43B9B" w:rsidRDefault="00C20E4F" w:rsidP="001D5EEB">
      <w:pPr>
        <w:contextualSpacing/>
        <w:jc w:val="both"/>
        <w:rPr>
          <w:sz w:val="24"/>
          <w:szCs w:val="24"/>
          <w:lang w:val="es-AR"/>
        </w:rPr>
      </w:pPr>
      <w:r w:rsidRPr="00F43B9B">
        <w:rPr>
          <w:sz w:val="24"/>
          <w:szCs w:val="24"/>
          <w:lang w:val="es-AR"/>
        </w:rPr>
        <w:t xml:space="preserve">La Ley del Impuesto a las Ganancias en el </w:t>
      </w:r>
      <w:r w:rsidR="0081414B" w:rsidRPr="00F43B9B">
        <w:rPr>
          <w:sz w:val="24"/>
          <w:szCs w:val="24"/>
          <w:lang w:val="es-AR"/>
        </w:rPr>
        <w:t>artículo</w:t>
      </w:r>
      <w:r w:rsidRPr="00F43B9B">
        <w:rPr>
          <w:sz w:val="24"/>
          <w:szCs w:val="24"/>
          <w:lang w:val="es-AR"/>
        </w:rPr>
        <w:t xml:space="preserve"> </w:t>
      </w:r>
      <w:r w:rsidR="001D5EEB">
        <w:rPr>
          <w:sz w:val="24"/>
          <w:szCs w:val="24"/>
          <w:lang w:val="es-AR"/>
        </w:rPr>
        <w:t>92</w:t>
      </w:r>
      <w:r w:rsidRPr="00F43B9B">
        <w:rPr>
          <w:sz w:val="24"/>
          <w:szCs w:val="24"/>
          <w:lang w:val="es-AR"/>
        </w:rPr>
        <w:t xml:space="preserve"> inc. h) indica que no serán deducibles las amortizaciones de llaves, marcas y activos similares. </w:t>
      </w:r>
    </w:p>
    <w:p w14:paraId="17E91D39" w14:textId="77777777" w:rsidR="0088081E" w:rsidRDefault="0088081E" w:rsidP="00F43B9B">
      <w:pPr>
        <w:contextualSpacing/>
        <w:jc w:val="both"/>
        <w:rPr>
          <w:sz w:val="24"/>
          <w:szCs w:val="24"/>
          <w:lang w:val="es-AR"/>
        </w:rPr>
      </w:pPr>
    </w:p>
    <w:p w14:paraId="3496690E" w14:textId="77777777" w:rsidR="001D5EEB" w:rsidRDefault="001D5EEB" w:rsidP="00F43B9B">
      <w:pPr>
        <w:contextualSpacing/>
        <w:jc w:val="both"/>
        <w:rPr>
          <w:sz w:val="24"/>
          <w:szCs w:val="24"/>
          <w:lang w:val="es-AR"/>
        </w:rPr>
      </w:pPr>
    </w:p>
    <w:p w14:paraId="0B72B8AF" w14:textId="77777777" w:rsidR="001D5EEB" w:rsidRPr="00F43B9B" w:rsidRDefault="001D5EEB" w:rsidP="00F43B9B">
      <w:pPr>
        <w:contextualSpacing/>
        <w:jc w:val="both"/>
        <w:rPr>
          <w:sz w:val="24"/>
          <w:szCs w:val="24"/>
          <w:lang w:val="es-AR"/>
        </w:rPr>
      </w:pPr>
    </w:p>
    <w:p w14:paraId="578E62ED" w14:textId="677BEC46" w:rsidR="0088081E" w:rsidRDefault="0088081E" w:rsidP="00F43B9B">
      <w:pPr>
        <w:contextualSpacing/>
        <w:jc w:val="both"/>
        <w:rPr>
          <w:b/>
          <w:bCs/>
          <w:sz w:val="24"/>
          <w:szCs w:val="24"/>
          <w:lang w:val="es-AR"/>
        </w:rPr>
      </w:pPr>
      <w:r w:rsidRPr="00F43B9B">
        <w:rPr>
          <w:b/>
          <w:bCs/>
          <w:sz w:val="24"/>
          <w:szCs w:val="24"/>
          <w:lang w:val="es-AR"/>
        </w:rPr>
        <w:t>Cálculo de amortizaciones</w:t>
      </w:r>
    </w:p>
    <w:p w14:paraId="50399E08" w14:textId="2D265489" w:rsidR="001D5EEB" w:rsidRDefault="001D5EEB" w:rsidP="00F43B9B">
      <w:pPr>
        <w:contextualSpacing/>
        <w:jc w:val="both"/>
        <w:rPr>
          <w:sz w:val="24"/>
          <w:szCs w:val="24"/>
          <w:lang w:val="es-AR"/>
        </w:rPr>
      </w:pPr>
      <w:r>
        <w:rPr>
          <w:sz w:val="24"/>
          <w:szCs w:val="24"/>
          <w:lang w:val="es-AR"/>
        </w:rPr>
        <w:t>De acuerdo a lo establecido en el Art 88 de la Ley de Impuesto a las Ganancias, e</w:t>
      </w:r>
      <w:r w:rsidRPr="001D5EEB">
        <w:rPr>
          <w:sz w:val="24"/>
          <w:szCs w:val="24"/>
          <w:lang w:val="es-AR"/>
        </w:rPr>
        <w:t>n concepto de amortización impositiva anual para compensar el desgaste de los bienes -excepto inmuebles- empleados por el contribuyente para producir ganancias gravadas, se admitirá deducir la suma que resulte de acuerdo con las siguientes normas:</w:t>
      </w:r>
    </w:p>
    <w:p w14:paraId="7452B8BF" w14:textId="2578834F" w:rsidR="001D5EEB" w:rsidRPr="001D5EEB" w:rsidRDefault="001D5EEB" w:rsidP="001D5EEB">
      <w:pPr>
        <w:pStyle w:val="ListParagraph"/>
        <w:numPr>
          <w:ilvl w:val="0"/>
          <w:numId w:val="7"/>
        </w:numPr>
        <w:jc w:val="both"/>
        <w:rPr>
          <w:sz w:val="24"/>
          <w:szCs w:val="24"/>
          <w:lang w:val="es-AR"/>
        </w:rPr>
      </w:pPr>
      <w:r w:rsidRPr="001D5EEB">
        <w:rPr>
          <w:sz w:val="24"/>
          <w:szCs w:val="24"/>
          <w:lang w:val="es-AR"/>
        </w:rPr>
        <w:t xml:space="preserve">Se dividirá el costo o valor de adquisición de los bienes por un número igual a los años de vida útil probable de los mismos. </w:t>
      </w:r>
    </w:p>
    <w:p w14:paraId="7B147F59" w14:textId="5104EFD2" w:rsidR="001D5EEB" w:rsidRDefault="00FD4B61" w:rsidP="001D5EEB">
      <w:pPr>
        <w:ind w:left="720"/>
        <w:contextualSpacing/>
        <w:jc w:val="both"/>
        <w:rPr>
          <w:sz w:val="24"/>
          <w:szCs w:val="24"/>
          <w:lang w:val="es-AR"/>
        </w:rPr>
      </w:pPr>
      <w:r>
        <w:rPr>
          <w:sz w:val="24"/>
          <w:szCs w:val="24"/>
          <w:lang w:val="es-AR"/>
        </w:rPr>
        <w:t>ARCA</w:t>
      </w:r>
      <w:r w:rsidR="001D5EEB" w:rsidRPr="001D5EEB">
        <w:rPr>
          <w:sz w:val="24"/>
          <w:szCs w:val="24"/>
          <w:lang w:val="es-AR"/>
        </w:rPr>
        <w:t xml:space="preserve"> podrá admitir un procedimiento distinto (unidades producidas, horas trabajadas, etcétera) cuando razones de orden técnico lo justifiquen.</w:t>
      </w:r>
    </w:p>
    <w:p w14:paraId="0EE2EC71" w14:textId="4173FB4D" w:rsidR="001D5EEB" w:rsidRPr="001D5EEB" w:rsidRDefault="001D5EEB" w:rsidP="001D5EEB">
      <w:pPr>
        <w:pStyle w:val="ListParagraph"/>
        <w:numPr>
          <w:ilvl w:val="0"/>
          <w:numId w:val="7"/>
        </w:numPr>
        <w:jc w:val="both"/>
        <w:rPr>
          <w:sz w:val="24"/>
          <w:szCs w:val="24"/>
          <w:lang w:val="es-AR"/>
        </w:rPr>
      </w:pPr>
      <w:r w:rsidRPr="001D5EEB">
        <w:rPr>
          <w:sz w:val="24"/>
          <w:szCs w:val="24"/>
          <w:lang w:val="es-AR"/>
        </w:rPr>
        <w:t>A la cuota de amortización ordinaria calculada conforme con lo dispuesto en el apartado anterior, o a la cuota de amortización efectuada por el contribuyente con arreglo a normas especiales, se le aplicará el índice de actualización mencionado en el artículo 93, referido a la fecha de adquisición o construcción que indique la tabla elaborada por la AFIP para el mes al que corresponda la fecha de cierre del período fiscal que se liquida.</w:t>
      </w:r>
    </w:p>
    <w:p w14:paraId="487B362B" w14:textId="45711A0A" w:rsidR="00FD4B61" w:rsidRDefault="00FD4B61" w:rsidP="00F43B9B">
      <w:pPr>
        <w:jc w:val="both"/>
        <w:rPr>
          <w:sz w:val="24"/>
          <w:szCs w:val="24"/>
          <w:lang w:val="es-AR"/>
        </w:rPr>
      </w:pPr>
      <w:r>
        <w:rPr>
          <w:sz w:val="24"/>
          <w:szCs w:val="24"/>
          <w:lang w:val="es-AR"/>
        </w:rPr>
        <w:t>El importe así obtenido será la amortización anual deducible.</w:t>
      </w:r>
    </w:p>
    <w:p w14:paraId="7BFDD8F6" w14:textId="77777777" w:rsidR="00FD4B61" w:rsidRPr="00F43B9B" w:rsidRDefault="00FD4B61" w:rsidP="00F43B9B">
      <w:pPr>
        <w:jc w:val="both"/>
        <w:rPr>
          <w:sz w:val="24"/>
          <w:szCs w:val="24"/>
          <w:lang w:val="es-AR"/>
        </w:rPr>
      </w:pPr>
    </w:p>
    <w:p w14:paraId="04C17F72" w14:textId="6CD5C687" w:rsidR="00321386" w:rsidRPr="00F43B9B" w:rsidRDefault="00BB4709" w:rsidP="00F43B9B">
      <w:pPr>
        <w:contextualSpacing/>
        <w:jc w:val="both"/>
        <w:rPr>
          <w:b/>
          <w:bCs/>
          <w:sz w:val="24"/>
          <w:szCs w:val="24"/>
          <w:lang w:val="es-AR"/>
        </w:rPr>
      </w:pPr>
      <w:r w:rsidRPr="00F43B9B">
        <w:rPr>
          <w:b/>
          <w:bCs/>
          <w:sz w:val="24"/>
          <w:szCs w:val="24"/>
          <w:lang w:val="es-AR"/>
        </w:rPr>
        <w:t xml:space="preserve">Enajenación de bienes intangibles </w:t>
      </w:r>
    </w:p>
    <w:p w14:paraId="0E5EDA33" w14:textId="00AEE268" w:rsidR="0042084F" w:rsidRPr="00F43B9B" w:rsidRDefault="00943A1A" w:rsidP="00F43B9B">
      <w:pPr>
        <w:contextualSpacing/>
        <w:jc w:val="both"/>
        <w:rPr>
          <w:sz w:val="24"/>
          <w:szCs w:val="24"/>
          <w:lang w:val="es-AR"/>
        </w:rPr>
      </w:pPr>
      <w:r w:rsidRPr="00F43B9B">
        <w:rPr>
          <w:sz w:val="24"/>
          <w:szCs w:val="24"/>
          <w:lang w:val="es-AR"/>
        </w:rPr>
        <w:t>El</w:t>
      </w:r>
      <w:r w:rsidR="0042084F" w:rsidRPr="00F43B9B">
        <w:rPr>
          <w:sz w:val="24"/>
          <w:szCs w:val="24"/>
          <w:lang w:val="es-AR"/>
        </w:rPr>
        <w:t xml:space="preserve"> art</w:t>
      </w:r>
      <w:r w:rsidRPr="00F43B9B">
        <w:rPr>
          <w:sz w:val="24"/>
          <w:szCs w:val="24"/>
          <w:lang w:val="es-AR"/>
        </w:rPr>
        <w:t>í</w:t>
      </w:r>
      <w:r w:rsidR="0042084F" w:rsidRPr="00F43B9B">
        <w:rPr>
          <w:sz w:val="24"/>
          <w:szCs w:val="24"/>
          <w:lang w:val="es-AR"/>
        </w:rPr>
        <w:t>culo 6</w:t>
      </w:r>
      <w:r w:rsidR="00FD4B61">
        <w:rPr>
          <w:sz w:val="24"/>
          <w:szCs w:val="24"/>
          <w:lang w:val="es-AR"/>
        </w:rPr>
        <w:t>4</w:t>
      </w:r>
      <w:r w:rsidR="0042084F" w:rsidRPr="00F43B9B">
        <w:rPr>
          <w:sz w:val="24"/>
          <w:szCs w:val="24"/>
          <w:lang w:val="es-AR"/>
        </w:rPr>
        <w:t xml:space="preserve"> de la Ley del Impuesto a las ganancias indica respecto a la enajenación de los bienes intangibles: “Cuando se enajenen llaves, marcas, patentes, derechos de concesión y otros activos similares, la ganancia bruta se establecerá deduciendo del precio de venta el costo de adquisición actualizado desde la fecha de compra hasta la fecha de venta (en caso de adquisiciones realizadas en ejercicios que inicien el 01/01/2018, en adelante). El monto así obtenido se disminuirá en las amortizaciones que hubiera correspondido aplicar, calculadas sobre el valor actualizado.”</w:t>
      </w:r>
    </w:p>
    <w:p w14:paraId="2870A686" w14:textId="77777777" w:rsidR="00D91BB1" w:rsidRPr="00F43B9B" w:rsidRDefault="00D91BB1" w:rsidP="00F43B9B">
      <w:pPr>
        <w:contextualSpacing/>
        <w:jc w:val="both"/>
        <w:rPr>
          <w:sz w:val="24"/>
          <w:szCs w:val="24"/>
          <w:lang w:val="es-AR"/>
        </w:rPr>
      </w:pPr>
      <w:r w:rsidRPr="00F43B9B">
        <w:rPr>
          <w:sz w:val="24"/>
          <w:szCs w:val="24"/>
          <w:lang w:val="es-AR"/>
        </w:rPr>
        <w:t xml:space="preserve">En caso de que se aplique </w:t>
      </w:r>
      <w:proofErr w:type="spellStart"/>
      <w:r w:rsidRPr="00F43B9B">
        <w:rPr>
          <w:sz w:val="24"/>
          <w:szCs w:val="24"/>
          <w:lang w:val="es-AR"/>
        </w:rPr>
        <w:t>AxI</w:t>
      </w:r>
      <w:proofErr w:type="spellEnd"/>
      <w:r w:rsidRPr="00F43B9B">
        <w:rPr>
          <w:sz w:val="24"/>
          <w:szCs w:val="24"/>
          <w:lang w:val="es-AR"/>
        </w:rPr>
        <w:t xml:space="preserve"> impositivo, el costo de adquisición se actualizará desde la fecha de compra hasta el cierre del ejercicio anterior al de la enajenación.</w:t>
      </w:r>
    </w:p>
    <w:p w14:paraId="78D9E8B7" w14:textId="04B135C7" w:rsidR="00D91BB1" w:rsidRPr="00F43B9B" w:rsidRDefault="00D91BB1" w:rsidP="00F43B9B">
      <w:pPr>
        <w:contextualSpacing/>
        <w:jc w:val="both"/>
        <w:rPr>
          <w:sz w:val="24"/>
          <w:szCs w:val="24"/>
          <w:lang w:val="es-AR"/>
        </w:rPr>
      </w:pPr>
      <w:r w:rsidRPr="00F43B9B">
        <w:rPr>
          <w:sz w:val="24"/>
          <w:szCs w:val="24"/>
          <w:lang w:val="es-AR"/>
        </w:rPr>
        <w:t>Si la compra y venta ocurren en el mismo ejercicio, el costo no se actualiza.</w:t>
      </w:r>
    </w:p>
    <w:p w14:paraId="5155228E" w14:textId="77777777" w:rsidR="00D91BB1" w:rsidRDefault="00D91BB1" w:rsidP="00F43B9B">
      <w:pPr>
        <w:contextualSpacing/>
        <w:jc w:val="both"/>
        <w:rPr>
          <w:sz w:val="24"/>
          <w:szCs w:val="24"/>
          <w:lang w:val="es-AR"/>
        </w:rPr>
      </w:pPr>
    </w:p>
    <w:p w14:paraId="64A25E34" w14:textId="77777777" w:rsidR="00596072" w:rsidRPr="00F43B9B" w:rsidRDefault="00596072" w:rsidP="00F43B9B">
      <w:pPr>
        <w:contextualSpacing/>
        <w:jc w:val="both"/>
        <w:rPr>
          <w:sz w:val="24"/>
          <w:szCs w:val="24"/>
          <w:lang w:val="es-AR"/>
        </w:rPr>
      </w:pPr>
    </w:p>
    <w:p w14:paraId="1A24643D" w14:textId="7AB475EE" w:rsidR="00D91BB1" w:rsidRPr="00F43B9B" w:rsidRDefault="00D91BB1" w:rsidP="00F43B9B">
      <w:pPr>
        <w:contextualSpacing/>
        <w:jc w:val="both"/>
        <w:rPr>
          <w:b/>
          <w:bCs/>
          <w:sz w:val="24"/>
          <w:szCs w:val="24"/>
          <w:lang w:val="es-AR"/>
        </w:rPr>
      </w:pPr>
      <w:r w:rsidRPr="00F43B9B">
        <w:rPr>
          <w:b/>
          <w:bCs/>
          <w:sz w:val="24"/>
          <w:szCs w:val="24"/>
          <w:lang w:val="es-AR"/>
        </w:rPr>
        <w:t xml:space="preserve">Ajuste por inflación </w:t>
      </w:r>
    </w:p>
    <w:p w14:paraId="79C2F9E1" w14:textId="77777777" w:rsidR="00FD4B61" w:rsidRDefault="00FD4B61" w:rsidP="00FD4B61">
      <w:pPr>
        <w:contextualSpacing/>
        <w:jc w:val="both"/>
        <w:rPr>
          <w:sz w:val="24"/>
          <w:szCs w:val="24"/>
          <w:lang w:val="es-AR"/>
        </w:rPr>
      </w:pPr>
      <w:r>
        <w:rPr>
          <w:sz w:val="24"/>
          <w:szCs w:val="24"/>
          <w:lang w:val="es-AR"/>
        </w:rPr>
        <w:t>E</w:t>
      </w:r>
      <w:r w:rsidRPr="00F43B9B">
        <w:rPr>
          <w:sz w:val="24"/>
          <w:szCs w:val="24"/>
          <w:lang w:val="es-AR"/>
        </w:rPr>
        <w:t>n los casos en que el enajenante sea un sujeto que deba practicar el ajuste por inflación:</w:t>
      </w:r>
    </w:p>
    <w:p w14:paraId="42031878" w14:textId="6D86329F" w:rsidR="008E5F3F" w:rsidRPr="00FD4B61" w:rsidRDefault="008E5F3F" w:rsidP="00FD4B61">
      <w:pPr>
        <w:pStyle w:val="ListParagraph"/>
        <w:numPr>
          <w:ilvl w:val="0"/>
          <w:numId w:val="3"/>
        </w:numPr>
        <w:jc w:val="both"/>
        <w:rPr>
          <w:sz w:val="24"/>
          <w:szCs w:val="24"/>
          <w:lang w:val="es-AR"/>
        </w:rPr>
      </w:pPr>
      <w:r w:rsidRPr="00FD4B61">
        <w:rPr>
          <w:sz w:val="24"/>
          <w:szCs w:val="24"/>
          <w:lang w:val="es-AR"/>
        </w:rPr>
        <w:t>Actualizarán los costos de adquisición, elaboración, inversión o afectación hasta la fecha de cierre del ejercicio anterior a aquel en que se realice la enajenación.</w:t>
      </w:r>
    </w:p>
    <w:p w14:paraId="0531028D" w14:textId="64E65BCC" w:rsidR="008E5F3F" w:rsidRDefault="008E5F3F" w:rsidP="00F43B9B">
      <w:pPr>
        <w:pStyle w:val="ListParagraph"/>
        <w:numPr>
          <w:ilvl w:val="0"/>
          <w:numId w:val="3"/>
        </w:numPr>
        <w:jc w:val="both"/>
        <w:rPr>
          <w:sz w:val="24"/>
          <w:szCs w:val="24"/>
          <w:lang w:val="es-AR"/>
        </w:rPr>
      </w:pPr>
      <w:r w:rsidRPr="00F43B9B">
        <w:rPr>
          <w:sz w:val="24"/>
          <w:szCs w:val="24"/>
          <w:lang w:val="es-AR"/>
        </w:rPr>
        <w:t>Cuando enajenen bienes que hubieran adquirido en el mismo ejercicio al que corresponda la fecha de enajenación, a los efectos de la determinación del costo computable, no deberán actualizar el valor de compra de los mencionados bienes.</w:t>
      </w:r>
    </w:p>
    <w:p w14:paraId="1CA8D9A6" w14:textId="38CB2247" w:rsidR="008E5F3F" w:rsidRDefault="00FD4B61" w:rsidP="00FD4B61">
      <w:pPr>
        <w:pStyle w:val="ListParagraph"/>
        <w:jc w:val="both"/>
        <w:rPr>
          <w:sz w:val="24"/>
          <w:szCs w:val="24"/>
          <w:lang w:val="es-AR"/>
        </w:rPr>
      </w:pPr>
      <w:r w:rsidRPr="00FD4B61">
        <w:rPr>
          <w:sz w:val="24"/>
          <w:szCs w:val="24"/>
          <w:lang w:val="es-AR"/>
        </w:rPr>
        <w:t>El D.R. 862/2019, art. 210, indica que, en el caso de venta de bienes intangibles producidos por el vendedor, el costo computable estará dado por el importe de los gastos efectuados para su obtención en tanto no hubieren sido deducidos impositivamente. Tales gastos se actualizarán desde la fecha de realización hasta la fecha de venta.</w:t>
      </w:r>
    </w:p>
    <w:p w14:paraId="58FEFF9F" w14:textId="77777777" w:rsidR="00FD4B61" w:rsidRPr="00F43B9B" w:rsidRDefault="00FD4B61" w:rsidP="00FD4B61">
      <w:pPr>
        <w:pStyle w:val="ListParagraph"/>
        <w:jc w:val="both"/>
        <w:rPr>
          <w:sz w:val="24"/>
          <w:szCs w:val="24"/>
          <w:lang w:val="es-AR"/>
        </w:rPr>
      </w:pPr>
    </w:p>
    <w:p w14:paraId="5E3AA1A9" w14:textId="7F8B6FD7" w:rsidR="008E5F3F" w:rsidRDefault="008E5F3F" w:rsidP="00FD4B61">
      <w:pPr>
        <w:pStyle w:val="ListParagraph"/>
        <w:numPr>
          <w:ilvl w:val="0"/>
          <w:numId w:val="3"/>
        </w:numPr>
        <w:jc w:val="both"/>
        <w:rPr>
          <w:sz w:val="24"/>
          <w:szCs w:val="24"/>
          <w:lang w:val="es-AR"/>
        </w:rPr>
      </w:pPr>
      <w:r w:rsidRPr="00FD4B61">
        <w:rPr>
          <w:sz w:val="24"/>
          <w:szCs w:val="24"/>
          <w:lang w:val="es-AR"/>
        </w:rPr>
        <w:t>Constituyen un concepto a detraer del Activo Computable en el Ajuste por Inflación Estático los bienes inmateriales y los gastos de constitución, organización y/o reorganización de la empresa y los gastos de desarrollo, estudio o investigación, en la medida en que fueron deducidos impositivamente.</w:t>
      </w:r>
    </w:p>
    <w:p w14:paraId="5811AA9D" w14:textId="77777777" w:rsidR="00FD4B61" w:rsidRPr="00FD4B61" w:rsidRDefault="00FD4B61" w:rsidP="00FD4B61">
      <w:pPr>
        <w:pStyle w:val="ListParagraph"/>
        <w:jc w:val="both"/>
        <w:rPr>
          <w:sz w:val="24"/>
          <w:szCs w:val="24"/>
          <w:lang w:val="es-AR"/>
        </w:rPr>
      </w:pPr>
    </w:p>
    <w:p w14:paraId="502D2C9F" w14:textId="202DE14C" w:rsidR="00FD4B61" w:rsidRDefault="008E5F3F" w:rsidP="00FD4B61">
      <w:pPr>
        <w:pStyle w:val="ListParagraph"/>
        <w:numPr>
          <w:ilvl w:val="0"/>
          <w:numId w:val="3"/>
        </w:numPr>
        <w:jc w:val="both"/>
        <w:rPr>
          <w:sz w:val="24"/>
          <w:szCs w:val="24"/>
          <w:lang w:val="es-AR"/>
        </w:rPr>
      </w:pPr>
      <w:r w:rsidRPr="00FD4B61">
        <w:rPr>
          <w:sz w:val="24"/>
          <w:szCs w:val="24"/>
          <w:lang w:val="es-AR"/>
        </w:rPr>
        <w:t>Aquellas altas de bienes intangibles que ocurran en el ejercicio, y que se mantengan al cierre del mismo, generarán un ajuste por inflación dinámico positivo, calculado desde la fecha de erogación/compra, hasta el cierre del ejercicio.</w:t>
      </w:r>
    </w:p>
    <w:p w14:paraId="6CBEA6E3" w14:textId="77777777" w:rsidR="00FD4B61" w:rsidRDefault="00FD4B61" w:rsidP="00FD4B61">
      <w:pPr>
        <w:pStyle w:val="ListParagraph"/>
        <w:jc w:val="both"/>
        <w:rPr>
          <w:sz w:val="24"/>
          <w:szCs w:val="24"/>
          <w:lang w:val="es-AR"/>
        </w:rPr>
      </w:pPr>
    </w:p>
    <w:p w14:paraId="74733E17" w14:textId="372DA278" w:rsidR="008E5F3F" w:rsidRPr="00F43B9B" w:rsidRDefault="008E5F3F" w:rsidP="00FD4B61">
      <w:pPr>
        <w:pStyle w:val="ListParagraph"/>
        <w:numPr>
          <w:ilvl w:val="0"/>
          <w:numId w:val="3"/>
        </w:numPr>
        <w:jc w:val="both"/>
        <w:rPr>
          <w:sz w:val="24"/>
          <w:szCs w:val="24"/>
          <w:lang w:val="es-AR"/>
        </w:rPr>
      </w:pPr>
      <w:r w:rsidRPr="00F43B9B">
        <w:rPr>
          <w:sz w:val="24"/>
          <w:szCs w:val="24"/>
          <w:lang w:val="es-AR"/>
        </w:rPr>
        <w:t>Cuando ocurran bajas en el ejercicio, se considerará activo expuesto a la inflación el valor residual impositivo que hubieran tenido estos bienes al cierre del ejercicio anterior, actualizados a dicha fecha, en caso de corresponder (adquisiciones que hayan ocurrido en ejercicios que inicien a partir del 1/1/2018 y siguientes).</w:t>
      </w:r>
    </w:p>
    <w:p w14:paraId="05C62D9D" w14:textId="77777777" w:rsidR="008E5F3F" w:rsidRPr="00F43B9B" w:rsidRDefault="008E5F3F" w:rsidP="00F43B9B">
      <w:pPr>
        <w:contextualSpacing/>
        <w:rPr>
          <w:sz w:val="24"/>
          <w:szCs w:val="24"/>
          <w:lang w:val="es-AR"/>
        </w:rPr>
      </w:pPr>
    </w:p>
    <w:p w14:paraId="0F3D730A" w14:textId="2ECCDB39" w:rsidR="008E5F3F" w:rsidRPr="00F43B9B" w:rsidRDefault="00BF625F" w:rsidP="00F43B9B">
      <w:pPr>
        <w:contextualSpacing/>
        <w:rPr>
          <w:b/>
          <w:bCs/>
          <w:sz w:val="24"/>
          <w:szCs w:val="24"/>
          <w:lang w:val="es-AR"/>
        </w:rPr>
      </w:pPr>
      <w:r w:rsidRPr="00F43B9B">
        <w:rPr>
          <w:b/>
          <w:bCs/>
          <w:sz w:val="24"/>
          <w:szCs w:val="24"/>
          <w:lang w:val="es-AR"/>
        </w:rPr>
        <w:t xml:space="preserve">Gastos de organización e investigación </w:t>
      </w:r>
    </w:p>
    <w:tbl>
      <w:tblPr>
        <w:tblStyle w:val="TableGrid"/>
        <w:tblW w:w="9360" w:type="dxa"/>
        <w:tblLook w:val="04A0" w:firstRow="1" w:lastRow="0" w:firstColumn="1" w:lastColumn="0" w:noHBand="0" w:noVBand="1"/>
      </w:tblPr>
      <w:tblGrid>
        <w:gridCol w:w="4680"/>
        <w:gridCol w:w="4680"/>
      </w:tblGrid>
      <w:tr w:rsidR="00BF625F" w:rsidRPr="00F43B9B" w14:paraId="3AD04E09" w14:textId="77777777" w:rsidTr="00BF625F">
        <w:trPr>
          <w:trHeight w:val="324"/>
        </w:trPr>
        <w:tc>
          <w:tcPr>
            <w:tcW w:w="4680" w:type="dxa"/>
          </w:tcPr>
          <w:p w14:paraId="04BA3A99" w14:textId="0421260F" w:rsidR="00BF625F" w:rsidRPr="00F43B9B" w:rsidRDefault="00BF625F" w:rsidP="00F43B9B">
            <w:pPr>
              <w:contextualSpacing/>
              <w:jc w:val="center"/>
              <w:rPr>
                <w:b/>
                <w:bCs/>
                <w:sz w:val="24"/>
                <w:szCs w:val="24"/>
                <w:lang w:val="es-AR"/>
              </w:rPr>
            </w:pPr>
            <w:r w:rsidRPr="00F43B9B">
              <w:rPr>
                <w:b/>
                <w:bCs/>
                <w:sz w:val="24"/>
                <w:szCs w:val="24"/>
                <w:lang w:val="es-AR"/>
              </w:rPr>
              <w:t>Aspectos contables</w:t>
            </w:r>
          </w:p>
        </w:tc>
        <w:tc>
          <w:tcPr>
            <w:tcW w:w="4680" w:type="dxa"/>
          </w:tcPr>
          <w:p w14:paraId="7766B8E6" w14:textId="13F87C9D" w:rsidR="00BF625F" w:rsidRPr="00F43B9B" w:rsidRDefault="00BF625F" w:rsidP="00F43B9B">
            <w:pPr>
              <w:contextualSpacing/>
              <w:jc w:val="center"/>
              <w:rPr>
                <w:b/>
                <w:bCs/>
                <w:sz w:val="24"/>
                <w:szCs w:val="24"/>
                <w:lang w:val="es-AR"/>
              </w:rPr>
            </w:pPr>
            <w:r w:rsidRPr="00F43B9B">
              <w:rPr>
                <w:b/>
                <w:bCs/>
                <w:sz w:val="24"/>
                <w:szCs w:val="24"/>
                <w:lang w:val="es-AR"/>
              </w:rPr>
              <w:t>Aspectos impositivos</w:t>
            </w:r>
          </w:p>
        </w:tc>
      </w:tr>
      <w:tr w:rsidR="00BF625F" w:rsidRPr="001A19D9" w14:paraId="439925BA" w14:textId="77777777" w:rsidTr="00BF625F">
        <w:trPr>
          <w:trHeight w:val="1102"/>
        </w:trPr>
        <w:tc>
          <w:tcPr>
            <w:tcW w:w="4680" w:type="dxa"/>
          </w:tcPr>
          <w:p w14:paraId="644E7A1F" w14:textId="06BDB3F7" w:rsidR="00BF625F" w:rsidRPr="00F43B9B" w:rsidRDefault="00BF625F" w:rsidP="00F43B9B">
            <w:pPr>
              <w:contextualSpacing/>
              <w:jc w:val="both"/>
              <w:rPr>
                <w:sz w:val="20"/>
                <w:szCs w:val="20"/>
                <w:lang w:val="es-AR"/>
              </w:rPr>
            </w:pPr>
            <w:r w:rsidRPr="00F43B9B">
              <w:rPr>
                <w:sz w:val="20"/>
                <w:szCs w:val="20"/>
                <w:lang w:val="es-AR"/>
              </w:rPr>
              <w:t xml:space="preserve">La R.T. 17 indica que la vida útil de un intangible no puede superar los veinte años. </w:t>
            </w:r>
            <w:r w:rsidRPr="00F43B9B">
              <w:rPr>
                <w:sz w:val="20"/>
                <w:szCs w:val="20"/>
                <w:lang w:val="es-AR"/>
              </w:rPr>
              <w:br/>
              <w:t>Se presume sin admitir prueba en contrario que la vida económica de los costos de organización y costos preoperativos no es superior a los cinco años.</w:t>
            </w:r>
          </w:p>
        </w:tc>
        <w:tc>
          <w:tcPr>
            <w:tcW w:w="4680" w:type="dxa"/>
          </w:tcPr>
          <w:p w14:paraId="25CCC0BC" w14:textId="03BB7D82" w:rsidR="00BF625F" w:rsidRPr="00F43B9B" w:rsidRDefault="00BF625F" w:rsidP="00F43B9B">
            <w:pPr>
              <w:pStyle w:val="ListParagraph"/>
              <w:numPr>
                <w:ilvl w:val="0"/>
                <w:numId w:val="6"/>
              </w:numPr>
              <w:jc w:val="both"/>
              <w:rPr>
                <w:sz w:val="20"/>
                <w:szCs w:val="20"/>
                <w:lang w:val="es-AR"/>
              </w:rPr>
            </w:pPr>
            <w:r w:rsidRPr="00F43B9B">
              <w:rPr>
                <w:sz w:val="20"/>
                <w:szCs w:val="20"/>
                <w:lang w:val="es-AR"/>
              </w:rPr>
              <w:t xml:space="preserve">L.I.G. ART. </w:t>
            </w:r>
            <w:r w:rsidR="00466D29">
              <w:rPr>
                <w:sz w:val="20"/>
                <w:szCs w:val="20"/>
                <w:lang w:val="es-AR"/>
              </w:rPr>
              <w:t>91</w:t>
            </w:r>
            <w:r w:rsidRPr="00F43B9B">
              <w:rPr>
                <w:sz w:val="20"/>
                <w:szCs w:val="20"/>
                <w:lang w:val="es-AR"/>
              </w:rPr>
              <w:t>, inc. c) – GASTOS DE ORGANIZACIÓN</w:t>
            </w:r>
            <w:r w:rsidRPr="00F43B9B">
              <w:rPr>
                <w:sz w:val="20"/>
                <w:szCs w:val="20"/>
                <w:lang w:val="es-AR"/>
              </w:rPr>
              <w:br/>
              <w:t>La AFIP admitirá su afectación al primer ejercicio o su amortización en un plazo no mayor de cinco años, a opción del contribuyente.</w:t>
            </w:r>
            <w:r w:rsidRPr="00F43B9B">
              <w:rPr>
                <w:sz w:val="20"/>
                <w:szCs w:val="20"/>
                <w:lang w:val="es-AR"/>
              </w:rPr>
              <w:br/>
            </w:r>
          </w:p>
          <w:p w14:paraId="31AFE2B6" w14:textId="4773CBDB" w:rsidR="00BF625F" w:rsidRPr="00F43B9B" w:rsidRDefault="00BF625F" w:rsidP="00F43B9B">
            <w:pPr>
              <w:pStyle w:val="ListParagraph"/>
              <w:numPr>
                <w:ilvl w:val="0"/>
                <w:numId w:val="6"/>
              </w:numPr>
              <w:jc w:val="both"/>
              <w:rPr>
                <w:sz w:val="20"/>
                <w:szCs w:val="20"/>
                <w:lang w:val="es-AR"/>
              </w:rPr>
            </w:pPr>
            <w:r w:rsidRPr="00F43B9B">
              <w:rPr>
                <w:sz w:val="20"/>
                <w:szCs w:val="20"/>
                <w:lang w:val="es-AR"/>
              </w:rPr>
              <w:t xml:space="preserve">D.R. </w:t>
            </w:r>
            <w:r w:rsidR="008F6421" w:rsidRPr="00F43B9B">
              <w:rPr>
                <w:sz w:val="20"/>
                <w:szCs w:val="20"/>
                <w:lang w:val="es-AR"/>
              </w:rPr>
              <w:t xml:space="preserve">862/2019 </w:t>
            </w:r>
            <w:r w:rsidRPr="00F43B9B">
              <w:rPr>
                <w:sz w:val="20"/>
                <w:szCs w:val="20"/>
                <w:lang w:val="es-AR"/>
              </w:rPr>
              <w:t>ART 220 – GASTOS DE INVESTIGACIÓN</w:t>
            </w:r>
            <w:r w:rsidRPr="00F43B9B">
              <w:rPr>
                <w:sz w:val="20"/>
                <w:szCs w:val="20"/>
                <w:lang w:val="es-AR"/>
              </w:rPr>
              <w:br/>
              <w:t>Podrán deducirse en el ejercicio en que se devenguen o amortizarse en un plazo no mayor a cinco (5) años, a opción del contribuyente.</w:t>
            </w:r>
            <w:r w:rsidRPr="00F43B9B">
              <w:rPr>
                <w:sz w:val="20"/>
                <w:szCs w:val="20"/>
                <w:lang w:val="es-AR"/>
              </w:rPr>
              <w:br/>
            </w:r>
          </w:p>
        </w:tc>
      </w:tr>
    </w:tbl>
    <w:p w14:paraId="6C22743F" w14:textId="77777777" w:rsidR="008E5F3F" w:rsidRDefault="008E5F3F" w:rsidP="00F43B9B">
      <w:pPr>
        <w:contextualSpacing/>
        <w:jc w:val="both"/>
        <w:rPr>
          <w:sz w:val="20"/>
          <w:szCs w:val="20"/>
          <w:lang w:val="es-AR"/>
        </w:rPr>
      </w:pPr>
    </w:p>
    <w:p w14:paraId="0A5BBC6C" w14:textId="77777777" w:rsidR="00C912D8" w:rsidRDefault="00C912D8" w:rsidP="004A2FF6">
      <w:pPr>
        <w:rPr>
          <w:b/>
          <w:bCs/>
          <w:sz w:val="24"/>
          <w:szCs w:val="24"/>
          <w:lang w:val="es-AR"/>
        </w:rPr>
      </w:pPr>
    </w:p>
    <w:p w14:paraId="1C45377C" w14:textId="17CC1228" w:rsidR="001A19D9" w:rsidRDefault="001A19D9" w:rsidP="004A2FF6">
      <w:pPr>
        <w:rPr>
          <w:b/>
          <w:bCs/>
          <w:sz w:val="32"/>
          <w:szCs w:val="32"/>
          <w:lang w:val="es-AR"/>
        </w:rPr>
      </w:pPr>
      <w:r w:rsidRPr="001A19D9">
        <w:rPr>
          <w:b/>
          <w:bCs/>
          <w:sz w:val="32"/>
          <w:szCs w:val="32"/>
          <w:lang w:val="es-AR"/>
        </w:rPr>
        <w:t>Puntos de atención.</w:t>
      </w:r>
    </w:p>
    <w:p w14:paraId="2C663830" w14:textId="7A537FBC" w:rsidR="001A19D9" w:rsidRDefault="001A19D9" w:rsidP="001A19D9">
      <w:pPr>
        <w:pStyle w:val="ListParagraph"/>
        <w:numPr>
          <w:ilvl w:val="0"/>
          <w:numId w:val="10"/>
        </w:numPr>
        <w:rPr>
          <w:sz w:val="24"/>
          <w:szCs w:val="24"/>
          <w:lang w:val="es-AR"/>
        </w:rPr>
      </w:pPr>
      <w:r>
        <w:rPr>
          <w:sz w:val="24"/>
          <w:szCs w:val="24"/>
          <w:lang w:val="es-AR"/>
        </w:rPr>
        <w:t>En este rubro se incluyen valores llave, marcas y patentes, derechos de concesión, gastos de organización, gastos de investigación y desarrollo para la obtención de intangibles y otros activos similares.</w:t>
      </w:r>
    </w:p>
    <w:p w14:paraId="67BDE8E8" w14:textId="164D3E93" w:rsidR="001A19D9" w:rsidRDefault="001A19D9" w:rsidP="001A19D9">
      <w:pPr>
        <w:pStyle w:val="ListParagraph"/>
        <w:numPr>
          <w:ilvl w:val="0"/>
          <w:numId w:val="10"/>
        </w:numPr>
        <w:rPr>
          <w:sz w:val="24"/>
          <w:szCs w:val="24"/>
          <w:lang w:val="es-AR"/>
        </w:rPr>
      </w:pPr>
      <w:r>
        <w:rPr>
          <w:sz w:val="24"/>
          <w:szCs w:val="24"/>
          <w:lang w:val="es-AR"/>
        </w:rPr>
        <w:t>Respecto de los gastos de organización, se debe confirmar si se efectuará la deducción total en el primer ejercicio o en un plazo no mayor a 5 años según lo previsto por la ley de impuesto a las ganancias.</w:t>
      </w:r>
    </w:p>
    <w:p w14:paraId="3B318230" w14:textId="7601EFC2" w:rsidR="001A19D9" w:rsidRDefault="001A19D9" w:rsidP="001A19D9">
      <w:pPr>
        <w:pStyle w:val="ListParagraph"/>
        <w:numPr>
          <w:ilvl w:val="0"/>
          <w:numId w:val="10"/>
        </w:numPr>
        <w:rPr>
          <w:sz w:val="24"/>
          <w:szCs w:val="24"/>
          <w:lang w:val="es-AR"/>
        </w:rPr>
      </w:pPr>
      <w:r>
        <w:rPr>
          <w:sz w:val="24"/>
          <w:szCs w:val="24"/>
          <w:lang w:val="es-AR"/>
        </w:rPr>
        <w:t>Recordar que la ley no permite la deducción de las amortizaciones de valores llave, marcas o activos similares. En el revalúo impositivo no se determinará amortización.</w:t>
      </w:r>
    </w:p>
    <w:p w14:paraId="1F85E534" w14:textId="4F78754C" w:rsidR="001A19D9" w:rsidRDefault="001A19D9" w:rsidP="001A19D9">
      <w:pPr>
        <w:pStyle w:val="ListParagraph"/>
        <w:numPr>
          <w:ilvl w:val="0"/>
          <w:numId w:val="10"/>
        </w:numPr>
        <w:rPr>
          <w:sz w:val="24"/>
          <w:szCs w:val="24"/>
          <w:lang w:val="es-AR"/>
        </w:rPr>
      </w:pPr>
      <w:r>
        <w:rPr>
          <w:sz w:val="24"/>
          <w:szCs w:val="24"/>
          <w:lang w:val="es-AR"/>
        </w:rPr>
        <w:t xml:space="preserve">Se podrá deducir la amortización de bienes inmateriales que tengan plazo de duración limitado como ser, las patentes o concesiones. </w:t>
      </w:r>
    </w:p>
    <w:p w14:paraId="2BEEE7F1" w14:textId="3ECB3F6E" w:rsidR="001A19D9" w:rsidRPr="001A19D9" w:rsidRDefault="001A19D9" w:rsidP="001A19D9">
      <w:pPr>
        <w:pStyle w:val="ListParagraph"/>
        <w:numPr>
          <w:ilvl w:val="0"/>
          <w:numId w:val="10"/>
        </w:numPr>
        <w:rPr>
          <w:sz w:val="24"/>
          <w:szCs w:val="24"/>
          <w:lang w:val="es-AR"/>
        </w:rPr>
      </w:pPr>
      <w:r>
        <w:rPr>
          <w:sz w:val="24"/>
          <w:szCs w:val="24"/>
          <w:lang w:val="es-AR"/>
        </w:rPr>
        <w:t>En caso de producirse la venta de alguno de los bienes antes citados deberá determinarse la diferencia entre el costo impositivo y el costo contable a efectos de efectuar el ajuste en la determinación del impuesto a las ganancias.</w:t>
      </w:r>
    </w:p>
    <w:sectPr w:rsidR="001A19D9" w:rsidRPr="001A19D9">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435B51" w14:textId="77777777" w:rsidR="00D25D6D" w:rsidRDefault="00D25D6D" w:rsidP="00961960">
      <w:pPr>
        <w:spacing w:after="0" w:line="240" w:lineRule="auto"/>
      </w:pPr>
      <w:r>
        <w:separator/>
      </w:r>
    </w:p>
  </w:endnote>
  <w:endnote w:type="continuationSeparator" w:id="0">
    <w:p w14:paraId="3EE516C3" w14:textId="77777777" w:rsidR="00D25D6D" w:rsidRDefault="00D25D6D" w:rsidP="009619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aytona">
    <w:charset w:val="00"/>
    <w:family w:val="swiss"/>
    <w:pitch w:val="variable"/>
    <w:sig w:usb0="800002EF" w:usb1="0000000A"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03A9B" w14:textId="77777777" w:rsidR="00961960" w:rsidRDefault="0096196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DB51B" w14:textId="77777777" w:rsidR="00961960" w:rsidRDefault="0096196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A84F9" w14:textId="77777777" w:rsidR="00961960" w:rsidRDefault="009619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99449F" w14:textId="77777777" w:rsidR="00D25D6D" w:rsidRDefault="00D25D6D" w:rsidP="00961960">
      <w:pPr>
        <w:spacing w:after="0" w:line="240" w:lineRule="auto"/>
      </w:pPr>
      <w:r>
        <w:separator/>
      </w:r>
    </w:p>
  </w:footnote>
  <w:footnote w:type="continuationSeparator" w:id="0">
    <w:p w14:paraId="241C5DB4" w14:textId="77777777" w:rsidR="00D25D6D" w:rsidRDefault="00D25D6D" w:rsidP="009619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1AF21" w14:textId="77777777" w:rsidR="00961960" w:rsidRDefault="009619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FB996" w14:textId="77777777" w:rsidR="00961960" w:rsidRDefault="0096196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200D8" w14:textId="77777777" w:rsidR="00961960" w:rsidRDefault="0096196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37F88"/>
    <w:multiLevelType w:val="hybridMultilevel"/>
    <w:tmpl w:val="014AF5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343884"/>
    <w:multiLevelType w:val="hybridMultilevel"/>
    <w:tmpl w:val="B9BAA1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41A2B2D"/>
    <w:multiLevelType w:val="hybridMultilevel"/>
    <w:tmpl w:val="BA4C75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9FA276A"/>
    <w:multiLevelType w:val="hybridMultilevel"/>
    <w:tmpl w:val="CED68652"/>
    <w:lvl w:ilvl="0" w:tplc="7D7A2BD4">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18E60C5"/>
    <w:multiLevelType w:val="hybridMultilevel"/>
    <w:tmpl w:val="8C7CF7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0733888"/>
    <w:multiLevelType w:val="hybridMultilevel"/>
    <w:tmpl w:val="BFD285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83603E6"/>
    <w:multiLevelType w:val="hybridMultilevel"/>
    <w:tmpl w:val="9AC608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8664765"/>
    <w:multiLevelType w:val="hybridMultilevel"/>
    <w:tmpl w:val="022494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FF5777B"/>
    <w:multiLevelType w:val="hybridMultilevel"/>
    <w:tmpl w:val="6A6AEB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3114500"/>
    <w:multiLevelType w:val="hybridMultilevel"/>
    <w:tmpl w:val="FCF276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27581519">
    <w:abstractNumId w:val="0"/>
  </w:num>
  <w:num w:numId="2" w16cid:durableId="1551452230">
    <w:abstractNumId w:val="2"/>
  </w:num>
  <w:num w:numId="3" w16cid:durableId="27460135">
    <w:abstractNumId w:val="6"/>
  </w:num>
  <w:num w:numId="4" w16cid:durableId="1063287968">
    <w:abstractNumId w:val="5"/>
  </w:num>
  <w:num w:numId="5" w16cid:durableId="1365641264">
    <w:abstractNumId w:val="3"/>
  </w:num>
  <w:num w:numId="6" w16cid:durableId="363865356">
    <w:abstractNumId w:val="7"/>
  </w:num>
  <w:num w:numId="7" w16cid:durableId="669527853">
    <w:abstractNumId w:val="9"/>
  </w:num>
  <w:num w:numId="8" w16cid:durableId="1696079605">
    <w:abstractNumId w:val="4"/>
  </w:num>
  <w:num w:numId="9" w16cid:durableId="1045442971">
    <w:abstractNumId w:val="8"/>
  </w:num>
  <w:num w:numId="10" w16cid:durableId="2497007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removeDateAndTime/>
  <w:proofState w:spelling="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19C0"/>
    <w:rsid w:val="00022793"/>
    <w:rsid w:val="00062DC9"/>
    <w:rsid w:val="00083DEA"/>
    <w:rsid w:val="000C44AF"/>
    <w:rsid w:val="00196F8C"/>
    <w:rsid w:val="001A19D9"/>
    <w:rsid w:val="001D5EEB"/>
    <w:rsid w:val="00321386"/>
    <w:rsid w:val="00337900"/>
    <w:rsid w:val="003F16FF"/>
    <w:rsid w:val="00415A22"/>
    <w:rsid w:val="0042084F"/>
    <w:rsid w:val="00466D29"/>
    <w:rsid w:val="004A1002"/>
    <w:rsid w:val="004A2FF6"/>
    <w:rsid w:val="004B45CC"/>
    <w:rsid w:val="0055021F"/>
    <w:rsid w:val="00587C56"/>
    <w:rsid w:val="00596072"/>
    <w:rsid w:val="005C764F"/>
    <w:rsid w:val="005E19C0"/>
    <w:rsid w:val="00611D0F"/>
    <w:rsid w:val="00680289"/>
    <w:rsid w:val="006A4831"/>
    <w:rsid w:val="006D4890"/>
    <w:rsid w:val="00761D15"/>
    <w:rsid w:val="00793248"/>
    <w:rsid w:val="007A0C24"/>
    <w:rsid w:val="007A475C"/>
    <w:rsid w:val="007D67D0"/>
    <w:rsid w:val="008036EB"/>
    <w:rsid w:val="0081414B"/>
    <w:rsid w:val="00832DF1"/>
    <w:rsid w:val="0086573C"/>
    <w:rsid w:val="0088081E"/>
    <w:rsid w:val="008A01C9"/>
    <w:rsid w:val="008A4EB6"/>
    <w:rsid w:val="008E5F3F"/>
    <w:rsid w:val="008F279C"/>
    <w:rsid w:val="008F6421"/>
    <w:rsid w:val="00914192"/>
    <w:rsid w:val="00943A1A"/>
    <w:rsid w:val="00961960"/>
    <w:rsid w:val="009B0A93"/>
    <w:rsid w:val="009B4CBB"/>
    <w:rsid w:val="00A567F5"/>
    <w:rsid w:val="00B50756"/>
    <w:rsid w:val="00BB4709"/>
    <w:rsid w:val="00BC2FDF"/>
    <w:rsid w:val="00BF625F"/>
    <w:rsid w:val="00C20E4F"/>
    <w:rsid w:val="00C52026"/>
    <w:rsid w:val="00C62865"/>
    <w:rsid w:val="00C912D8"/>
    <w:rsid w:val="00CA2D9E"/>
    <w:rsid w:val="00D25D6D"/>
    <w:rsid w:val="00D91BB1"/>
    <w:rsid w:val="00E022D9"/>
    <w:rsid w:val="00EA5B59"/>
    <w:rsid w:val="00F43B9B"/>
    <w:rsid w:val="00F44D76"/>
    <w:rsid w:val="00F57F0B"/>
    <w:rsid w:val="00F95212"/>
    <w:rsid w:val="00FD4B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5D3390"/>
  <w15:chartTrackingRefBased/>
  <w15:docId w15:val="{D96088A0-96B1-447F-8B0A-21C307D9EE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1D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1D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1D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1D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1D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1D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1D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1D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1D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1D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1D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1D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1D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1D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1D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1D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1D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1D15"/>
    <w:rPr>
      <w:rFonts w:eastAsiaTheme="majorEastAsia" w:cstheme="majorBidi"/>
      <w:color w:val="272727" w:themeColor="text1" w:themeTint="D8"/>
    </w:rPr>
  </w:style>
  <w:style w:type="paragraph" w:styleId="Title">
    <w:name w:val="Title"/>
    <w:basedOn w:val="Normal"/>
    <w:next w:val="Normal"/>
    <w:link w:val="TitleChar"/>
    <w:uiPriority w:val="10"/>
    <w:qFormat/>
    <w:rsid w:val="00761D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1D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1D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1D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1D15"/>
    <w:pPr>
      <w:spacing w:before="160"/>
      <w:jc w:val="center"/>
    </w:pPr>
    <w:rPr>
      <w:i/>
      <w:iCs/>
      <w:color w:val="404040" w:themeColor="text1" w:themeTint="BF"/>
    </w:rPr>
  </w:style>
  <w:style w:type="character" w:customStyle="1" w:styleId="QuoteChar">
    <w:name w:val="Quote Char"/>
    <w:basedOn w:val="DefaultParagraphFont"/>
    <w:link w:val="Quote"/>
    <w:uiPriority w:val="29"/>
    <w:rsid w:val="00761D15"/>
    <w:rPr>
      <w:i/>
      <w:iCs/>
      <w:color w:val="404040" w:themeColor="text1" w:themeTint="BF"/>
    </w:rPr>
  </w:style>
  <w:style w:type="paragraph" w:styleId="ListParagraph">
    <w:name w:val="List Paragraph"/>
    <w:basedOn w:val="Normal"/>
    <w:uiPriority w:val="34"/>
    <w:qFormat/>
    <w:rsid w:val="00761D15"/>
    <w:pPr>
      <w:ind w:left="720"/>
      <w:contextualSpacing/>
    </w:pPr>
  </w:style>
  <w:style w:type="character" w:styleId="IntenseEmphasis">
    <w:name w:val="Intense Emphasis"/>
    <w:basedOn w:val="DefaultParagraphFont"/>
    <w:uiPriority w:val="21"/>
    <w:qFormat/>
    <w:rsid w:val="00761D15"/>
    <w:rPr>
      <w:i/>
      <w:iCs/>
      <w:color w:val="0F4761" w:themeColor="accent1" w:themeShade="BF"/>
    </w:rPr>
  </w:style>
  <w:style w:type="paragraph" w:styleId="IntenseQuote">
    <w:name w:val="Intense Quote"/>
    <w:basedOn w:val="Normal"/>
    <w:next w:val="Normal"/>
    <w:link w:val="IntenseQuoteChar"/>
    <w:uiPriority w:val="30"/>
    <w:qFormat/>
    <w:rsid w:val="00761D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1D15"/>
    <w:rPr>
      <w:i/>
      <w:iCs/>
      <w:color w:val="0F4761" w:themeColor="accent1" w:themeShade="BF"/>
    </w:rPr>
  </w:style>
  <w:style w:type="character" w:styleId="IntenseReference">
    <w:name w:val="Intense Reference"/>
    <w:basedOn w:val="DefaultParagraphFont"/>
    <w:uiPriority w:val="32"/>
    <w:qFormat/>
    <w:rsid w:val="00761D15"/>
    <w:rPr>
      <w:b/>
      <w:bCs/>
      <w:smallCaps/>
      <w:color w:val="0F4761" w:themeColor="accent1" w:themeShade="BF"/>
      <w:spacing w:val="5"/>
    </w:rPr>
  </w:style>
  <w:style w:type="paragraph" w:styleId="Header">
    <w:name w:val="header"/>
    <w:basedOn w:val="Normal"/>
    <w:link w:val="HeaderChar"/>
    <w:uiPriority w:val="99"/>
    <w:unhideWhenUsed/>
    <w:rsid w:val="00961960"/>
    <w:pPr>
      <w:tabs>
        <w:tab w:val="center" w:pos="4677"/>
        <w:tab w:val="right" w:pos="9355"/>
      </w:tabs>
      <w:spacing w:after="0" w:line="240" w:lineRule="auto"/>
    </w:pPr>
  </w:style>
  <w:style w:type="character" w:customStyle="1" w:styleId="HeaderChar">
    <w:name w:val="Header Char"/>
    <w:basedOn w:val="DefaultParagraphFont"/>
    <w:link w:val="Header"/>
    <w:uiPriority w:val="99"/>
    <w:rsid w:val="00961960"/>
  </w:style>
  <w:style w:type="paragraph" w:styleId="Footer">
    <w:name w:val="footer"/>
    <w:basedOn w:val="Normal"/>
    <w:link w:val="FooterChar"/>
    <w:uiPriority w:val="99"/>
    <w:unhideWhenUsed/>
    <w:rsid w:val="00961960"/>
    <w:pPr>
      <w:tabs>
        <w:tab w:val="center" w:pos="4677"/>
        <w:tab w:val="right" w:pos="9355"/>
      </w:tabs>
      <w:spacing w:after="0" w:line="240" w:lineRule="auto"/>
    </w:pPr>
  </w:style>
  <w:style w:type="character" w:customStyle="1" w:styleId="FooterChar">
    <w:name w:val="Footer Char"/>
    <w:basedOn w:val="DefaultParagraphFont"/>
    <w:link w:val="Footer"/>
    <w:uiPriority w:val="99"/>
    <w:rsid w:val="00961960"/>
  </w:style>
  <w:style w:type="table" w:styleId="TableGrid">
    <w:name w:val="Table Grid"/>
    <w:basedOn w:val="TableNormal"/>
    <w:uiPriority w:val="39"/>
    <w:rsid w:val="009B0A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lobotrico\AppData\Local\Temp\Templafy\WordVsto\vkpyjce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TemplafyFormConfiguration><![CDATA[{"formFields":[],"formDataEntries":[]}]]></TemplafyFormConfiguration>
</file>

<file path=customXml/item2.xml><?xml version="1.0" encoding="utf-8"?>
<TemplafyTemplateConfiguration><![CDATA[{"elementsMetadata":[],"transformationConfigurations":[],"templateName":"blankdocument","templateDescription":"","enableDocumentContentUpdater":false,"version":"2.0"}]]></TemplafyTemplateConfiguration>
</file>

<file path=customXml/itemProps1.xml><?xml version="1.0" encoding="utf-8"?>
<ds:datastoreItem xmlns:ds="http://schemas.openxmlformats.org/officeDocument/2006/customXml" ds:itemID="{7076626C-638D-40B6-8763-B743F2C533E1}">
  <ds:schemaRefs/>
</ds:datastoreItem>
</file>

<file path=customXml/itemProps2.xml><?xml version="1.0" encoding="utf-8"?>
<ds:datastoreItem xmlns:ds="http://schemas.openxmlformats.org/officeDocument/2006/customXml" ds:itemID="{F65CA0ED-96EF-4260-A2FA-3B6BF0118885}">
  <ds:schemaRefs/>
</ds:datastoreItem>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vkpyjcet.dotx</Template>
  <TotalTime>1</TotalTime>
  <Pages>1</Pages>
  <Words>2108</Words>
  <Characters>12019</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Lobotrico, Juan</dc:creator>
  <cp:keywords/>
  <dc:description/>
  <cp:lastModifiedBy>Rombola, Augusto</cp:lastModifiedBy>
  <cp:revision>2</cp:revision>
  <dcterms:created xsi:type="dcterms:W3CDTF">2026-08-05T19:40:00Z</dcterms:created>
  <dcterms:modified xsi:type="dcterms:W3CDTF">2026-08-05T19:40:00Z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mplafyTenantId">
    <vt:lpwstr>slatamdeloitte</vt:lpwstr>
  </property>
  <property fmtid="{D5CDD505-2E9C-101B-9397-08002B2CF9AE}" pid="3" name="TemplafyTemplateId">
    <vt:lpwstr>1106122253144948736</vt:lpwstr>
  </property>
  <property fmtid="{D5CDD505-2E9C-101B-9397-08002B2CF9AE}" pid="4" name="TemplafyUserProfileId">
    <vt:lpwstr>1268001142125888499</vt:lpwstr>
  </property>
  <property fmtid="{D5CDD505-2E9C-101B-9397-08002B2CF9AE}" pid="5" name="TemplafyFromBlank">
    <vt:bool>true</vt:bool>
  </property>
</Properties>
</file>