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Revisión de Riesgos IA – resumen</w:t>
      </w:r>
    </w:p>
    <w:p>
      <w:pPr>
        <w:pBdr>
          <w:bottom w:val="single" w:sz="6" w:space="4" w:color="1F3864"/>
        </w:pBdr>
        <w:spacing w:after="200"/>
      </w:pPr>
      <w:r>
        <w:rPr>
          <w:color w:val="595959"/>
          <w:sz w:val="19"/>
        </w:rPr>
        <w:t>Proyecto PEYA · 28/10/2026</w:t>
      </w:r>
    </w:p>
    <w:p>
      <w:pPr>
        <w:spacing w:after="160"/>
      </w:pPr>
      <w:r>
        <w:rPr>
          <w:b/>
        </w:rPr>
        <w:t xml:space="preserve">Resultado: </w:t>
      </w:r>
      <w:r>
        <w:t>riesgo Medio, con VoBo para avanzar. Riesgos pide 6 controles; solo el primero es condición para arrancar. Los 6 ya están implementados.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Qué pide Riesgos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Cómo lo resolvemos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1. Búsqueda web (obligatorio antes del arranque)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Lo que la IA identifica buscando en internet se aprueba solo si el propio modelo dice tener confianza alta o media. Pero esa confianza la informa el mismo modelo y puede equivocarse: es la ruta más riesgosa.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Nunca se aprueba solo. Un segundo modelo lo vuelve a buscar sin ver el primer resultado; si no coinciden, revisa una persona. Además, el 20% de los que coinciden también lo revisa una persona.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2. Errores después de la entrega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Está previsto qué hacer si se cae el proveedor, pero no qué hacer si entregamos un resultado mal.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Protocolo con plazos y responsables: registro (1 día), confirmación del especialista (2), reentrega aprobada por el gerente (5 días hábiles) y aviso al cliente por la socia si cambia una alícuota declarada.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3. Bitácora de corridas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Hay que poder saber quién corrió cada proceso, con qué modelo exacto y quién aprobó la revisión, y dónde queda ese registro.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Cada corrida registra usuario, proveedor, modelo usado, versiones y quién revisó (obligatorio). Sin datos del cliente. Hoy queda en el equipo de Deloitte; después, en Azure.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4. Versión de las instrucciones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Cambiar las instrucciones del modelo cambia los resultados; tiene que quedar registrado.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Cada versión de las instrucciones tiene un identificador automático que queda en la bitácora.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5. Umbral de precisión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Definir cuánta precisión es suficiente y probar de nuevo cada vez que se cambie de modelo o proveedor.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Mínimo 95% de aciertos y mejor que el motor actual (80%). La herramienta no corre con un modelo que no pasó la prueba.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6a. Cuánto tiempo guardamos los archivos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En el formulario dijimos "según la política del compromiso", sin plazo. Pide un plazo concreto y un borrado periódico de los Excel del cliente y de los reportes.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Se borran automáticamente a los 90 días y queda registro de cada borrado. El catálogo clasificado no se borra porque es el entregable.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b/>
                <w:sz w:val="19"/>
              </w:rPr>
              <w:t>6b. Qué datos se mandan a la IA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El formulario se contradice: en una respuesta dice que mandamos nombre, país y alícuotas; en otra, nombre, país y proveedor. Pide dejar una sola versión.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b w:val="0"/>
                <w:sz w:val="19"/>
              </w:rPr>
              <w:t>La correcta es nombre, país y proveedor (verificado en el código). Las alícuotas nunca se mandan: la comparación se hace en nuestro equipo, sin IA. Corregimos el formulario.</w:t>
            </w:r>
          </w:p>
        </w:tc>
      </w:tr>
    </w:tbl>
    <w:p>
      <w:pPr>
        <w:spacing w:before="240"/>
      </w:pPr>
      <w:r>
        <w:rPr>
          <w:b/>
          <w:color w:val="1F3864"/>
          <w:sz w:val="24"/>
        </w:rPr>
        <w:t>Para confirmar</w:t>
      </w:r>
    </w:p>
    <w:p>
      <w:pPr>
        <w:pStyle w:val="ListBullet"/>
        <w:spacing w:after="40"/>
      </w:pPr>
      <w:r>
        <w:t>Porcentaje de control en búsqueda web: 20%.</w:t>
      </w:r>
    </w:p>
    <w:p>
      <w:pPr>
        <w:pStyle w:val="ListBullet"/>
        <w:spacing w:after="40"/>
      </w:pPr>
      <w:r>
        <w:t>Precisión mínima: 95%.</w:t>
      </w:r>
    </w:p>
    <w:p>
      <w:pPr>
        <w:pStyle w:val="ListBullet"/>
        <w:spacing w:after="40"/>
      </w:pPr>
      <w:r>
        <w:t>Plazo de reentrega ante un error: 5 días hábiles.</w:t>
      </w:r>
    </w:p>
    <w:p>
      <w:pPr>
        <w:pStyle w:val="ListBullet"/>
        <w:spacing w:after="40"/>
      </w:pPr>
      <w:r>
        <w:t>Especialista tributario responsable de confirmar alícuotas: a definir.</w:t>
      </w:r>
    </w:p>
    <w:p>
      <w:pPr>
        <w:pStyle w:val="ListBullet"/>
        <w:spacing w:after="40"/>
      </w:pPr>
      <w:r>
        <w:t>Retención de archivos: 90 días (alinear con la política del compromiso).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