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41DB" w14:textId="77777777" w:rsidR="00B225DC" w:rsidRPr="00B225DC" w:rsidRDefault="00000000" w:rsidP="00B225DC">
      <w:r>
        <w:pict w14:anchorId="55D4404F">
          <v:rect id="_x0000_i1025" style="width:0;height:1.5pt" o:hralign="center" o:hrstd="t" o:hr="t" fillcolor="#a0a0a0" stroked="f"/>
        </w:pict>
      </w:r>
    </w:p>
    <w:p w14:paraId="16836D6A" w14:textId="77777777" w:rsidR="00B225DC" w:rsidRPr="00B225DC" w:rsidRDefault="00B225DC" w:rsidP="00B225DC">
      <w:pPr>
        <w:rPr>
          <w:b/>
          <w:bCs/>
          <w:lang w:val="es-AR"/>
        </w:rPr>
      </w:pPr>
      <w:r w:rsidRPr="00B225DC">
        <w:rPr>
          <w:b/>
          <w:bCs/>
          <w:lang w:val="es-AR"/>
        </w:rPr>
        <w:t>Asesoramiento Técnico Financiero – Marcas y Patentes prestados desde el exterior</w:t>
      </w:r>
    </w:p>
    <w:p w14:paraId="12E0A0A8" w14:textId="0E43F056" w:rsidR="000B0FE3" w:rsidRPr="009A73C8" w:rsidRDefault="009A73C8" w:rsidP="00B225DC">
      <w:pPr>
        <w:rPr>
          <w:b/>
          <w:bCs/>
          <w:lang w:val="es-AR"/>
        </w:rPr>
      </w:pPr>
      <w:r w:rsidRPr="009A73C8">
        <w:rPr>
          <w:b/>
          <w:bCs/>
          <w:lang w:val="es-AR"/>
        </w:rPr>
        <w:t>1. Concepto</w:t>
      </w:r>
    </w:p>
    <w:p w14:paraId="3922CE72" w14:textId="2BB1A098" w:rsidR="009A73C8" w:rsidRDefault="009A73C8" w:rsidP="009A73C8">
      <w:pPr>
        <w:rPr>
          <w:lang w:val="es-MX"/>
        </w:rPr>
      </w:pPr>
      <w:r w:rsidRPr="009A73C8">
        <w:rPr>
          <w:u w:val="single"/>
          <w:lang w:val="es-MX"/>
        </w:rPr>
        <w:t>Asesoramiento Técnico:</w:t>
      </w:r>
      <w:r>
        <w:rPr>
          <w:lang w:val="es-MX"/>
        </w:rPr>
        <w:t xml:space="preserve"> </w:t>
      </w:r>
      <w:r w:rsidRPr="009A73C8">
        <w:rPr>
          <w:lang w:val="es-MX"/>
        </w:rPr>
        <w:t xml:space="preserve">La Resolución (INTI) 13/1987 define que el término asesoramiento técnico comprende aquellos servicios de asistencia técnica, ingeniería o consultoría brindados conforme a las reglas del arte, que se cumplan bajo la forma de locación de obra intelectual o locación de servicios, se paguen en forma proporcional a la duración o monto del trabajo realizado y en los que el proveedor asuma una obligación de brindar prestaciones específicas determinadas. </w:t>
      </w:r>
    </w:p>
    <w:p w14:paraId="07366357" w14:textId="77777777" w:rsidR="009A73C8" w:rsidRPr="009E5F9F" w:rsidRDefault="009A73C8" w:rsidP="009A73C8">
      <w:pPr>
        <w:rPr>
          <w:highlight w:val="yellow"/>
          <w:lang w:val="es-AR"/>
        </w:rPr>
      </w:pPr>
      <w:r w:rsidRPr="009E5F9F">
        <w:rPr>
          <w:highlight w:val="yellow"/>
          <w:u w:val="single"/>
          <w:lang w:val="es-MX"/>
        </w:rPr>
        <w:t>Marcas:</w:t>
      </w:r>
      <w:r w:rsidRPr="009E5F9F">
        <w:rPr>
          <w:highlight w:val="yellow"/>
          <w:lang w:val="es-MX"/>
        </w:rPr>
        <w:t xml:space="preserve"> La marca es el identificador comercial de los bienes y servicios que ofrece una empresa y los diferencia de los de la competencia.</w:t>
      </w:r>
      <w:r w:rsidRPr="009E5F9F">
        <w:rPr>
          <w:highlight w:val="yellow"/>
          <w:lang w:val="es-AR"/>
        </w:rPr>
        <w:t xml:space="preserve"> </w:t>
      </w:r>
    </w:p>
    <w:p w14:paraId="0F107592" w14:textId="17829261" w:rsidR="009A73C8" w:rsidRDefault="009A73C8" w:rsidP="009A73C8">
      <w:pPr>
        <w:rPr>
          <w:lang w:val="es-MX"/>
        </w:rPr>
      </w:pPr>
      <w:r w:rsidRPr="009E5F9F">
        <w:rPr>
          <w:highlight w:val="yellow"/>
          <w:lang w:val="es-MX"/>
        </w:rPr>
        <w:t>La marca identifica al producto o servicio que se ofrece en el mercado y permite que los consumidores lo reconozcan. Así, por ejemplo, las bebidas gaseosas de Coca-Cola son ampliamente reconocidas por los consumidores quienes las buscan y las diferencian de otros productos muy similares.</w:t>
      </w:r>
    </w:p>
    <w:p w14:paraId="1C89E74E" w14:textId="2C2CE71B" w:rsidR="009A73C8" w:rsidRPr="009E5F9F" w:rsidRDefault="009A73C8" w:rsidP="009A73C8">
      <w:pPr>
        <w:rPr>
          <w:highlight w:val="yellow"/>
          <w:lang w:val="es-MX"/>
        </w:rPr>
      </w:pPr>
      <w:r w:rsidRPr="009E5F9F">
        <w:rPr>
          <w:highlight w:val="yellow"/>
          <w:u w:val="single"/>
          <w:lang w:val="es-MX"/>
        </w:rPr>
        <w:t>Patentes:</w:t>
      </w:r>
      <w:r w:rsidRPr="009E5F9F">
        <w:rPr>
          <w:highlight w:val="yellow"/>
          <w:lang w:val="es-MX"/>
        </w:rPr>
        <w:t xml:space="preserve"> Una patente es un derecho otorgado por el Estado (u otra autoridad pertinente) a un inventor de modo que este sea el único autorizado para explotar y obtener ganancias de su invención durante un período de tiempo limitado. </w:t>
      </w:r>
    </w:p>
    <w:p w14:paraId="1D5BCCC9" w14:textId="75ED6AC7" w:rsidR="009A73C8" w:rsidRPr="009A73C8" w:rsidRDefault="009A73C8" w:rsidP="009A73C8">
      <w:pPr>
        <w:rPr>
          <w:lang w:val="es-AR"/>
        </w:rPr>
      </w:pPr>
      <w:r w:rsidRPr="009E5F9F">
        <w:rPr>
          <w:highlight w:val="yellow"/>
          <w:lang w:val="es-AR"/>
        </w:rPr>
        <w:t>Una patente es un derecho exclusivo que se otorga al creador o inventor de un cierto producto o servicio. Este derecho le permite fabricar y comercializar su invento de manera exclusiva, pudiendo demandar a cualquier otra persona u organización que intente copiar su invento.</w:t>
      </w:r>
    </w:p>
    <w:p w14:paraId="2B78CFEE" w14:textId="302A1ABB" w:rsidR="009A73C8" w:rsidRPr="00C30FD3" w:rsidRDefault="00C30FD3" w:rsidP="00B225DC">
      <w:pPr>
        <w:rPr>
          <w:b/>
          <w:bCs/>
          <w:lang w:val="es-AR"/>
        </w:rPr>
      </w:pPr>
      <w:r w:rsidRPr="00C30FD3">
        <w:rPr>
          <w:b/>
          <w:bCs/>
          <w:lang w:val="es-AR"/>
        </w:rPr>
        <w:t>2. Encuadre de Fuente y Objeto</w:t>
      </w:r>
    </w:p>
    <w:p w14:paraId="127C810E" w14:textId="390BC52D" w:rsidR="00C30FD3" w:rsidRPr="00C30FD3" w:rsidRDefault="00C30FD3" w:rsidP="00C30FD3">
      <w:pPr>
        <w:rPr>
          <w:lang w:val="es-AR"/>
        </w:rPr>
      </w:pPr>
      <w:r w:rsidRPr="00F37C6C">
        <w:rPr>
          <w:u w:val="single"/>
          <w:lang w:val="es-AR"/>
        </w:rPr>
        <w:t xml:space="preserve">Art. </w:t>
      </w:r>
      <w:r w:rsidR="00F37C6C" w:rsidRPr="00F37C6C">
        <w:rPr>
          <w:u w:val="single"/>
          <w:lang w:val="es-AR"/>
        </w:rPr>
        <w:t>13</w:t>
      </w:r>
      <w:r w:rsidR="00CA7A0B">
        <w:rPr>
          <w:u w:val="single"/>
          <w:lang w:val="es-AR"/>
        </w:rPr>
        <w:t xml:space="preserve"> </w:t>
      </w:r>
      <w:r w:rsidR="0081648D">
        <w:rPr>
          <w:u w:val="single"/>
          <w:lang w:val="es-AR"/>
        </w:rPr>
        <w:t>LIG</w:t>
      </w:r>
      <w:r w:rsidR="00F37C6C" w:rsidRPr="00F37C6C">
        <w:rPr>
          <w:u w:val="single"/>
          <w:lang w:val="es-AR"/>
        </w:rPr>
        <w:t>:</w:t>
      </w:r>
      <w:r w:rsidR="00F37C6C" w:rsidRPr="00F37C6C">
        <w:rPr>
          <w:lang w:val="es-AR"/>
        </w:rPr>
        <w:t xml:space="preserve"> “</w:t>
      </w:r>
      <w:r w:rsidRPr="00C30FD3">
        <w:rPr>
          <w:lang w:val="es-AR"/>
        </w:rPr>
        <w:t>Serán consideradas ganancias de fuente argentina las remuneraciones o sueldos de miembros de directorios, consejos u otros organismos -de empresas o entidades constituidas o domiciliadas en el país- que actúen en el extranjero.</w:t>
      </w:r>
      <w:r w:rsidR="00F37C6C">
        <w:rPr>
          <w:lang w:val="es-AR"/>
        </w:rPr>
        <w:t>”</w:t>
      </w:r>
    </w:p>
    <w:p w14:paraId="4D6FB3E7" w14:textId="77777777" w:rsidR="00C30FD3" w:rsidRPr="00C30FD3" w:rsidRDefault="00C30FD3" w:rsidP="00C30FD3">
      <w:pPr>
        <w:rPr>
          <w:lang w:val="es-AR"/>
        </w:rPr>
      </w:pPr>
      <w:r w:rsidRPr="00C30FD3">
        <w:rPr>
          <w:lang w:val="es-AR"/>
        </w:rPr>
        <w:t>Asimismo, serán considerados de fuente argentina los honorarios u otras remuneraciones originados por asesoramiento técnico, financiero o de otra índole prestado desde el exterior.</w:t>
      </w:r>
    </w:p>
    <w:p w14:paraId="53A08A28" w14:textId="3DDD8164" w:rsidR="00C30FD3" w:rsidRPr="00C30FD3" w:rsidRDefault="00C30FD3" w:rsidP="00B225DC">
      <w:pPr>
        <w:rPr>
          <w:lang w:val="es-AR"/>
        </w:rPr>
      </w:pPr>
      <w:r w:rsidRPr="00F37C6C">
        <w:rPr>
          <w:u w:val="single"/>
          <w:lang w:val="es-AR"/>
        </w:rPr>
        <w:t>Art. 5</w:t>
      </w:r>
      <w:r w:rsidR="0081648D">
        <w:rPr>
          <w:u w:val="single"/>
          <w:lang w:val="es-AR"/>
        </w:rPr>
        <w:t xml:space="preserve"> LIG</w:t>
      </w:r>
      <w:r w:rsidR="00F37C6C" w:rsidRPr="00F37C6C">
        <w:rPr>
          <w:u w:val="single"/>
          <w:lang w:val="es-AR"/>
        </w:rPr>
        <w:t>:</w:t>
      </w:r>
      <w:r w:rsidRPr="00F37C6C">
        <w:rPr>
          <w:lang w:val="es-AR"/>
        </w:rPr>
        <w:t> </w:t>
      </w:r>
      <w:r w:rsidR="00F37C6C" w:rsidRPr="00F37C6C">
        <w:rPr>
          <w:lang w:val="es-AR"/>
        </w:rPr>
        <w:t>“</w:t>
      </w:r>
      <w:r w:rsidRPr="00C30FD3">
        <w:rPr>
          <w:lang w:val="es-AR"/>
        </w:rPr>
        <w:t xml:space="preserve">En general, y sin perjuicio de las disposiciones especiales de los artículos siguientes, son ganancias de fuente argentina aquellas que provienen de bienes situados, colocados o utilizados económicamente en la República, de la realización en el territorio de la Nación de cualquier acto o actividad susceptible de producir beneficios, o de hechos </w:t>
      </w:r>
      <w:r w:rsidRPr="00C30FD3">
        <w:rPr>
          <w:lang w:val="es-AR"/>
        </w:rPr>
        <w:lastRenderedPageBreak/>
        <w:t>ocurridos dentro del límite de la misma, sin tener en cuenta nacionalidad, domicilio o residencia del titular o de las partes que intervengan en las operaciones, ni el lugar de celebración de los contratos.</w:t>
      </w:r>
      <w:r w:rsidR="00AD3AB6">
        <w:rPr>
          <w:lang w:val="es-AR"/>
        </w:rPr>
        <w:t>”</w:t>
      </w:r>
    </w:p>
    <w:p w14:paraId="22E7A723" w14:textId="02B98E90" w:rsidR="000B0FE3" w:rsidRDefault="00F37C6C" w:rsidP="00B225DC">
      <w:pPr>
        <w:rPr>
          <w:b/>
          <w:bCs/>
          <w:lang w:val="es-AR"/>
        </w:rPr>
      </w:pPr>
      <w:r>
        <w:rPr>
          <w:b/>
          <w:bCs/>
          <w:lang w:val="es-AR"/>
        </w:rPr>
        <w:t>3</w:t>
      </w:r>
      <w:r w:rsidRPr="000B0FE3">
        <w:rPr>
          <w:b/>
          <w:bCs/>
          <w:lang w:val="es-AR"/>
        </w:rPr>
        <w:t>. Limitaciones a la Deducibilidad (Gastos No Admitidos)</w:t>
      </w:r>
    </w:p>
    <w:p w14:paraId="58556144" w14:textId="2A9FFFCB" w:rsidR="006B2C23" w:rsidRPr="009946F3" w:rsidRDefault="006B2C23" w:rsidP="00B225DC">
      <w:pPr>
        <w:rPr>
          <w:lang w:val="es-AR"/>
        </w:rPr>
      </w:pPr>
      <w:r>
        <w:rPr>
          <w:b/>
          <w:bCs/>
          <w:lang w:val="es-AR"/>
        </w:rPr>
        <w:t>Art. 92</w:t>
      </w:r>
      <w:r w:rsidR="0081648D">
        <w:rPr>
          <w:b/>
          <w:bCs/>
          <w:lang w:val="es-AR"/>
        </w:rPr>
        <w:t xml:space="preserve"> LIG</w:t>
      </w:r>
      <w:r w:rsidR="009946F3">
        <w:rPr>
          <w:b/>
          <w:bCs/>
          <w:lang w:val="es-AR"/>
        </w:rPr>
        <w:t>:</w:t>
      </w:r>
      <w:r w:rsidR="009946F3" w:rsidRPr="009946F3">
        <w:rPr>
          <w:lang w:val="es-AR"/>
        </w:rPr>
        <w:t xml:space="preserve"> No serán deducibles, sin distinción de categorías</w:t>
      </w:r>
      <w:r w:rsidR="009946F3">
        <w:rPr>
          <w:lang w:val="es-AR"/>
        </w:rPr>
        <w:t>:</w:t>
      </w:r>
    </w:p>
    <w:p w14:paraId="25444959" w14:textId="05279826" w:rsidR="000B0FE3" w:rsidRDefault="00F37C6C" w:rsidP="00B225DC">
      <w:pPr>
        <w:rPr>
          <w:lang w:val="es-AR"/>
        </w:rPr>
      </w:pPr>
      <w:r w:rsidRPr="007861C2">
        <w:rPr>
          <w:b/>
          <w:bCs/>
          <w:u w:val="single"/>
          <w:lang w:val="es-AR"/>
        </w:rPr>
        <w:t>inc. E</w:t>
      </w:r>
      <w:r w:rsidRPr="00F37C6C">
        <w:rPr>
          <w:u w:val="single"/>
          <w:lang w:val="es-AR"/>
        </w:rPr>
        <w:t>:</w:t>
      </w:r>
      <w:r>
        <w:rPr>
          <w:lang w:val="es-AR"/>
        </w:rPr>
        <w:t xml:space="preserve"> “</w:t>
      </w:r>
      <w:r w:rsidRPr="00F37C6C">
        <w:rPr>
          <w:lang w:val="es-AR"/>
        </w:rPr>
        <w:t>Las remuneraciones o sueldos que se abonen a miembros de directorios, consejos u otros organismos que actúen en el extranjero, y los honorarios y otras remuneraciones pagadas por asesoramiento técnico-financiero o de otra índole prestado desde el exterior, en los montos que excedan de los límites que al respecto fije la reglamentación.</w:t>
      </w:r>
      <w:r>
        <w:rPr>
          <w:lang w:val="es-AR"/>
        </w:rPr>
        <w:t>”</w:t>
      </w:r>
    </w:p>
    <w:p w14:paraId="786A6683" w14:textId="0A784E14" w:rsidR="00543035" w:rsidRPr="00543035" w:rsidRDefault="002575F1" w:rsidP="00543035">
      <w:pPr>
        <w:rPr>
          <w:lang w:val="es-AR"/>
        </w:rPr>
      </w:pPr>
      <w:r w:rsidRPr="0005703E">
        <w:rPr>
          <w:b/>
          <w:bCs/>
          <w:lang w:val="es-AR"/>
        </w:rPr>
        <w:t>(</w:t>
      </w:r>
      <w:r w:rsidR="006A0035">
        <w:rPr>
          <w:b/>
          <w:bCs/>
          <w:lang w:val="es-AR"/>
        </w:rPr>
        <w:t>Cálculo del límite</w:t>
      </w:r>
      <w:r w:rsidRPr="0005703E">
        <w:rPr>
          <w:b/>
          <w:bCs/>
          <w:lang w:val="es-AR"/>
        </w:rPr>
        <w:t xml:space="preserve">) </w:t>
      </w:r>
      <w:r w:rsidR="00543035" w:rsidRPr="00543035">
        <w:rPr>
          <w:lang w:val="es-AR"/>
        </w:rPr>
        <w:t>Art. 228 DR LIG: A efectos de lo dispuesto por el inciso e) del artículo 92 de la ley, el importe a deducir en concepto de honorarios u otras remuneraciones pagadas por asesoramiento técnico-financiero o de otra índole prestado desde el exterior, no podrá exceder alguno de los siguientes límites:</w:t>
      </w:r>
    </w:p>
    <w:p w14:paraId="7F5C80BB" w14:textId="496EB773" w:rsidR="00543035" w:rsidRPr="00543035" w:rsidRDefault="00543035" w:rsidP="00543035">
      <w:pPr>
        <w:rPr>
          <w:lang w:val="es-AR"/>
        </w:rPr>
      </w:pPr>
      <w:r w:rsidRPr="00543035">
        <w:rPr>
          <w:lang w:val="es-AR"/>
        </w:rPr>
        <w:t>a) el TRES POR CIENTO (3 %) de las ventas o ingresos que se tomen como base contractual para la retribución del asesoramiento;</w:t>
      </w:r>
    </w:p>
    <w:p w14:paraId="12CC3B8B" w14:textId="1AC37DAC" w:rsidR="00543035" w:rsidRPr="00543035" w:rsidRDefault="00543035" w:rsidP="00543035">
      <w:pPr>
        <w:rPr>
          <w:lang w:val="es-AR"/>
        </w:rPr>
      </w:pPr>
      <w:r w:rsidRPr="00543035">
        <w:rPr>
          <w:lang w:val="es-AR"/>
        </w:rPr>
        <w:t>b) el CINCO POR CIENTO (5 %) del monto de la inversión efectivamente realizada con motivo del asesoramiento.</w:t>
      </w:r>
    </w:p>
    <w:p w14:paraId="5DBAA20A" w14:textId="3E6C3F4E" w:rsidR="00543035" w:rsidRDefault="00F37C6C" w:rsidP="00B225DC">
      <w:pPr>
        <w:rPr>
          <w:lang w:val="es-AR"/>
        </w:rPr>
      </w:pPr>
      <w:r w:rsidRPr="007861C2">
        <w:rPr>
          <w:b/>
          <w:bCs/>
          <w:u w:val="single"/>
          <w:lang w:val="es-AR"/>
        </w:rPr>
        <w:t>inc. M:</w:t>
      </w:r>
      <w:r>
        <w:rPr>
          <w:lang w:val="es-AR"/>
        </w:rPr>
        <w:t xml:space="preserve"> “</w:t>
      </w:r>
      <w:r w:rsidRPr="00F37C6C">
        <w:rPr>
          <w:lang w:val="es-AR"/>
        </w:rPr>
        <w:t>Las retribuciones por la explotación de marcas y patentes pertenecientes a sujetos del exterior, en los montos que excedan los límites que al respecto fije la reglamentación.</w:t>
      </w:r>
      <w:r>
        <w:rPr>
          <w:lang w:val="es-AR"/>
        </w:rPr>
        <w:t>”</w:t>
      </w:r>
    </w:p>
    <w:p w14:paraId="3F12B8CA" w14:textId="5C526DF6" w:rsidR="00543035" w:rsidRPr="00543035" w:rsidRDefault="006A0035" w:rsidP="00543035">
      <w:pPr>
        <w:rPr>
          <w:lang w:val="es-AR"/>
        </w:rPr>
      </w:pPr>
      <w:r w:rsidRPr="0005703E">
        <w:rPr>
          <w:b/>
          <w:bCs/>
          <w:lang w:val="es-AR"/>
        </w:rPr>
        <w:t>(</w:t>
      </w:r>
      <w:r>
        <w:rPr>
          <w:b/>
          <w:bCs/>
          <w:lang w:val="es-AR"/>
        </w:rPr>
        <w:t>Cálculo del límite</w:t>
      </w:r>
      <w:r w:rsidRPr="0005703E">
        <w:rPr>
          <w:b/>
          <w:bCs/>
          <w:lang w:val="es-AR"/>
        </w:rPr>
        <w:t>)</w:t>
      </w:r>
      <w:r>
        <w:rPr>
          <w:b/>
          <w:bCs/>
          <w:lang w:val="es-AR"/>
        </w:rPr>
        <w:t xml:space="preserve"> </w:t>
      </w:r>
      <w:r w:rsidR="00543035">
        <w:rPr>
          <w:lang w:val="es-AR"/>
        </w:rPr>
        <w:t xml:space="preserve">Art. 229 DR LIG: </w:t>
      </w:r>
      <w:r w:rsidR="00543035" w:rsidRPr="00543035">
        <w:rPr>
          <w:lang w:val="es-AR"/>
        </w:rPr>
        <w:t>A efectos de lo dispuesto por el inciso m) del artículo 92 de la ley, sólo será deducible el OCHENTA POR CIENTO (80 %) de las retribuciones que se abonen por la explotación de marcas y patentes a sujetos del exterior, en cuyo caso serán de aplicación las disposiciones establecidas en el último párrafo del artículo 24 de la ley.</w:t>
      </w:r>
    </w:p>
    <w:p w14:paraId="5C6675FB" w14:textId="4C480682" w:rsidR="00543035" w:rsidRDefault="00543035" w:rsidP="00543035">
      <w:pPr>
        <w:rPr>
          <w:lang w:val="es-AR"/>
        </w:rPr>
      </w:pPr>
      <w:r w:rsidRPr="00543035">
        <w:rPr>
          <w:lang w:val="es-AR"/>
        </w:rPr>
        <w:t>La limitación prevista en el párrafo anterior procederá tanto para las empresas independientes como para las empresas vinculadas. Respecto de estas últimas, dicha limitación será aplicable de acuerdo con lo dispuesto en el artículo 17 de la ley, sobre el precio normal de mercado entre partes independientes.</w:t>
      </w:r>
    </w:p>
    <w:p w14:paraId="7F58C982" w14:textId="1CBC4159" w:rsidR="00543035" w:rsidRPr="00F37C6C" w:rsidRDefault="00B1307A" w:rsidP="00543035">
      <w:pPr>
        <w:rPr>
          <w:lang w:val="es-AR"/>
        </w:rPr>
      </w:pPr>
      <w:r>
        <w:rPr>
          <w:b/>
          <w:bCs/>
          <w:lang w:val="es-AR"/>
        </w:rPr>
        <w:t>4</w:t>
      </w:r>
      <w:r w:rsidR="00543035" w:rsidRPr="000B0FE3">
        <w:rPr>
          <w:b/>
          <w:bCs/>
          <w:lang w:val="es-AR"/>
        </w:rPr>
        <w:t>. Criterio de Pago y Vinculación</w:t>
      </w:r>
    </w:p>
    <w:p w14:paraId="793C3609" w14:textId="3A82A97F" w:rsidR="000B0FE3" w:rsidRDefault="00B1307A" w:rsidP="00B225DC">
      <w:pPr>
        <w:rPr>
          <w:lang w:val="es-AR"/>
        </w:rPr>
      </w:pPr>
      <w:r>
        <w:rPr>
          <w:lang w:val="es-AR"/>
        </w:rPr>
        <w:t>Art. 24 (</w:t>
      </w:r>
      <w:r w:rsidR="009D2C2D">
        <w:rPr>
          <w:lang w:val="es-AR"/>
        </w:rPr>
        <w:t>último</w:t>
      </w:r>
      <w:r>
        <w:rPr>
          <w:lang w:val="es-AR"/>
        </w:rPr>
        <w:t xml:space="preserve"> párrafo)</w:t>
      </w:r>
      <w:r w:rsidR="0081648D">
        <w:rPr>
          <w:lang w:val="es-AR"/>
        </w:rPr>
        <w:t xml:space="preserve"> LIG</w:t>
      </w:r>
      <w:r>
        <w:rPr>
          <w:lang w:val="es-AR"/>
        </w:rPr>
        <w:t>: “</w:t>
      </w:r>
      <w:r w:rsidRPr="00B1307A">
        <w:rPr>
          <w:lang w:val="es-AR"/>
        </w:rPr>
        <w:t xml:space="preserve">Tratándose de erogaciones efectuadas por empresas locales que resulten ganancias de fuente argentina para personas o entes del extranjero con los que dichas empresas se encuentren vinculadas o para personas o entes ubicados, </w:t>
      </w:r>
      <w:r w:rsidRPr="00B1307A">
        <w:rPr>
          <w:lang w:val="es-AR"/>
        </w:rPr>
        <w:lastRenderedPageBreak/>
        <w:t>constituidos, radicados o domiciliados en jurisdicciones no cooperantes o de baja o nula tributación, la imputación al balance impositivo solo podrá efectuarse cuando se paguen o configure alguno de los casos previstos en el sexto párrafo de este artículo o, en su defecto, si alguna de las circunstancias mencionadas se configura dentro del plazo previsto para la presentación de la declaración jurada en la que se haya devengado la respectiva erogación.</w:t>
      </w:r>
      <w:r>
        <w:rPr>
          <w:lang w:val="es-AR"/>
        </w:rPr>
        <w:t>”</w:t>
      </w:r>
    </w:p>
    <w:p w14:paraId="00B67BFB" w14:textId="2550B259" w:rsidR="0042631F" w:rsidRPr="0042631F" w:rsidRDefault="0042631F" w:rsidP="0042631F">
      <w:pPr>
        <w:rPr>
          <w:u w:val="single"/>
          <w:lang w:val="es-AR"/>
        </w:rPr>
      </w:pPr>
      <w:r w:rsidRPr="0042631F">
        <w:rPr>
          <w:u w:val="single"/>
          <w:lang w:val="es-AR"/>
        </w:rPr>
        <w:t>Resumen para vinculadas o no vinculadas:</w:t>
      </w:r>
    </w:p>
    <w:p w14:paraId="7E550B70" w14:textId="77777777" w:rsidR="00F7655F" w:rsidRPr="00550396" w:rsidRDefault="00F7655F" w:rsidP="00F7655F">
      <w:pPr>
        <w:rPr>
          <w:b/>
          <w:bCs/>
          <w:i/>
          <w:iCs/>
          <w:lang w:val="es-AR"/>
        </w:rPr>
      </w:pPr>
      <w:r w:rsidRPr="00550396">
        <w:rPr>
          <w:b/>
          <w:bCs/>
          <w:i/>
          <w:iCs/>
          <w:lang w:val="es-AR"/>
        </w:rPr>
        <w:t>Asesoramiento técnico</w:t>
      </w:r>
    </w:p>
    <w:p w14:paraId="1FA4BFE0" w14:textId="77777777" w:rsidR="00F7655F" w:rsidRPr="00550396" w:rsidRDefault="00F7655F" w:rsidP="00550396">
      <w:pPr>
        <w:pStyle w:val="ListParagraph"/>
        <w:numPr>
          <w:ilvl w:val="0"/>
          <w:numId w:val="3"/>
        </w:numPr>
        <w:rPr>
          <w:lang w:val="es-AR"/>
        </w:rPr>
      </w:pPr>
      <w:r w:rsidRPr="00550396">
        <w:rPr>
          <w:lang w:val="es-AR"/>
        </w:rPr>
        <w:t>Local: deducible 100%.</w:t>
      </w:r>
    </w:p>
    <w:p w14:paraId="0E61B557" w14:textId="77777777" w:rsidR="00F7655F" w:rsidRPr="00550396" w:rsidRDefault="00F7655F" w:rsidP="00550396">
      <w:pPr>
        <w:pStyle w:val="ListParagraph"/>
        <w:numPr>
          <w:ilvl w:val="0"/>
          <w:numId w:val="3"/>
        </w:numPr>
        <w:rPr>
          <w:lang w:val="es-AR"/>
        </w:rPr>
      </w:pPr>
      <w:r w:rsidRPr="00550396">
        <w:rPr>
          <w:lang w:val="es-AR"/>
        </w:rPr>
        <w:t>Exterior: deducible con límite del 3% de ventas o 5% de la inversión (art. 228 DR).</w:t>
      </w:r>
    </w:p>
    <w:p w14:paraId="55769096" w14:textId="77777777" w:rsidR="00F7655F" w:rsidRPr="00550396" w:rsidRDefault="00F7655F" w:rsidP="00550396">
      <w:pPr>
        <w:pStyle w:val="ListParagraph"/>
        <w:numPr>
          <w:ilvl w:val="0"/>
          <w:numId w:val="3"/>
        </w:numPr>
        <w:rPr>
          <w:lang w:val="es-AR"/>
        </w:rPr>
      </w:pPr>
      <w:r w:rsidRPr="00550396">
        <w:rPr>
          <w:lang w:val="es-AR"/>
        </w:rPr>
        <w:t>Vinculada: sólo se deduce sobre lo pagado (o pagado antes del vencimiento de la DJ).</w:t>
      </w:r>
    </w:p>
    <w:p w14:paraId="4095BD5C" w14:textId="77777777" w:rsidR="00F7655F" w:rsidRPr="009E5F9F" w:rsidRDefault="00F7655F" w:rsidP="00550396">
      <w:pPr>
        <w:pStyle w:val="ListParagraph"/>
        <w:numPr>
          <w:ilvl w:val="0"/>
          <w:numId w:val="3"/>
        </w:numPr>
        <w:rPr>
          <w:highlight w:val="yellow"/>
          <w:lang w:val="es-AR"/>
        </w:rPr>
      </w:pPr>
      <w:r w:rsidRPr="009E5F9F">
        <w:rPr>
          <w:highlight w:val="yellow"/>
          <w:lang w:val="es-AR"/>
        </w:rPr>
        <w:t xml:space="preserve">No vinculada: la limitación </w:t>
      </w:r>
      <w:proofErr w:type="gramStart"/>
      <w:r w:rsidRPr="009E5F9F">
        <w:rPr>
          <w:highlight w:val="yellow"/>
          <w:lang w:val="es-AR"/>
        </w:rPr>
        <w:t>aplica</w:t>
      </w:r>
      <w:proofErr w:type="gramEnd"/>
      <w:r w:rsidRPr="009E5F9F">
        <w:rPr>
          <w:highlight w:val="yellow"/>
          <w:lang w:val="es-AR"/>
        </w:rPr>
        <w:t xml:space="preserve"> aunque no esté pagado.</w:t>
      </w:r>
    </w:p>
    <w:p w14:paraId="4B8E375B" w14:textId="77777777" w:rsidR="00F7655F" w:rsidRPr="009E5F9F" w:rsidRDefault="00F7655F" w:rsidP="00550396">
      <w:pPr>
        <w:pStyle w:val="ListParagraph"/>
        <w:numPr>
          <w:ilvl w:val="0"/>
          <w:numId w:val="3"/>
        </w:numPr>
        <w:rPr>
          <w:highlight w:val="yellow"/>
          <w:lang w:val="es-AR"/>
        </w:rPr>
      </w:pPr>
      <w:r w:rsidRPr="009E5F9F">
        <w:rPr>
          <w:highlight w:val="yellow"/>
          <w:lang w:val="es-AR"/>
        </w:rPr>
        <w:t>Verificar registración ante INPI cuando corresponda.</w:t>
      </w:r>
    </w:p>
    <w:p w14:paraId="29EE7C18" w14:textId="77777777" w:rsidR="00F7655F" w:rsidRPr="00550396" w:rsidRDefault="00F7655F" w:rsidP="00F7655F">
      <w:pPr>
        <w:rPr>
          <w:b/>
          <w:bCs/>
          <w:i/>
          <w:iCs/>
          <w:lang w:val="es-AR"/>
        </w:rPr>
      </w:pPr>
      <w:r w:rsidRPr="00550396">
        <w:rPr>
          <w:b/>
          <w:bCs/>
          <w:i/>
          <w:iCs/>
          <w:lang w:val="es-AR"/>
        </w:rPr>
        <w:t>Marcas y patentes</w:t>
      </w:r>
    </w:p>
    <w:p w14:paraId="3D1B7CFC" w14:textId="77777777" w:rsidR="00F7655F" w:rsidRPr="00550396" w:rsidRDefault="00F7655F" w:rsidP="00550396">
      <w:pPr>
        <w:pStyle w:val="ListParagraph"/>
        <w:numPr>
          <w:ilvl w:val="0"/>
          <w:numId w:val="4"/>
        </w:numPr>
        <w:rPr>
          <w:lang w:val="es-AR"/>
        </w:rPr>
      </w:pPr>
      <w:r w:rsidRPr="00550396">
        <w:rPr>
          <w:lang w:val="es-AR"/>
        </w:rPr>
        <w:t>Local: deducible 100%.</w:t>
      </w:r>
    </w:p>
    <w:p w14:paraId="6296A856" w14:textId="39A1C055" w:rsidR="00F7655F" w:rsidRPr="00550396" w:rsidRDefault="00F7655F" w:rsidP="00550396">
      <w:pPr>
        <w:pStyle w:val="ListParagraph"/>
        <w:numPr>
          <w:ilvl w:val="0"/>
          <w:numId w:val="4"/>
        </w:numPr>
        <w:rPr>
          <w:lang w:val="es-AR"/>
        </w:rPr>
      </w:pPr>
      <w:r w:rsidRPr="00550396">
        <w:rPr>
          <w:lang w:val="es-AR"/>
        </w:rPr>
        <w:t>Exterior: deducible sólo el 80% de la retribución</w:t>
      </w:r>
      <w:r w:rsidR="00550396" w:rsidRPr="00550396">
        <w:rPr>
          <w:lang w:val="es-AR"/>
        </w:rPr>
        <w:t xml:space="preserve"> (art. 22</w:t>
      </w:r>
      <w:r w:rsidR="00550396">
        <w:rPr>
          <w:lang w:val="es-AR"/>
        </w:rPr>
        <w:t>9</w:t>
      </w:r>
      <w:r w:rsidR="00550396" w:rsidRPr="00550396">
        <w:rPr>
          <w:lang w:val="es-AR"/>
        </w:rPr>
        <w:t xml:space="preserve"> DR).</w:t>
      </w:r>
    </w:p>
    <w:p w14:paraId="48C4CE72" w14:textId="77777777" w:rsidR="00F7655F" w:rsidRPr="00550396" w:rsidRDefault="00F7655F" w:rsidP="00550396">
      <w:pPr>
        <w:pStyle w:val="ListParagraph"/>
        <w:numPr>
          <w:ilvl w:val="0"/>
          <w:numId w:val="4"/>
        </w:numPr>
        <w:rPr>
          <w:lang w:val="es-AR"/>
        </w:rPr>
      </w:pPr>
      <w:r w:rsidRPr="00550396">
        <w:rPr>
          <w:lang w:val="es-AR"/>
        </w:rPr>
        <w:t>Vinculada: el 80% se aplica únicamente sobre lo pagado (o pagado antes del vencimiento de la DJ).</w:t>
      </w:r>
    </w:p>
    <w:p w14:paraId="361F36C8" w14:textId="70B32AF5" w:rsidR="00A31531" w:rsidRPr="002D2C54" w:rsidRDefault="00F7655F" w:rsidP="00B225DC">
      <w:pPr>
        <w:pStyle w:val="ListParagraph"/>
        <w:numPr>
          <w:ilvl w:val="0"/>
          <w:numId w:val="4"/>
        </w:numPr>
        <w:rPr>
          <w:lang w:val="es-AR"/>
        </w:rPr>
      </w:pPr>
      <w:r w:rsidRPr="00550396">
        <w:rPr>
          <w:lang w:val="es-AR"/>
        </w:rPr>
        <w:t>No vinculada: el 80% aplica independientemente del pago.</w:t>
      </w:r>
    </w:p>
    <w:p w14:paraId="149D28B7" w14:textId="77777777" w:rsidR="00A3668E" w:rsidRPr="000B0FE3" w:rsidRDefault="00A3668E" w:rsidP="00B225DC">
      <w:pPr>
        <w:rPr>
          <w:lang w:val="es-AR"/>
        </w:rPr>
      </w:pPr>
    </w:p>
    <w:sectPr w:rsidR="00A3668E" w:rsidRPr="000B0F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1BC"/>
    <w:multiLevelType w:val="hybridMultilevel"/>
    <w:tmpl w:val="F508D36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67F48CF"/>
    <w:multiLevelType w:val="hybridMultilevel"/>
    <w:tmpl w:val="E4C04770"/>
    <w:lvl w:ilvl="0" w:tplc="2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77F6CE2"/>
    <w:multiLevelType w:val="hybridMultilevel"/>
    <w:tmpl w:val="CEB464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1705D7A"/>
    <w:multiLevelType w:val="hybridMultilevel"/>
    <w:tmpl w:val="4C3E4396"/>
    <w:lvl w:ilvl="0" w:tplc="DC24F4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8540243">
    <w:abstractNumId w:val="3"/>
  </w:num>
  <w:num w:numId="2" w16cid:durableId="1234050997">
    <w:abstractNumId w:val="2"/>
  </w:num>
  <w:num w:numId="3" w16cid:durableId="2061585822">
    <w:abstractNumId w:val="1"/>
  </w:num>
  <w:num w:numId="4" w16cid:durableId="117114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6CF"/>
    <w:rsid w:val="00021CC7"/>
    <w:rsid w:val="0005703E"/>
    <w:rsid w:val="000B0FE3"/>
    <w:rsid w:val="000F7671"/>
    <w:rsid w:val="00155A08"/>
    <w:rsid w:val="002575F1"/>
    <w:rsid w:val="00297C67"/>
    <w:rsid w:val="002D2C54"/>
    <w:rsid w:val="00302749"/>
    <w:rsid w:val="003806C4"/>
    <w:rsid w:val="0039262D"/>
    <w:rsid w:val="0042631F"/>
    <w:rsid w:val="00486390"/>
    <w:rsid w:val="00515339"/>
    <w:rsid w:val="00543035"/>
    <w:rsid w:val="00550396"/>
    <w:rsid w:val="005667DD"/>
    <w:rsid w:val="00572381"/>
    <w:rsid w:val="005E76AF"/>
    <w:rsid w:val="006A0035"/>
    <w:rsid w:val="006B2C23"/>
    <w:rsid w:val="006B6556"/>
    <w:rsid w:val="007861C2"/>
    <w:rsid w:val="007A7877"/>
    <w:rsid w:val="0081648D"/>
    <w:rsid w:val="0091471B"/>
    <w:rsid w:val="0092567C"/>
    <w:rsid w:val="009461C1"/>
    <w:rsid w:val="009946F3"/>
    <w:rsid w:val="009A73C8"/>
    <w:rsid w:val="009D2C2D"/>
    <w:rsid w:val="009E0FF3"/>
    <w:rsid w:val="009E5F9F"/>
    <w:rsid w:val="00A31531"/>
    <w:rsid w:val="00A3668E"/>
    <w:rsid w:val="00AD3AB6"/>
    <w:rsid w:val="00AE7BDF"/>
    <w:rsid w:val="00B1307A"/>
    <w:rsid w:val="00B225DC"/>
    <w:rsid w:val="00B653BF"/>
    <w:rsid w:val="00B74146"/>
    <w:rsid w:val="00C30FD3"/>
    <w:rsid w:val="00C634E3"/>
    <w:rsid w:val="00C90736"/>
    <w:rsid w:val="00CA7A0B"/>
    <w:rsid w:val="00CE56CF"/>
    <w:rsid w:val="00D25E91"/>
    <w:rsid w:val="00DA3181"/>
    <w:rsid w:val="00DF5401"/>
    <w:rsid w:val="00E9305D"/>
    <w:rsid w:val="00F37C6C"/>
    <w:rsid w:val="00F7655F"/>
    <w:rsid w:val="00F84116"/>
    <w:rsid w:val="00FA0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50F6"/>
  <w15:chartTrackingRefBased/>
  <w15:docId w15:val="{977604DB-79BA-45E8-A1F8-962E7603B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6CF"/>
    <w:rPr>
      <w:rFonts w:eastAsiaTheme="majorEastAsia" w:cstheme="majorBidi"/>
      <w:color w:val="272727" w:themeColor="text1" w:themeTint="D8"/>
    </w:rPr>
  </w:style>
  <w:style w:type="paragraph" w:styleId="Title">
    <w:name w:val="Title"/>
    <w:basedOn w:val="Normal"/>
    <w:next w:val="Normal"/>
    <w:link w:val="TitleChar"/>
    <w:uiPriority w:val="10"/>
    <w:qFormat/>
    <w:rsid w:val="00CE5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6CF"/>
    <w:pPr>
      <w:spacing w:before="160"/>
      <w:jc w:val="center"/>
    </w:pPr>
    <w:rPr>
      <w:i/>
      <w:iCs/>
      <w:color w:val="404040" w:themeColor="text1" w:themeTint="BF"/>
    </w:rPr>
  </w:style>
  <w:style w:type="character" w:customStyle="1" w:styleId="QuoteChar">
    <w:name w:val="Quote Char"/>
    <w:basedOn w:val="DefaultParagraphFont"/>
    <w:link w:val="Quote"/>
    <w:uiPriority w:val="29"/>
    <w:rsid w:val="00CE56CF"/>
    <w:rPr>
      <w:i/>
      <w:iCs/>
      <w:color w:val="404040" w:themeColor="text1" w:themeTint="BF"/>
    </w:rPr>
  </w:style>
  <w:style w:type="paragraph" w:styleId="ListParagraph">
    <w:name w:val="List Paragraph"/>
    <w:basedOn w:val="Normal"/>
    <w:uiPriority w:val="34"/>
    <w:qFormat/>
    <w:rsid w:val="00CE56CF"/>
    <w:pPr>
      <w:ind w:left="720"/>
      <w:contextualSpacing/>
    </w:pPr>
  </w:style>
  <w:style w:type="character" w:styleId="IntenseEmphasis">
    <w:name w:val="Intense Emphasis"/>
    <w:basedOn w:val="DefaultParagraphFont"/>
    <w:uiPriority w:val="21"/>
    <w:qFormat/>
    <w:rsid w:val="00CE56CF"/>
    <w:rPr>
      <w:i/>
      <w:iCs/>
      <w:color w:val="0F4761" w:themeColor="accent1" w:themeShade="BF"/>
    </w:rPr>
  </w:style>
  <w:style w:type="paragraph" w:styleId="IntenseQuote">
    <w:name w:val="Intense Quote"/>
    <w:basedOn w:val="Normal"/>
    <w:next w:val="Normal"/>
    <w:link w:val="IntenseQuoteChar"/>
    <w:uiPriority w:val="30"/>
    <w:qFormat/>
    <w:rsid w:val="00CE5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6CF"/>
    <w:rPr>
      <w:i/>
      <w:iCs/>
      <w:color w:val="0F4761" w:themeColor="accent1" w:themeShade="BF"/>
    </w:rPr>
  </w:style>
  <w:style w:type="character" w:styleId="IntenseReference">
    <w:name w:val="Intense Reference"/>
    <w:basedOn w:val="DefaultParagraphFont"/>
    <w:uiPriority w:val="32"/>
    <w:qFormat/>
    <w:rsid w:val="00CE56CF"/>
    <w:rPr>
      <w:b/>
      <w:bCs/>
      <w:smallCaps/>
      <w:color w:val="0F4761" w:themeColor="accent1" w:themeShade="BF"/>
      <w:spacing w:val="5"/>
    </w:rPr>
  </w:style>
  <w:style w:type="character" w:styleId="Hyperlink">
    <w:name w:val="Hyperlink"/>
    <w:basedOn w:val="DefaultParagraphFont"/>
    <w:uiPriority w:val="99"/>
    <w:unhideWhenUsed/>
    <w:rsid w:val="00B225DC"/>
    <w:rPr>
      <w:color w:val="467886" w:themeColor="hyperlink"/>
      <w:u w:val="single"/>
    </w:rPr>
  </w:style>
  <w:style w:type="character" w:styleId="UnresolvedMention">
    <w:name w:val="Unresolved Mention"/>
    <w:basedOn w:val="DefaultParagraphFont"/>
    <w:uiPriority w:val="99"/>
    <w:semiHidden/>
    <w:unhideWhenUsed/>
    <w:rsid w:val="00B225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3</Pages>
  <Words>891</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Chambi, Damian</dc:creator>
  <cp:keywords/>
  <dc:description/>
  <cp:lastModifiedBy>Vassallo, Franco Lujan</cp:lastModifiedBy>
  <cp:revision>2</cp:revision>
  <dcterms:created xsi:type="dcterms:W3CDTF">2026-07-20T17:40:00Z</dcterms:created>
  <dcterms:modified xsi:type="dcterms:W3CDTF">2026-07-20T17:40:00Z</dcterms:modified>
</cp:coreProperties>
</file>