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Power Bill and Consumption Summary - January 2026</w:t>
      </w:r>
    </w:p>
    <w:p>
      <w:r>
        <w:rPr>
          <w:i/>
          <w:color w:val="646464"/>
          <w:sz w:val="16"/>
        </w:rPr>
        <w:t>Fictional demo record | For semantic-search testing only</w:t>
      </w:r>
    </w:p>
    <w:p>
      <w:pPr>
        <w:pStyle w:val="Heading1"/>
      </w:pPr>
      <w:r>
        <w:t>Account details</w:t>
      </w:r>
    </w:p>
    <w:p>
      <w:r>
        <w:t>Issuer: Deccan City Power Services (fictional). Statement number DCPS-DEMO-26-01-62804. Account alias: Aarav Demo - Study Flat. Supply location: Flat 204, Maple Court, Aundh, Pune, Maharashtra 411007. Statement generated 4 January 2026; payment due 19 January 2026. This sample statement contains no real account details.</w:t>
      </w:r>
    </w:p>
    <w:p>
      <w:pPr>
        <w:pStyle w:val="Heading1"/>
      </w:pPr>
      <w:r>
        <w:t>Meter and amount payable</w:t>
      </w:r>
    </w:p>
    <w:p>
      <w:r>
        <w:t>Service period: 1 December to 31 December 2025. Opening meter index: 20,104 kWh. Closing meter index: 20,238 kWh. Billed consumption: 134 units. Energy charge: ₹934.60; fixed service fee: ₹125.00; fuel adjustment: ₹58.90; municipal electricity levy: ₹47.00; previous adjustment credit: -₹25.00. Net amount due: ₹1,140.50.</w:t>
      </w:r>
    </w:p>
    <w:p>
      <w:r>
        <w:t>The previous cycle used 162 units, so consumption decreased by 28 units. The student attributes this to travelling home for nine days and switching off the water heater when the flat was empty. The bill does not include internet, piped gas or building maintenance. Those expenses are tracked separately in the monthly spending plan.</w:t>
      </w:r>
    </w:p>
    <w:p>
      <w:pPr>
        <w:pStyle w:val="Heading1"/>
      </w:pPr>
      <w:r>
        <w:t>Dispute and payment note</w:t>
      </w:r>
    </w:p>
    <w:p>
      <w:r>
        <w:t>The account summary recommends checking the meter number before paying because a neighbouring flat has a similar door number. Payment confirmation should be saved with the transaction reference and cycle label. A late payment can attract charges under the provider tariff, but this synthetic record does not define a real legal tariff. For semantic retrieval, this document may be described as a power statement, electricity charges, utility bill or monthly energy expense.</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Synthetic student files | Sample data, not official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Bill and Consumption Summary - January 2026</dc:title>
  <dc:subject>Synthetic semantic search test file</dc:subject>
  <dc:creator>Demo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