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Budget and Cash Flow - February 2026</w:t>
      </w:r>
    </w:p>
    <w:p>
      <w:r>
        <w:rPr>
          <w:i/>
          <w:color w:val="646464"/>
          <w:sz w:val="16"/>
        </w:rPr>
        <w:t>Fictional demo record | For semantic-search testing only</w:t>
      </w:r>
    </w:p>
    <w:p>
      <w:pPr>
        <w:pStyle w:val="Heading1"/>
      </w:pPr>
      <w:r>
        <w:t>Planning assumptions</w:t>
      </w:r>
    </w:p>
    <w:p>
      <w:r>
        <w:t>Prepared on 1 February 2026 for a student staying in Pune and doing occasional freelance work. Figures are personal planning estimates for a fictional person, not advice or a record of a real account. Opening available balance: ₹18,400. Expected stipend: ₹12,000. Expected freelance payment from Sprout Labs: ₹16,000, though the due date is 27 February and receipt is not guaranteed.</w:t>
      </w:r>
    </w:p>
    <w:p>
      <w:pPr>
        <w:pStyle w:val="Heading1"/>
      </w:pPr>
      <w:r>
        <w:t>Monthly plan</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sz w:val="17"/>
              </w:rPr>
              <w:t>Category</w:t>
            </w:r>
          </w:p>
        </w:tc>
        <w:tc>
          <w:tcPr>
            <w:tcW w:type="dxa" w:w="2541"/>
            <w:vAlign w:val="center"/>
          </w:tcPr>
          <w:p>
            <w:r>
              <w:rPr>
                <w:sz w:val="17"/>
              </w:rPr>
              <w:t>Budget (₹)</w:t>
            </w:r>
          </w:p>
        </w:tc>
        <w:tc>
          <w:tcPr>
            <w:tcW w:type="dxa" w:w="2541"/>
            <w:vAlign w:val="center"/>
          </w:tcPr>
          <w:p>
            <w:r>
              <w:rPr>
                <w:sz w:val="17"/>
              </w:rPr>
              <w:t>Actual to 14 Feb (₹)</w:t>
            </w:r>
          </w:p>
        </w:tc>
        <w:tc>
          <w:tcPr>
            <w:tcW w:type="dxa" w:w="2541"/>
            <w:vAlign w:val="center"/>
          </w:tcPr>
          <w:p>
            <w:r>
              <w:rPr>
                <w:sz w:val="17"/>
              </w:rPr>
              <w:t>Notes</w:t>
            </w:r>
          </w:p>
        </w:tc>
      </w:tr>
      <w:tr>
        <w:tc>
          <w:tcPr>
            <w:tcW w:type="dxa" w:w="2541"/>
            <w:vAlign w:val="center"/>
          </w:tcPr>
          <w:p>
            <w:r>
              <w:rPr>
                <w:sz w:val="17"/>
              </w:rPr>
              <w:t>Rent and upkeep</w:t>
            </w:r>
          </w:p>
        </w:tc>
        <w:tc>
          <w:tcPr>
            <w:tcW w:type="dxa" w:w="2541"/>
            <w:vAlign w:val="center"/>
          </w:tcPr>
          <w:p>
            <w:r>
              <w:rPr>
                <w:sz w:val="17"/>
              </w:rPr>
              <w:t>9,500</w:t>
            </w:r>
          </w:p>
        </w:tc>
        <w:tc>
          <w:tcPr>
            <w:tcW w:type="dxa" w:w="2541"/>
            <w:vAlign w:val="center"/>
          </w:tcPr>
          <w:p>
            <w:r>
              <w:rPr>
                <w:sz w:val="17"/>
              </w:rPr>
              <w:t>9,500</w:t>
            </w:r>
          </w:p>
        </w:tc>
        <w:tc>
          <w:tcPr>
            <w:tcW w:type="dxa" w:w="2541"/>
            <w:vAlign w:val="center"/>
          </w:tcPr>
          <w:p>
            <w:r>
              <w:rPr>
                <w:sz w:val="17"/>
              </w:rPr>
              <w:t>Paid on 2 Feb</w:t>
            </w:r>
          </w:p>
        </w:tc>
      </w:tr>
      <w:tr>
        <w:tc>
          <w:tcPr>
            <w:tcW w:type="dxa" w:w="2541"/>
            <w:vAlign w:val="center"/>
          </w:tcPr>
          <w:p>
            <w:r>
              <w:rPr>
                <w:sz w:val="17"/>
              </w:rPr>
              <w:t>Groceries and mess</w:t>
            </w:r>
          </w:p>
        </w:tc>
        <w:tc>
          <w:tcPr>
            <w:tcW w:type="dxa" w:w="2541"/>
            <w:vAlign w:val="center"/>
          </w:tcPr>
          <w:p>
            <w:r>
              <w:rPr>
                <w:sz w:val="17"/>
              </w:rPr>
              <w:t>4,200</w:t>
            </w:r>
          </w:p>
        </w:tc>
        <w:tc>
          <w:tcPr>
            <w:tcW w:type="dxa" w:w="2541"/>
            <w:vAlign w:val="center"/>
          </w:tcPr>
          <w:p>
            <w:r>
              <w:rPr>
                <w:sz w:val="17"/>
              </w:rPr>
              <w:t>2,460</w:t>
            </w:r>
          </w:p>
        </w:tc>
        <w:tc>
          <w:tcPr>
            <w:tcW w:type="dxa" w:w="2541"/>
            <w:vAlign w:val="center"/>
          </w:tcPr>
          <w:p>
            <w:r>
              <w:rPr>
                <w:sz w:val="17"/>
              </w:rPr>
              <w:t>Cooking on weekends</w:t>
            </w:r>
          </w:p>
        </w:tc>
      </w:tr>
      <w:tr>
        <w:tc>
          <w:tcPr>
            <w:tcW w:type="dxa" w:w="2541"/>
            <w:vAlign w:val="center"/>
          </w:tcPr>
          <w:p>
            <w:r>
              <w:rPr>
                <w:sz w:val="17"/>
              </w:rPr>
              <w:t>Electricity</w:t>
            </w:r>
          </w:p>
        </w:tc>
        <w:tc>
          <w:tcPr>
            <w:tcW w:type="dxa" w:w="2541"/>
            <w:vAlign w:val="center"/>
          </w:tcPr>
          <w:p>
            <w:r>
              <w:rPr>
                <w:sz w:val="17"/>
              </w:rPr>
              <w:t>1,200</w:t>
            </w:r>
          </w:p>
        </w:tc>
        <w:tc>
          <w:tcPr>
            <w:tcW w:type="dxa" w:w="2541"/>
            <w:vAlign w:val="center"/>
          </w:tcPr>
          <w:p>
            <w:r>
              <w:rPr>
                <w:sz w:val="17"/>
              </w:rPr>
              <w:t>0</w:t>
            </w:r>
          </w:p>
        </w:tc>
        <w:tc>
          <w:tcPr>
            <w:tcW w:type="dxa" w:w="2541"/>
            <w:vAlign w:val="center"/>
          </w:tcPr>
          <w:p>
            <w:r>
              <w:rPr>
                <w:sz w:val="17"/>
              </w:rPr>
              <w:t>Bill expected mid-month</w:t>
            </w:r>
          </w:p>
        </w:tc>
      </w:tr>
      <w:tr>
        <w:tc>
          <w:tcPr>
            <w:tcW w:type="dxa" w:w="2541"/>
            <w:vAlign w:val="center"/>
          </w:tcPr>
          <w:p>
            <w:r>
              <w:rPr>
                <w:sz w:val="17"/>
              </w:rPr>
              <w:t>Mobile and data</w:t>
            </w:r>
          </w:p>
        </w:tc>
        <w:tc>
          <w:tcPr>
            <w:tcW w:type="dxa" w:w="2541"/>
            <w:vAlign w:val="center"/>
          </w:tcPr>
          <w:p>
            <w:r>
              <w:rPr>
                <w:sz w:val="17"/>
              </w:rPr>
              <w:t>499</w:t>
            </w:r>
          </w:p>
        </w:tc>
        <w:tc>
          <w:tcPr>
            <w:tcW w:type="dxa" w:w="2541"/>
            <w:vAlign w:val="center"/>
          </w:tcPr>
          <w:p>
            <w:r>
              <w:rPr>
                <w:sz w:val="17"/>
              </w:rPr>
              <w:t>499</w:t>
            </w:r>
          </w:p>
        </w:tc>
        <w:tc>
          <w:tcPr>
            <w:tcW w:type="dxa" w:w="2541"/>
            <w:vAlign w:val="center"/>
          </w:tcPr>
          <w:p>
            <w:r>
              <w:rPr>
                <w:sz w:val="17"/>
              </w:rPr>
              <w:t>Auto-pay cleared</w:t>
            </w:r>
          </w:p>
        </w:tc>
      </w:tr>
      <w:tr>
        <w:tc>
          <w:tcPr>
            <w:tcW w:type="dxa" w:w="2541"/>
            <w:vAlign w:val="center"/>
          </w:tcPr>
          <w:p>
            <w:r>
              <w:rPr>
                <w:sz w:val="17"/>
              </w:rPr>
              <w:t>Local travel</w:t>
            </w:r>
          </w:p>
        </w:tc>
        <w:tc>
          <w:tcPr>
            <w:tcW w:type="dxa" w:w="2541"/>
            <w:vAlign w:val="center"/>
          </w:tcPr>
          <w:p>
            <w:r>
              <w:rPr>
                <w:sz w:val="17"/>
              </w:rPr>
              <w:t>1,400</w:t>
            </w:r>
          </w:p>
        </w:tc>
        <w:tc>
          <w:tcPr>
            <w:tcW w:type="dxa" w:w="2541"/>
            <w:vAlign w:val="center"/>
          </w:tcPr>
          <w:p>
            <w:r>
              <w:rPr>
                <w:sz w:val="17"/>
              </w:rPr>
              <w:t>760</w:t>
            </w:r>
          </w:p>
        </w:tc>
        <w:tc>
          <w:tcPr>
            <w:tcW w:type="dxa" w:w="2541"/>
            <w:vAlign w:val="center"/>
          </w:tcPr>
          <w:p>
            <w:r>
              <w:rPr>
                <w:sz w:val="17"/>
              </w:rPr>
              <w:t>Metro and bus</w:t>
            </w:r>
          </w:p>
        </w:tc>
      </w:tr>
      <w:tr>
        <w:tc>
          <w:tcPr>
            <w:tcW w:type="dxa" w:w="2541"/>
            <w:vAlign w:val="center"/>
          </w:tcPr>
          <w:p>
            <w:r>
              <w:rPr>
                <w:sz w:val="17"/>
              </w:rPr>
              <w:t>Learning subscriptions</w:t>
            </w:r>
          </w:p>
        </w:tc>
        <w:tc>
          <w:tcPr>
            <w:tcW w:type="dxa" w:w="2541"/>
            <w:vAlign w:val="center"/>
          </w:tcPr>
          <w:p>
            <w:r>
              <w:rPr>
                <w:sz w:val="17"/>
              </w:rPr>
              <w:t>699</w:t>
            </w:r>
          </w:p>
        </w:tc>
        <w:tc>
          <w:tcPr>
            <w:tcW w:type="dxa" w:w="2541"/>
            <w:vAlign w:val="center"/>
          </w:tcPr>
          <w:p>
            <w:r>
              <w:rPr>
                <w:sz w:val="17"/>
              </w:rPr>
              <w:t>699</w:t>
            </w:r>
          </w:p>
        </w:tc>
        <w:tc>
          <w:tcPr>
            <w:tcW w:type="dxa" w:w="2541"/>
            <w:vAlign w:val="center"/>
          </w:tcPr>
          <w:p>
            <w:r>
              <w:rPr>
                <w:sz w:val="17"/>
              </w:rPr>
              <w:t>One course renewal</w:t>
            </w:r>
          </w:p>
        </w:tc>
      </w:tr>
      <w:tr>
        <w:tc>
          <w:tcPr>
            <w:tcW w:type="dxa" w:w="2541"/>
            <w:vAlign w:val="center"/>
          </w:tcPr>
          <w:p>
            <w:r>
              <w:rPr>
                <w:sz w:val="17"/>
              </w:rPr>
              <w:t>Gym</w:t>
            </w:r>
          </w:p>
        </w:tc>
        <w:tc>
          <w:tcPr>
            <w:tcW w:type="dxa" w:w="2541"/>
            <w:vAlign w:val="center"/>
          </w:tcPr>
          <w:p>
            <w:r>
              <w:rPr>
                <w:sz w:val="17"/>
              </w:rPr>
              <w:t>1,000</w:t>
            </w:r>
          </w:p>
        </w:tc>
        <w:tc>
          <w:tcPr>
            <w:tcW w:type="dxa" w:w="2541"/>
            <w:vAlign w:val="center"/>
          </w:tcPr>
          <w:p>
            <w:r>
              <w:rPr>
                <w:sz w:val="17"/>
              </w:rPr>
              <w:t>1,000</w:t>
            </w:r>
          </w:p>
        </w:tc>
        <w:tc>
          <w:tcPr>
            <w:tcW w:type="dxa" w:w="2541"/>
            <w:vAlign w:val="center"/>
          </w:tcPr>
          <w:p>
            <w:r>
              <w:rPr>
                <w:sz w:val="17"/>
              </w:rPr>
              <w:t>Monthly membership</w:t>
            </w:r>
          </w:p>
        </w:tc>
      </w:tr>
      <w:tr>
        <w:tc>
          <w:tcPr>
            <w:tcW w:type="dxa" w:w="2541"/>
            <w:vAlign w:val="center"/>
          </w:tcPr>
          <w:p>
            <w:r>
              <w:rPr>
                <w:sz w:val="17"/>
              </w:rPr>
              <w:t>Eating out</w:t>
            </w:r>
          </w:p>
        </w:tc>
        <w:tc>
          <w:tcPr>
            <w:tcW w:type="dxa" w:w="2541"/>
            <w:vAlign w:val="center"/>
          </w:tcPr>
          <w:p>
            <w:r>
              <w:rPr>
                <w:sz w:val="17"/>
              </w:rPr>
              <w:t>1,200</w:t>
            </w:r>
          </w:p>
        </w:tc>
        <w:tc>
          <w:tcPr>
            <w:tcW w:type="dxa" w:w="2541"/>
            <w:vAlign w:val="center"/>
          </w:tcPr>
          <w:p>
            <w:r>
              <w:rPr>
                <w:sz w:val="17"/>
              </w:rPr>
              <w:t>1,540</w:t>
            </w:r>
          </w:p>
        </w:tc>
        <w:tc>
          <w:tcPr>
            <w:tcW w:type="dxa" w:w="2541"/>
            <w:vAlign w:val="center"/>
          </w:tcPr>
          <w:p>
            <w:r>
              <w:rPr>
                <w:sz w:val="17"/>
              </w:rPr>
              <w:t>₹340 over plan</w:t>
            </w:r>
          </w:p>
        </w:tc>
      </w:tr>
      <w:tr>
        <w:tc>
          <w:tcPr>
            <w:tcW w:type="dxa" w:w="2541"/>
            <w:vAlign w:val="center"/>
          </w:tcPr>
          <w:p>
            <w:r>
              <w:rPr>
                <w:sz w:val="17"/>
              </w:rPr>
              <w:t>Emergency reserve</w:t>
            </w:r>
          </w:p>
        </w:tc>
        <w:tc>
          <w:tcPr>
            <w:tcW w:type="dxa" w:w="2541"/>
            <w:vAlign w:val="center"/>
          </w:tcPr>
          <w:p>
            <w:r>
              <w:rPr>
                <w:sz w:val="17"/>
              </w:rPr>
              <w:t>2,000</w:t>
            </w:r>
          </w:p>
        </w:tc>
        <w:tc>
          <w:tcPr>
            <w:tcW w:type="dxa" w:w="2541"/>
            <w:vAlign w:val="center"/>
          </w:tcPr>
          <w:p>
            <w:r>
              <w:rPr>
                <w:sz w:val="17"/>
              </w:rPr>
              <w:t>0</w:t>
            </w:r>
          </w:p>
        </w:tc>
        <w:tc>
          <w:tcPr>
            <w:tcW w:type="dxa" w:w="2541"/>
            <w:vAlign w:val="center"/>
          </w:tcPr>
          <w:p>
            <w:r>
              <w:rPr>
                <w:sz w:val="17"/>
              </w:rPr>
              <w:t>Transfer after income</w:t>
            </w:r>
          </w:p>
        </w:tc>
      </w:tr>
      <w:tr>
        <w:tc>
          <w:tcPr>
            <w:tcW w:type="dxa" w:w="2541"/>
            <w:vAlign w:val="center"/>
          </w:tcPr>
          <w:p>
            <w:r>
              <w:rPr>
                <w:sz w:val="17"/>
              </w:rPr>
              <w:t>Miscellaneous</w:t>
            </w:r>
          </w:p>
        </w:tc>
        <w:tc>
          <w:tcPr>
            <w:tcW w:type="dxa" w:w="2541"/>
            <w:vAlign w:val="center"/>
          </w:tcPr>
          <w:p>
            <w:r>
              <w:rPr>
                <w:sz w:val="17"/>
              </w:rPr>
              <w:t>1,000</w:t>
            </w:r>
          </w:p>
        </w:tc>
        <w:tc>
          <w:tcPr>
            <w:tcW w:type="dxa" w:w="2541"/>
            <w:vAlign w:val="center"/>
          </w:tcPr>
          <w:p>
            <w:r>
              <w:rPr>
                <w:sz w:val="17"/>
              </w:rPr>
              <w:t>435</w:t>
            </w:r>
          </w:p>
        </w:tc>
        <w:tc>
          <w:tcPr>
            <w:tcW w:type="dxa" w:w="2541"/>
            <w:vAlign w:val="center"/>
          </w:tcPr>
          <w:p>
            <w:r>
              <w:rPr>
                <w:sz w:val="17"/>
              </w:rPr>
              <w:t>Stationery and printouts</w:t>
            </w:r>
          </w:p>
        </w:tc>
      </w:tr>
    </w:tbl>
    <w:p/>
    <w:p>
      <w:pPr>
        <w:pStyle w:val="Heading1"/>
      </w:pPr>
      <w:r>
        <w:t>Review notes</w:t>
      </w:r>
    </w:p>
    <w:p>
      <w:r>
        <w:t>Planned expenses before savings total ₹20,698, excluding the emergency reserve transfer. Current recorded spending is ₹16,893. The eating-out category has already crossed its limit, so the remaining two weeks should use the campus mess and home-cooked meals. Do not count the freelance invoice as money in hand until the payment reaches the account.</w:t>
      </w:r>
    </w:p>
    <w:p>
      <w:r>
        <w:t>If the client pays late, keep rent, food and transport ahead of discretionary purchases. The reserve target is two thousand rupees this month, but the transfer should happen only after essential bills have cleared. Use categories consistently: a hotel deposit belongs to travel, while rent belongs to housing. Reconcile actuals at month end and preserve the electricity statement and rent receipt as supporting records.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Budget and Cash Flow - February 2026</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