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Draft: Meaning-Based Search Across Student Files</w:t>
      </w:r>
    </w:p>
    <w:p>
      <w:r>
        <w:rPr>
          <w:i/>
          <w:color w:val="646464"/>
          <w:sz w:val="16"/>
        </w:rPr>
        <w:t>Fictional demo record | For semantic-search testing only</w:t>
      </w:r>
    </w:p>
    <w:p>
      <w:pPr>
        <w:pStyle w:val="Heading1"/>
      </w:pPr>
      <w:r>
        <w:t>Abstract and motivation</w:t>
      </w:r>
    </w:p>
    <w:p>
      <w:r>
        <w:t>Draft updated 21 February 2026. This project explores whether semantic retrieval can help a student locate files when the search phrase differs from the original wording. A person may ask for “proof that I paid for my room” while the file is titled rent receipt, or type “coastal holiday plan” when the document is named Goa itinerary. Traditional full-text matching works well for exact names and codes, but it can miss these conceptual links.</w:t>
      </w:r>
    </w:p>
    <w:p>
      <w:r>
        <w:t>The prototype indexes a synthetic student filesystem with college, finance, travel, personal and work directories. The corpus includes prose documents, structured billing details, dates, rupee amounts, numeric tables and short presentation decks. All names, organisations, reference numbers and transactions were invented for the experiment.</w:t>
      </w:r>
    </w:p>
    <w:p>
      <w:pPr>
        <w:pStyle w:val="Heading1"/>
      </w:pPr>
      <w:r>
        <w:t>Implementation plan</w:t>
      </w:r>
    </w:p>
    <w:p>
      <w:r>
        <w:t>The ingestion layer extracts text from supported formats and associates each text segment with file metadata. Short files can be represented as a single retrieval unit. Longer documents are split around headings so that a result can point to the relevant section rather than an arbitrary number of characters. Tables are converted into labelled row text that retains header meaning. The index stores the original path and a concise snippet for result display.</w:t>
      </w:r>
    </w:p>
    <w:p>
      <w:r>
        <w:t>The retrieval pipeline has two baselines. The lexical baseline ranks documents using token overlap and may be supplemented with an exact filename match. The semantic method encodes document chunks and queries into dense vectors, then ranks by cosine similarity. A hybrid can combine both scores after normalisation. Numeric IDs and invoice references require a lexical path because embeddings may not reliably preserve exact strings.</w:t>
      </w:r>
    </w:p>
    <w:p>
      <w:pPr>
        <w:pStyle w:val="Heading1"/>
      </w:pPr>
      <w:r>
        <w:t>Evaluation approach</w:t>
      </w:r>
    </w:p>
    <w:p>
      <w:r>
        <w:t>Create a fixed query set before tuning. Examples include “when are my systems exams,” “what did I owe for power last winter,” “client payment request for the dashboard,” and “train proof for the Goa journey.” Add paraphrases that deliberately avoid the terms used in the file names. For each query, judge the first five results as relevant, partly relevant or irrelevant. Report Precision@5 and mean reciprocal rank, then inspect errors manually.</w:t>
      </w:r>
    </w:p>
    <w:p>
      <w:r>
        <w:t>Include adversarial queries that should not retrieve irrelevant numeric data. Also include numeric questions that should retrieve it, such as “show the Q4 spending amounts.” This avoids the simplistic rule that all tables are noise. Split evaluation queries into development and held-out sets so that tuning does not merely memorise the examples.</w:t>
      </w:r>
    </w:p>
    <w:p>
      <w:pPr>
        <w:pStyle w:val="Heading1"/>
      </w:pPr>
      <w:r>
        <w:t>Limitations and next steps</w:t>
      </w:r>
    </w:p>
    <w:p>
      <w:r>
        <w:t>The corpus is small, synthetic and biased toward Indian student-life concepts; it cannot represent all accents, languages or real file formats. Embedding quality, extraction errors and chunk boundaries may affect ranking. The demo should report latency, extraction coverage and failure cases alongside relevance scores. A good search result must also be trustworthy: show the source filename, section excerpt and a clear path to the original file.</w:t>
      </w:r>
    </w:p>
    <w:p>
      <w:r>
        <w:t>Next steps are to validate every parser, compare hybrid score weights, add Hindi-English mixed-language queries, and implement deletion that removes both raw text and derived vectors. Privacy controls should be visible before indexing. The goal is not to claim semantic search always beats keywords, but to identify when meaning-based retrieval adds value and where exact lexical matching remains necessary.</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Draft: Meaning-Based Search Across Student Files</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