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558D400A" w:rsidR="00AA1AE2" w:rsidRPr="006D02A8" w:rsidRDefault="00F419A3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5A60F55A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Repasa las características de las pruebas de diagnóstico genético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02A73FBF" w:rsidR="00AA1AE2" w:rsidRPr="00B36751" w:rsidRDefault="00B36751" w:rsidP="00AA1AE2">
      <w:pPr>
        <w:rPr>
          <w:rFonts w:ascii="Arial" w:hAnsi="Arial" w:cs="Arial"/>
          <w:sz w:val="18"/>
          <w:szCs w:val="18"/>
          <w:lang w:val="es-CO"/>
        </w:rPr>
      </w:pPr>
      <w:r w:rsidRPr="00B36751">
        <w:rPr>
          <w:rFonts w:ascii="Arial" w:hAnsi="Arial" w:cs="Arial"/>
          <w:sz w:val="18"/>
          <w:szCs w:val="18"/>
          <w:lang w:val="es-CO"/>
        </w:rPr>
        <w:t>Actividad de refuerzo sobre algunas pruebas de diagnóstico genético</w:t>
      </w:r>
    </w:p>
    <w:p w14:paraId="38C66BD2" w14:textId="77777777" w:rsidR="00AA1AE2" w:rsidRPr="000719EE" w:rsidRDefault="00AA1AE2" w:rsidP="00F419A3">
      <w:pPr>
        <w:ind w:firstLine="720"/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099BCCFA" w:rsidR="00AA1AE2" w:rsidRPr="000719EE" w:rsidRDefault="00B36751" w:rsidP="00AA1AE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Diagnóstico,cariotipo,</w:t>
      </w:r>
      <w:r w:rsidR="009B63E5">
        <w:rPr>
          <w:rFonts w:ascii="Arial" w:hAnsi="Arial" w:cs="Arial"/>
          <w:sz w:val="18"/>
          <w:szCs w:val="18"/>
          <w:lang w:val="es-ES_tradnl"/>
        </w:rPr>
        <w:t>dermatoglifo,ecografía</w:t>
      </w:r>
      <w:bookmarkStart w:id="0" w:name="_GoBack"/>
      <w:bookmarkEnd w:id="0"/>
      <w:proofErr w:type="spellEnd"/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56ACDD6C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0B76268" w:rsidR="00AA1AE2" w:rsidRPr="005F4C68" w:rsidRDefault="00F419A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B36751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56471861" w:rsidR="00AA1AE2" w:rsidRPr="00AC7496" w:rsidRDefault="00F419A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007F30F6" w:rsidR="008629D3" w:rsidRPr="005F4C68" w:rsidRDefault="00F419A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2A85FA2D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4B11AD6" w14:textId="77777777" w:rsidR="00F419A3" w:rsidRPr="000719EE" w:rsidRDefault="00F419A3" w:rsidP="00F419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Repasa las características de las pruebas de diagnóstico genético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095F52CC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4A1F616B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términos acerca del diagnóstico genético con su descripción correspondiente.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30E9258E" w:rsidR="00AA1AE2" w:rsidRPr="000719E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B5290B3" w:rsidR="00AA1AE2" w:rsidRPr="00CD652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2986143F" w:rsidR="00AA1AE2" w:rsidRPr="00CD652E" w:rsidRDefault="00F419A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8D66F5" w:rsidRPr="00B36751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44078B5" w:rsidR="006907A4" w:rsidRPr="00254FDB" w:rsidRDefault="009A6187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Cariotipo</w:t>
            </w:r>
          </w:p>
        </w:tc>
        <w:tc>
          <w:tcPr>
            <w:tcW w:w="4650" w:type="dxa"/>
            <w:vAlign w:val="center"/>
          </w:tcPr>
          <w:p w14:paraId="69C2AA15" w14:textId="067150FF" w:rsidR="006907A4" w:rsidRPr="00254FDB" w:rsidRDefault="009A6187" w:rsidP="009A618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Método de diagnóstico genético obtenido a partir de la fotografía de una célula en metafase.</w:t>
            </w:r>
          </w:p>
        </w:tc>
      </w:tr>
      <w:tr w:rsidR="008D66F5" w:rsidRPr="00B36751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559D2C4" w:rsidR="006907A4" w:rsidRPr="00254FDB" w:rsidRDefault="009A618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Síndrome de Down</w:t>
            </w:r>
          </w:p>
        </w:tc>
        <w:tc>
          <w:tcPr>
            <w:tcW w:w="4650" w:type="dxa"/>
            <w:vAlign w:val="center"/>
          </w:tcPr>
          <w:p w14:paraId="5798D079" w14:textId="5121147E" w:rsidR="006907A4" w:rsidRPr="00254FDB" w:rsidRDefault="008D66F5" w:rsidP="008D66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Enfermedad genética conocida como trisomía 21. Se puede confirmar mediante técnicas de diagnóstico genético.</w:t>
            </w:r>
          </w:p>
        </w:tc>
      </w:tr>
      <w:tr w:rsidR="008D66F5" w:rsidRPr="00B36751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7D1C07C7" w:rsidR="006907A4" w:rsidRPr="00254FDB" w:rsidRDefault="009A618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Dermatoglifo</w:t>
            </w:r>
            <w:r w:rsidR="008D66F5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0" w:type="dxa"/>
            <w:vAlign w:val="center"/>
          </w:tcPr>
          <w:p w14:paraId="53E988D5" w14:textId="3E79AC81" w:rsidR="006907A4" w:rsidRPr="00254FDB" w:rsidRDefault="008D66F5" w:rsidP="008D66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Conjunto de crestas de piel en las palmas de las manos. Un cambio en este patrón podría indicar una enfermedad genética. </w:t>
            </w:r>
          </w:p>
        </w:tc>
      </w:tr>
      <w:tr w:rsidR="008D66F5" w:rsidRPr="00B36751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3DF0248" w:rsidR="006907A4" w:rsidRPr="00254FDB" w:rsidRDefault="009A618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Diagnóstico genético</w:t>
            </w:r>
          </w:p>
        </w:tc>
        <w:tc>
          <w:tcPr>
            <w:tcW w:w="4650" w:type="dxa"/>
            <w:vAlign w:val="center"/>
          </w:tcPr>
          <w:p w14:paraId="6F4C6438" w14:textId="03ADC4CA" w:rsidR="006907A4" w:rsidRPr="00254FDB" w:rsidRDefault="00F73EC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Pruebas usadas para determinar la presencia o no de una enfermedad ocasionada por cambios en la información genética.</w:t>
            </w:r>
          </w:p>
        </w:tc>
      </w:tr>
      <w:tr w:rsidR="008D66F5" w:rsidRPr="00B36751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3DDF6AA" w:rsidR="006907A4" w:rsidRPr="00254FDB" w:rsidRDefault="009A618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Síndrome de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superhembra</w:t>
            </w:r>
            <w:proofErr w:type="spellEnd"/>
          </w:p>
        </w:tc>
        <w:tc>
          <w:tcPr>
            <w:tcW w:w="4650" w:type="dxa"/>
            <w:vAlign w:val="center"/>
          </w:tcPr>
          <w:p w14:paraId="3C988CD6" w14:textId="402C7352" w:rsidR="006907A4" w:rsidRPr="00254FDB" w:rsidRDefault="00F73EC7" w:rsidP="00F73E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caracteriza por la presencia de un cromosoma X extra. Puede diagnosticarse mediante análisis del cariotipo.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03636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D66F5"/>
    <w:rsid w:val="009A6187"/>
    <w:rsid w:val="009B63E5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36751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19A3"/>
    <w:rsid w:val="00F44F99"/>
    <w:rsid w:val="00F73EC7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8</cp:revision>
  <dcterms:created xsi:type="dcterms:W3CDTF">2015-04-14T02:01:00Z</dcterms:created>
  <dcterms:modified xsi:type="dcterms:W3CDTF">2015-06-15T17:34:00Z</dcterms:modified>
</cp:coreProperties>
</file>