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ind w:right="36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highlight w:val="yellow"/>
          <w:rtl w:val="0"/>
        </w:rPr>
        <w:t xml:space="preserve">[GUION CN_04_05_CO]</w:t>
      </w:r>
      <w:r w:rsidDel="00000000" w:rsidR="00000000" w:rsidRPr="00000000">
        <w:rPr>
          <w:rFonts w:ascii="Arial" w:cs="Arial" w:eastAsia="Arial" w:hAnsi="Arial"/>
          <w:b w:val="0"/>
          <w:sz w:val="20"/>
          <w:rtl w:val="0"/>
        </w:rPr>
        <w:t xml:space="preserve"> Guion 5. </w:t>
      </w:r>
      <w:r w:rsidDel="00000000" w:rsidR="00000000" w:rsidRPr="00000000">
        <w:rPr>
          <w:rFonts w:ascii="Arial" w:cs="Arial" w:eastAsia="Arial" w:hAnsi="Arial"/>
          <w:b w:val="1"/>
          <w:sz w:val="22"/>
          <w:rtl w:val="0"/>
        </w:rPr>
        <w:t xml:space="preserve">El medio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EVALUACIÓN</w:t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spacing w:after="0" w:before="0" w:line="240" w:lineRule="auto"/>
        <w:ind w:right="36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sz w:val="20"/>
          <w:rtl w:val="0"/>
        </w:rPr>
        <w:t xml:space="preserve">CS_04_05_REC170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3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515"/>
        <w:tblGridChange w:id="0">
          <w:tblGrid>
            <w:gridCol w:w="2518"/>
            <w:gridCol w:w="6515"/>
          </w:tblGrid>
        </w:tblGridChange>
      </w:tblGrid>
      <w:tr>
        <w:tc>
          <w:tcPr>
            <w:gridSpan w:val="2"/>
            <w:shd w:fill="000000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rtl w:val="0"/>
              </w:rPr>
              <w:t xml:space="preserve">Evaluación: recurso aprovechado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CN_04_05_REC170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rtl w:val="0"/>
              </w:rPr>
              <w:t xml:space="preserve">Evalúa tus conocimientos sobre el tema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18"/>
                <w:rtl w:val="0"/>
              </w:rPr>
              <w:t xml:space="preserve">Ubicación en Aula Planeta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5° Primaria/ Ciencias Naturales /Los ecosistemas/ Fin de unidad: repaso/Autoevaluación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0" distT="0" distL="0" distR="0">
                  <wp:extent cx="3395864" cy="2476341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5363" l="12592" r="21251" t="8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864" cy="24763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8"/>
                <w:rtl w:val="0"/>
              </w:rPr>
              <w:t xml:space="preserve">Cambiar: En la tercera pregunta el término “biocenosis” por “seres vivos”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rtl w:val="0"/>
              </w:rPr>
              <w:t xml:space="preserve">Se plantean 10 preguntas generales sobre el tema Medio Ambiente.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