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rtl w:val="0"/>
        </w:rPr>
        <w:t xml:space="preserve">CS_06_06_REC1</w:t>
      </w: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Desde el resguardo indígena de Mayabangloma Jackeline nos muestra el proceso de elaboración de las mochilas Wayuu.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Ficha del docente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24 minutos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Video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Exposiciòn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Competencia en el tratamiento de la información y competencia digital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Título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 Las mochilas Wayúu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Objetivo 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Acercarse al proceso de elaboración de las mochilas wayúu.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Antes de la presentación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Indague en el grupo con preguntas destinadas a identificar qué conocimientos previos tienen sobre la cultura wuayúu.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- ¿Dónde se ubica el pueblo Wayúu? ¿A qué familia lingüística pertenecen?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- ¿Cuáles son las principales actividades que desarrollan?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- ¿Las mujeres qué actividades realizan?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Con una breve presentación de la temática del video rec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uérdeles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 a los estudiantes la necesidad de prestar atención a la información que brinda el video. Mantener una atención continua durante el ejercicio permitirá que los estudiantes se apropien de nuevos conocimientos.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Después de la presentación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Después de haber visto el video, formule las preguntas para indagar sobre la comprensión del mismo.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- ¿Qué tipos de mochilas elaboran los wayúu?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- ¿Cuáles son los materiales que se utilizan para su elaboración?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- ¿Cuánto material se utiliza para cada tamaño de mochila?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- Invite a los estudiantes a intentar elaborar un pequeño tejido a partir de las instrucciones dadas por Jakeline en el video.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- Resalta la destreza y creatividad en la utilización de los colores y las figuras que se tejen en las mochilas.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Ficha del estudiante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Título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rtl w:val="0"/>
        </w:rPr>
        <w:t xml:space="preserve">Las mochilas wayúu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hyperlink r:id="rId5">
        <w:r w:rsidDel="00000000" w:rsidR="00000000" w:rsidRPr="00000000">
          <w:rPr>
            <w:rFonts w:ascii="Calibri" w:cs="Calibri" w:eastAsia="Calibri" w:hAnsi="Calibri"/>
            <w:color w:val="0000ff"/>
            <w:sz w:val="22"/>
            <w:u w:val="single"/>
            <w:rtl w:val="0"/>
          </w:rPr>
          <w:t xml:space="preserve">http://enmiidioma.org/es/recursos-multimedia/mochilas-wayuu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hyperlink r:id="rId7">
        <w:r w:rsidDel="00000000" w:rsidR="00000000" w:rsidRPr="00000000">
          <w:rPr>
            <w:rFonts w:ascii="Calibri" w:cs="Calibri" w:eastAsia="Calibri" w:hAnsi="Calibri"/>
            <w:color w:val="751b00"/>
            <w:sz w:val="22"/>
            <w:u w:val="single"/>
            <w:rtl w:val="0"/>
          </w:rPr>
          <w:t xml:space="preserve">http://jackelineepiayu.blogspot.com/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drawing>
          <wp:inline distB="0" distT="0" distL="0" distR="0">
            <wp:extent cx="1552575" cy="1143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12990" l="33122" r="14731" t="1842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Las mochilas Wayúu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Los tejidos elaborados por las indígenas wayúu son expresión de la creatividad en el uso y combinación de formas y colores de la cultura de este pueblo guajiro.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El tejido para el pueblo wuayúu más que una práctica cultural y una herencia de sus ancestros, es una forma de concebir y expresar la vida tal como ellos la sienten y la desean.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Según cuenta la leyenda, la araña o Wale’ Kerü fue quién le enseñó a tejer a la mujer Wayúu. Wale’ Kerü es una araña tejedora que cuando amanecía ya tenía hechas fajas y chinchorros, y hacía siempre sus dibujos antes de la primavera.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Los Wayúu entonces le preguntaban cómo las había hecho, entonces la araña empezó a contarles. Cuentan que Wale’ Kerü enseñó primero a una sola mujer. Esa mujer luego contó que la araña les enseñaría a tejer si ellas le daban un burro o una cabra, y entonces allí los Wayúu le dieron sus prendas y collares.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La historia también dice que Wale’ Kerü se enamoró de un wayúu, se fugó con él y al él llevarla donde su familia la madre del wayúu le dijo: “Toma este material para que hagas fajas” y Wale’ Kerü se comió todo el algodón y luego de su boca empezó a salir el hilo ya torcido y preparado para tejer.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Wale’ Kerü  enseñaba a las muchachas que permanecían en el encierro, les pedía mucha atención, que no miraran para los lados, que no se distrajeran, pues ella no podía estar enseñando siempre.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Cambria" w:cs="Cambria" w:eastAsia="Cambria" w:hAnsi="Cambria"/>
      <w:b w:val="1"/>
      <w:color w:val="345a8a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</w:pPr>
    <w:rPr>
      <w:rFonts w:ascii="Cambria" w:cs="Cambria" w:eastAsia="Cambria" w:hAnsi="Cambria"/>
      <w:b w:val="1"/>
      <w:color w:val="4f81bd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40" w:lineRule="auto"/>
    </w:pPr>
    <w:rPr>
      <w:rFonts w:ascii="Cambria" w:cs="Cambria" w:eastAsia="Cambria" w:hAnsi="Cambria"/>
      <w:b w:val="1"/>
      <w:color w:val="4f81bd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color w:val="17365d"/>
      <w:sz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</w:pPr>
    <w:rPr>
      <w:rFonts w:ascii="Cambria" w:cs="Cambria" w:eastAsia="Cambria" w:hAnsi="Cambria"/>
      <w:b w:val="0"/>
      <w:i w:val="1"/>
      <w:color w:val="4f81bd"/>
      <w:sz w:val="24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jackelineepiayu.blogspot.com/" TargetMode="External"/><Relationship Id="rId4" Type="http://schemas.openxmlformats.org/officeDocument/2006/relationships/styles" Target="styles.xml"/><Relationship Id="rId11" Type="http://schemas.openxmlformats.org/officeDocument/2006/relationships/hyperlink" Target="http://jackelineepiayu.blogspot.com/" TargetMode="External"/><Relationship Id="rId3" Type="http://schemas.openxmlformats.org/officeDocument/2006/relationships/numbering" Target="numbering.xml"/><Relationship Id="rId9" Type="http://schemas.openxmlformats.org/officeDocument/2006/relationships/image" Target="media/image01.png"/><Relationship Id="rId6" Type="http://schemas.openxmlformats.org/officeDocument/2006/relationships/hyperlink" Target="http://enmiidioma.org/es/recursos-multimedia/mochilas-wayuu" TargetMode="External"/><Relationship Id="rId5" Type="http://schemas.openxmlformats.org/officeDocument/2006/relationships/hyperlink" Target="http://enmiidioma.org/es/recursos-multimedia/mochilas-wayuu" TargetMode="External"/><Relationship Id="rId8" Type="http://schemas.openxmlformats.org/officeDocument/2006/relationships/hyperlink" Target="http://jackelineepiayu.blogspot.com/" TargetMode="External"/><Relationship Id="rId7" Type="http://schemas.openxmlformats.org/officeDocument/2006/relationships/hyperlink" Target="http://jackelineepiayu.blogspot.com/" TargetMode="External"/></Relationships>
</file>