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Ejercicio Genérico M1C: Texto a texto (frases)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Nombre del guión a que corresponde el ejercicio</w:t>
      </w: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baseline"/>
          <w:rtl w:val="0"/>
        </w:rPr>
        <w:t xml:space="preserve">CS_06_04_REC2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18"/>
          <w:vertAlign w:val="baseline"/>
          <w:rtl w:val="0"/>
        </w:rPr>
        <w:t xml:space="preserve">DATOS DEL RECURSO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Título del recurso (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highlight w:val="green"/>
          <w:vertAlign w:val="baseline"/>
          <w:rtl w:val="0"/>
        </w:rPr>
        <w:t xml:space="preserve">65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 caracteres máx.)</w:t>
      </w: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Evaluación sobre Colombia precolombina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Descripción del recurso</w:t>
      </w: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Ejercicio de arrastrar etiquetas a su pareja de la columna de la izquierda. Relaciona el término con el concepto que corresponda sobre aspectos de la América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ndígena.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Palabras clave del recurso (separadas por comas ",")</w:t>
      </w: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Época precolombina, Taironas, Caribes, Arawak, Wayúu.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ff0000"/>
          <w:sz w:val="18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Tiempo estimado (minutos)</w:t>
      </w: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10 minutos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ff0000"/>
          <w:sz w:val="18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Acción didáctica (indicar sólo una)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8930.0" w:type="dxa"/>
        <w:jc w:val="left"/>
        <w:tblInd w:w="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  <w:tblGridChange w:id="0">
          <w:tblGrid>
            <w:gridCol w:w="1248"/>
            <w:gridCol w:w="404"/>
            <w:gridCol w:w="1289"/>
            <w:gridCol w:w="367"/>
            <w:gridCol w:w="2504"/>
            <w:gridCol w:w="425"/>
            <w:gridCol w:w="2268"/>
            <w:gridCol w:w="42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Exposición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Ejercitación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Preguntas con respuesta libre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Juegos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Proyecto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Evaluación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Generador de 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ff0000"/>
          <w:sz w:val="18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Competencia (indicar sólo una)</w:t>
      </w:r>
      <w:r w:rsidDel="00000000" w:rsidR="00000000" w:rsidRPr="00000000">
        <w:rPr>
          <w:rtl w:val="0"/>
        </w:rPr>
      </w:r>
    </w:p>
    <w:tbl>
      <w:tblPr>
        <w:tblStyle w:val="Table2"/>
        <w:bidi w:val="0"/>
        <w:tblW w:w="9497.0" w:type="dxa"/>
        <w:jc w:val="left"/>
        <w:tblInd w:w="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36"/>
        <w:gridCol w:w="425"/>
        <w:gridCol w:w="4111"/>
        <w:gridCol w:w="425"/>
        <w:tblGridChange w:id="0">
          <w:tblGrid>
            <w:gridCol w:w="4536"/>
            <w:gridCol w:w="425"/>
            <w:gridCol w:w="4111"/>
            <w:gridCol w:w="42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… en comunicación lingüística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… matemática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… en el conocimiento y la interacción con el mundo físico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Tratamiento de la información y competencia digital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… social y ciudadana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… cultural y artística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… para aprender a aprender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Autonomía e iniciativa personal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ff0000"/>
          <w:sz w:val="18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Tipo de Media (indicar sólo una)</w:t>
      </w:r>
      <w:r w:rsidDel="00000000" w:rsidR="00000000" w:rsidRPr="00000000">
        <w:rPr>
          <w:rtl w:val="0"/>
        </w:rPr>
      </w:r>
    </w:p>
    <w:tbl>
      <w:tblPr>
        <w:tblStyle w:val="Table3"/>
        <w:bidi w:val="0"/>
        <w:tblW w:w="8363.0" w:type="dxa"/>
        <w:jc w:val="left"/>
        <w:tblInd w:w="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  <w:tblGridChange w:id="0">
          <w:tblGrid>
            <w:gridCol w:w="2126"/>
            <w:gridCol w:w="404"/>
            <w:gridCol w:w="1156"/>
            <w:gridCol w:w="425"/>
            <w:gridCol w:w="1843"/>
            <w:gridCol w:w="425"/>
            <w:gridCol w:w="1559"/>
            <w:gridCol w:w="42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Secuencia de imágenes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Video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Animación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Interactivo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Web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Mapa conceptual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Audio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Texto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Imagen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Documento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ff0000"/>
          <w:sz w:val="18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Nivel del ejercicio, 1-Fácil, 2-Medio ó 3-Difícil</w:t>
      </w: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18"/>
          <w:vertAlign w:val="baseline"/>
          <w:rtl w:val="0"/>
        </w:rPr>
        <w:t xml:space="preserve">DATOS DEL EJERCICIO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color w:val="0000ff"/>
          <w:sz w:val="16"/>
          <w:vertAlign w:val="baseline"/>
          <w:rtl w:val="0"/>
        </w:rPr>
        <w:t xml:space="preserve">COPIA EL TÍTULO DEL RECURSO PARA EL TÍTULO DEL EJERCICIO AL MENOS QUE SEA DIFERENTE. RECUERDA EL TÍTULO NO DEBE REBASAR LOS 86 CARACTERES.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ff0000"/>
          <w:sz w:val="18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Título del ejercicio (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highlight w:val="green"/>
          <w:vertAlign w:val="baseline"/>
          <w:rtl w:val="0"/>
        </w:rPr>
        <w:t xml:space="preserve">86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 caracteres máx.)</w:t>
      </w: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Colombia precolombina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ff0000"/>
          <w:sz w:val="18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Grado del ejercicio (Primaria o Secundaria); “P” o “S”</w:t>
      </w: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Enunciado (Instrucción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highlight w:val="green"/>
          <w:vertAlign w:val="baseline"/>
          <w:rtl w:val="0"/>
        </w:rPr>
        <w:t xml:space="preserve">193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 caracteres máximo)</w:t>
      </w: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Ejercicio de arrastrar etiquetas a su pareja de la columna de la izquierda. Relaciona el término con el concepto que corresponda sobre aspectos de la América Indígena.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u w:val="single"/>
          <w:vertAlign w:val="baseline"/>
          <w:rtl w:val="0"/>
        </w:rPr>
        <w:t xml:space="preserve">Más información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 (ventana flotante)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Mostrar al inicio del ejercicio ventana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u w:val="single"/>
          <w:vertAlign w:val="baseline"/>
          <w:rtl w:val="0"/>
        </w:rPr>
        <w:t xml:space="preserve">Más información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 (S/N)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Sin ordenación aleatoria (S/N):)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Mostrar calculadora (S/N)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ff"/>
          <w:sz w:val="16"/>
          <w:vertAlign w:val="baseline"/>
          <w:rtl w:val="0"/>
        </w:rPr>
        <w:t xml:space="preserve">MÍN. 2  MÁX. 6. MATCH: FRASE A FRASE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26"/>
          <w:tab w:val="left" w:pos="5103"/>
        </w:tabs>
        <w:contextualSpacing w:val="0"/>
      </w:pPr>
      <w:r w:rsidDel="00000000" w:rsidR="00000000" w:rsidRPr="00000000">
        <w:rPr>
          <w:rFonts w:ascii="Arial" w:cs="Arial" w:eastAsia="Arial" w:hAnsi="Arial"/>
          <w:color w:val="ff0000"/>
          <w:sz w:val="18"/>
          <w:vertAlign w:val="baseline"/>
          <w:rtl w:val="0"/>
        </w:rPr>
        <w:tab/>
        <w:t xml:space="preserve">Frase – bloque 1 (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vertAlign w:val="baseline"/>
          <w:rtl w:val="0"/>
        </w:rPr>
        <w:t xml:space="preserve">107</w:t>
      </w:r>
      <w:r w:rsidDel="00000000" w:rsidR="00000000" w:rsidRPr="00000000">
        <w:rPr>
          <w:rFonts w:ascii="Arial" w:cs="Arial" w:eastAsia="Arial" w:hAnsi="Arial"/>
          <w:color w:val="ff0000"/>
          <w:sz w:val="18"/>
          <w:vertAlign w:val="baseline"/>
          <w:rtl w:val="0"/>
        </w:rPr>
        <w:t xml:space="preserve"> caracteres máx.)</w:t>
        <w:tab/>
        <w:t xml:space="preserve">Frase – bloque 2 (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vertAlign w:val="baseline"/>
          <w:rtl w:val="0"/>
        </w:rPr>
        <w:t xml:space="preserve">105</w:t>
      </w:r>
      <w:r w:rsidDel="00000000" w:rsidR="00000000" w:rsidRPr="00000000">
        <w:rPr>
          <w:rFonts w:ascii="Arial" w:cs="Arial" w:eastAsia="Arial" w:hAnsi="Arial"/>
          <w:color w:val="ff0000"/>
          <w:sz w:val="18"/>
          <w:vertAlign w:val="baseline"/>
          <w:rtl w:val="0"/>
        </w:rPr>
        <w:t xml:space="preserve"> caracteres máx.)</w:t>
      </w:r>
      <w:r w:rsidDel="00000000" w:rsidR="00000000" w:rsidRPr="00000000">
        <w:rPr>
          <w:rtl w:val="0"/>
        </w:rPr>
      </w:r>
    </w:p>
    <w:tbl>
      <w:tblPr>
        <w:tblStyle w:val="Table4"/>
        <w:bidi w:val="0"/>
        <w:tblW w:w="984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9"/>
        <w:gridCol w:w="4649"/>
        <w:gridCol w:w="4650"/>
        <w:tblGridChange w:id="0">
          <w:tblGrid>
            <w:gridCol w:w="549"/>
            <w:gridCol w:w="4649"/>
            <w:gridCol w:w="4650"/>
          </w:tblGrid>
        </w:tblGridChange>
      </w:tblGrid>
      <w:tr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ff0000"/>
                <w:vertAlign w:val="baseline"/>
                <w:rtl w:val="0"/>
              </w:rPr>
              <w:t xml:space="preserve">* </w:t>
            </w:r>
            <w:r w:rsidDel="00000000" w:rsidR="00000000" w:rsidRPr="00000000">
              <w:rPr>
                <w:rFonts w:ascii="Arial" w:cs="Arial" w:eastAsia="Arial" w:hAnsi="Arial"/>
                <w:sz w:val="18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La época precolombina refiere al período histórico de la Historia de Colombia anterior a la colonización española.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Hay quienes ubican el siglo V a.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, como el inicio de la época precolombina, en donde se ubica como los primeros pobladores a la familia Chibcha.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ff0000"/>
                <w:vertAlign w:val="baseline"/>
                <w:rtl w:val="0"/>
              </w:rPr>
              <w:t xml:space="preserve">* </w:t>
            </w:r>
            <w:r w:rsidDel="00000000" w:rsidR="00000000" w:rsidRPr="00000000">
              <w:rPr>
                <w:rFonts w:ascii="Arial" w:cs="Arial" w:eastAsia="Arial" w:hAnsi="Arial"/>
                <w:sz w:val="18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Los Taironas, habitaron las estribaciones de la Sierra Nevada de Santa Marta, durante los siglos XI y XII d.C.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Se encontraban organizados en dos centros urbanos importantes: Bonda y Pocigüeica.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18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Algunos investigadores ubican al grupo Muisca como un pueblo que emigro al altiplano cundiboyacense entre 5500 y 1000 a.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Sobresalieron como comerciantes, en donde la sal fue uno de los tantos productos que emplearon como trueque.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18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Los españoles denominaron Caribes a todos los grupos indígenas que ofrecían resistencia a su dominación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highlight w:val="white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Algunos investigadores afirman que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utilizaron arcos con flechas envenenadas, practicaron el canibalismo y la sodomía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Familia lingüística Caribe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Calimas, Pijaos, Quimbayas,Muzos, Panches, Motilones, Chocoes, Sinues, Turbacos, Calamares.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vertAlign w:val="baseline"/>
                <w:rtl w:val="0"/>
              </w:rPr>
              <w:t xml:space="preserve">Los pueblos de la familia lingüística Arawak se ubican fundamentalmente  en la región de los Llanos Orientales y La Guajira.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La tribu más conocida son los Wuayúu, pueblo que está dedicado especialmente al pastoreo.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40" w:w="11900"/>
      <w:pgMar w:bottom="1134" w:top="1134" w:left="1134" w:right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  <w:font w:name="Calibri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