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rtl w:val="0"/>
        </w:rPr>
        <w:t xml:space="preserve">CS_06_06_REC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Mapa Interactivo que sirve para conocer las generalidades de las Culturas precolombinas: Tairona y Muisca.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Ficha  del docente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20 minutos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Mapa interactivo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Interactivo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Competencia en el tratamiento de la información y competencia social y ciudadana.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rtl w:val="0"/>
        </w:rPr>
        <w:t xml:space="preserve">Generalidades de las Culturas Precolombinas: Tairona y Muisca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Identificar las características generales de las culturas Tairona y Muisca.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Antes de la presentación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Como paso previo, le sugerimos pedir a los estudiantes que consulten el periódico y que busquen noticias relacionadas con las comunidades indígenas actuales.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Durante la presentación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Después de un primer acercamiento al mapa interactivo por parte de los estudiantes, le recomendamos abordarlo nuevamente  y hacer pausas para enfatizar la información relevante que allí se proporciona.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Mantener una atención continua durante el ejercicio permitirá que los estudiantes se apropien de nuevos conocimientos. Profundice en aquellos que usted considere relevantes.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Después de la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Lleve a los estudiantes a reflexionar sobre la situación de vulnerabilidad en que se encuentran los pueblos indígenas no obstante su riqueza cultural y medioambiental. Enfatice en la necesidad de generar políticas para garantizar los derechos de los pueblos indígenas y la protección y pervivencia de sus culturas.</w:t>
      </w:r>
      <w:r w:rsidDel="00000000" w:rsidR="00000000" w:rsidRPr="00000000">
        <w:rPr>
          <w:rFonts w:ascii="Calibri" w:cs="Calibri" w:eastAsia="Calibri" w:hAnsi="Calibri"/>
          <w:color w:val="00b0f0"/>
          <w:sz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Puede</w:t>
      </w:r>
      <w:r w:rsidDel="00000000" w:rsidR="00000000" w:rsidRPr="00000000">
        <w:rPr>
          <w:rFonts w:ascii="Calibri" w:cs="Calibri" w:eastAsia="Calibri" w:hAnsi="Calibri"/>
          <w:color w:val="00b0f0"/>
          <w:sz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recomendar a los estudiantes que amplíen la información en la página “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Los indígenas, colombianos, hoy: su situación real, problemas y alternativas” del portal oficial del Banco de la República </w:t>
      </w:r>
      <w:hyperlink r:id="rId5">
        <w:r w:rsidDel="00000000" w:rsidR="00000000" w:rsidRPr="00000000">
          <w:rPr>
            <w:rFonts w:ascii="Calibri" w:cs="Calibri" w:eastAsia="Calibri" w:hAnsi="Calibri"/>
            <w:color w:val="0000ff"/>
            <w:sz w:val="22"/>
            <w:u w:val="single"/>
            <w:rtl w:val="0"/>
          </w:rPr>
          <w:t xml:space="preserve">http://www.banrepcultural.org/node/32941</w:t>
        </w:r>
      </w:hyperlink>
      <w:hyperlink r:id="rId6">
        <w:r w:rsidDel="00000000" w:rsidR="00000000" w:rsidRPr="00000000">
          <w:rPr>
            <w:rFonts w:ascii="Calibri" w:cs="Calibri" w:eastAsia="Calibri" w:hAnsi="Calibri"/>
            <w:sz w:val="22"/>
            <w:rtl w:val="0"/>
          </w:rPr>
          <w:t xml:space="preserve">.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Una vez hecho esto, le proponemos pedir a los estudiantes que, basándose en toda la información que tengan, elaboren un cuento en el que reflejen la sabiduría de los grupos indígenas y las acciones de recuperación de sus territorios y preservación de sus culturas.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Ficha del estudiante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Generalidades de las Culturas Precolombinas: Tairona y Muisca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0" distT="0" distL="0" distR="0">
            <wp:extent cx="1123950" cy="1085850"/>
            <wp:effectExtent b="0" l="0" r="0" t="0"/>
            <wp:docPr descr="300px-Minambiente-n" id="1" name="image01.jpg"/>
            <a:graphic>
              <a:graphicData uri="http://schemas.openxmlformats.org/drawingml/2006/picture">
                <pic:pic>
                  <pic:nvPicPr>
                    <pic:cNvPr descr="300px-Minambiente-n" id="0" name="image0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u w:val="single"/>
            <w:rtl w:val="0"/>
          </w:rPr>
          <w:t xml:space="preserve">http://upload.wikimedia.org/wikipedia/commons/thumb/5/54/Minambiente-n.jpg/300px-Minambiente-n.jpg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Para ampliar la información de los pueblos indígenas puede consultar la página “Los indígenas, colombianos, hoy: su situación real, problemas y alternativas” del portal oficial del Banco de la República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2"/>
            <w:u w:val="single"/>
            <w:rtl w:val="0"/>
          </w:rPr>
          <w:t xml:space="preserve">http://www.banrepcultural.org/node/32941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sz w:val="22"/>
            <w:rtl w:val="0"/>
          </w:rPr>
          <w:t xml:space="preserve">.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puede consultar la Declaración sobre los Derechos de los Pueblos Indígenas.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2"/>
            <w:u w:val="single"/>
            <w:rtl w:val="0"/>
          </w:rPr>
          <w:t xml:space="preserve">http://www.un.org/esa/socdev/unpfii/documents/DRIPS_es.pdf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Etnias existentes por regiones naturales: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7560"/>
        <w:tblGridChange w:id="0">
          <w:tblGrid>
            <w:gridCol w:w="1500"/>
            <w:gridCol w:w="7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TERRITORIO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ETNIAS ENCONTRADAS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Selva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Andoke, Bara oWaimaja, Barasano, Bora, Kabiyarí,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Carapana, Carijona, Cocama, Jupda yYujup, Kubeo,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Kurripako, Desano, Letuama,Nukak, Makuna, Matapí,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Miraña,Nonuya, Ocaina, Piaroa, Piratapuyo, Pisamira,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Puinave, Siriano, Taiwano, Tanimuka,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Tariano, Tatuyo,Ticuna, Tucano, Tuyuka, Guanano, Uitoto,Yagua, 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Yukuna, Yurutí y Yurí en la Amazonia.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Emberá y Wounaan en la región selvática del Pacífico.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Zonas Bajas de Selva intervenida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Cofán, Coreguaje o korebaju, Makuaguaje, Siona.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Bosques andinos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Awá, Barí, 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sz w:val="22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'wa, Yukpa.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Orinoquía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Achagua, Amorúa, Betoye, Chiricoa, Kuiba, Guayabero, Hitnü, Masiguare, Piapoco, Sáliba, Sikuani, Tsiripu.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Paisaje Andino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Nasa, Guambiano, Coconuco, Totoró, Guanaca, Inga, Kamëntsá, Pasto, Quillacinga, Yanacona, Umbrá, Embera-Chamí.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Valles bajos Interandinos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Pijaos, Coyaima, Natagaima, Dujos.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Sierra Nevada de Santa Marta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Arhuaco, Kogui, Wiwa y Kankuamo.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Península de la Guajira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Wayuú.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Planicie Caribe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Chimila, Tule, Senú, Mocaná.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Cambria" w:cs="Cambria" w:eastAsia="Cambria" w:hAnsi="Cambria"/>
      <w:b w:val="1"/>
      <w:color w:val="345a8a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rFonts w:ascii="Cambria" w:cs="Cambria" w:eastAsia="Cambria" w:hAnsi="Cambria"/>
      <w:b w:val="1"/>
      <w:color w:val="4f81bd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color w:val="17365d"/>
      <w:sz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Cambria" w:cs="Cambria" w:eastAsia="Cambria" w:hAnsi="Cambria"/>
      <w:b w:val="0"/>
      <w:i w:val="1"/>
      <w:color w:val="4f81bd"/>
      <w:sz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6" Type="http://schemas.openxmlformats.org/officeDocument/2006/relationships/hyperlink" Target="http://es.wikipedia.org/wiki/U%27wa" TargetMode="External"/><Relationship Id="rId15" Type="http://schemas.openxmlformats.org/officeDocument/2006/relationships/hyperlink" Target="http://www.un.org/esa/socdev/unpfii/documents/DRIPS_es.pdf" TargetMode="External"/><Relationship Id="rId14" Type="http://schemas.openxmlformats.org/officeDocument/2006/relationships/hyperlink" Target="http://www.un.org/esa/socdev/unpfii/documents/DRIPS_es.pdf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banrepcultural.org/node/32941" TargetMode="External"/><Relationship Id="rId13" Type="http://schemas.openxmlformats.org/officeDocument/2006/relationships/hyperlink" Target="http://www.un.org/esa/socdev/unpfii/documents/DRIPS_es.pdf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banrepcultural.org/node/32941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banrepcultural.org/node/32941" TargetMode="External"/><Relationship Id="rId9" Type="http://schemas.openxmlformats.org/officeDocument/2006/relationships/hyperlink" Target="http://upload.wikimedia.org/wikipedia/commons/thumb/5/54/Minambiente-n.jpg/300px-Minambiente-n.jpg" TargetMode="External"/><Relationship Id="rId6" Type="http://schemas.openxmlformats.org/officeDocument/2006/relationships/hyperlink" Target="http://www.banrepcultural.org/node/32941" TargetMode="External"/><Relationship Id="rId5" Type="http://schemas.openxmlformats.org/officeDocument/2006/relationships/hyperlink" Target="http://www.banrepcultural.org/node/32941" TargetMode="External"/><Relationship Id="rId8" Type="http://schemas.openxmlformats.org/officeDocument/2006/relationships/image" Target="media/image01.jpg"/><Relationship Id="rId7" Type="http://schemas.openxmlformats.org/officeDocument/2006/relationships/hyperlink" Target="http://www.banrepcultural.org/node/32941" TargetMode="External"/></Relationships>
</file>