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Ejercicio Genérico M2A: Rellenar huecos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xr57t9utam2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Nombre del guión a que corresponde el ejercicio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CS_06_05_REC1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El crecimiento  y la expansión de los pueblos Caribe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Descripción del recurso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Completa el siguiente texto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:  “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El crecimiento  y la expansión de los pueblos Caribe”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Palabras clave del recurso (separadas por comas ",")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Caribe- desplazando-Magdalena-agrícolas-ambientales -sedentarismo –culturas-piedra  -alimentos  -productos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mantas-zoomorfos.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Tiempo estimado (minutos)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Ejercitación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Preguntas con respuesta libre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Juegos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Generador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comunicación lingüística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matemática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el conocimiento y la interacción con el mundo físico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Tratamiento de la información y competencia digital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social y ciudadana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cultural y artística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para aprender a aprender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Autonomía e iniciativa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Secuencia de imágenes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Animación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Interactivo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Mapa conceptual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Imagen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Nivel del ejercicio, 1-Fácil, 2-Medio ó 3-Difícil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COPIA EL TÍTULO DEL RECURSO PARA EL TÍTULO DEL EJERCICIO AL MENOS QUE SEA DIFERENTE. RECUERDA EL TÍTULO NO DEBE REBASAR LOS 86 CARACTERES.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El crecimiento  y la expansión de los pueblos Caribe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Grado del ejercicio (Primaria o Secundaria); “P” o “S”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Completa el siguiente texto sobre “El crecimiento  y la expansión de los pueblos Caribe”.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MÍN. 2  MÁX. 12. RELLENAR HUECOS. ESCRIBE TEXTO EN EL CUAL SE DEBERÁ INCLUIR UN ASTERISCO ENTRE CORCHETES [*] EN CADA UNO DE LOS ESPACIOS EN DÓNDE QUEDARÁN HUECOS A RELLENAR,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16"/>
          <w:vertAlign w:val="baseline"/>
          <w:rtl w:val="0"/>
        </w:rPr>
        <w:t xml:space="preserve">Lo que no es para ti...aunque te pongas; … </w:t>
      </w: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   ENTONCES DEBE SER:    </w:t>
      </w:r>
      <w:r w:rsidDel="00000000" w:rsidR="00000000" w:rsidRPr="00000000">
        <w:rPr>
          <w:rFonts w:ascii="Arial" w:cs="Arial" w:eastAsia="Arial" w:hAnsi="Arial"/>
          <w:sz w:val="16"/>
          <w:vertAlign w:val="baseline"/>
          <w:rtl w:val="0"/>
        </w:rPr>
        <w:t xml:space="preserve">Lo que no es para ti...aunque te [*]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vertAlign w:val="baseline"/>
          <w:rtl w:val="0"/>
        </w:rPr>
        <w:t xml:space="preserve">La base alimenticia de estos pueblos [*] …fueron los productos de mar. En la medida en que se fueron [*] …a poblar territorios hacia el interior como las zonas de confluencia del río [*] … y el Cesar. En tanto se abandonaba la zona costera hacia el segundo milenio 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vertAlign w:val="baseline"/>
          <w:rtl w:val="0"/>
        </w:rPr>
        <w:t xml:space="preserve">., se  incorporaban las actividades [*] …como el cultivo de la yuca acordes con las condiciones [*] …Estas actividades permiten que se consolide el [*] …, se modifican las  herramientas como en el caso de las [*] …de Malambo y luego de Momil, donde se produjeron los instrumentos de [*] …pulimentada y objetos de concha y hueso. Con los cultivos de la yuca se logran una mayor producción y esto genera que haya mayor cantidad de [*] …y por consiguiente se incrementa la población. El aumento de la población exige mayor demanda de [*] …como los tejidos que  a su vez que genera mayor cultivo del algodón materia prima para la fabricación de [*] …. La cerámica se hizo más variada, con la aparición de figurillas humanas, pitos </w:t>
        <w:tab/>
        <w:t xml:space="preserve">[*] …y decoraciones con dos colores (bicromadas)  y  multicolor.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DESPUÉS ESCRIBIR EN CADA CASILLA DEL 1 AL 12 LAS PALABRAS RESPUESTAS O LAS PALABRAS CORRESPONDIENTES DE CADA ASTERISCO (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16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: LAS RESPUESTAS DEBEN SER ÚNICAS Y DEBEN IR EN EL ORDEN DE APARICIÓN),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4786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4252"/>
        <w:tblGridChange w:id="0">
          <w:tblGrid>
            <w:gridCol w:w="534"/>
            <w:gridCol w:w="4252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caribe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desplazando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Magdalena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agrícolas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ambientales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sedentarismo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culturas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piedra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alimentos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productos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mantas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*12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zoomorfos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NOTA: ESTE EJERCICIO PUEDE O NO UTILIZAR 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Texto a rellenar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745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La base alimenticia de estos pueblos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caribe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fueron los productos de mar. En la medida en que se fueron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desplazando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a poblar territorios hacia el interior como las zonas de confluencia del río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Magdalena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y el Cesar. En tanto se abandonaba la zona costera hacia el segundo milenio a.n.e., se  incorporaban las actividades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agrícolas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como el cultivo de la yuca acordes con las condiciones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ambientales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Estas actividades permiten que se consolide el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sedentarismo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, se modifican las  herramientas como en el caso de las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culturas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 Malambo y luego de Momil, donde se produjeron los instrumentos de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piedra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pulimentada y objetos de concha y hueso. Con los cultivos de la yuca se logran una mayor producción y esto genera que haya mayor cantidad de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alimentos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y por consiguiente se incrementa la población. El aumento de la población exige mayor demanda de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productos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como los tejidos que  a su vez que genera mayor cultivo del algodón materia prima para la fabricación de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mantas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La cerámica se hizo más variada, con la aparición de figurillas humanas, pitos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zoomorfos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y decoraciones con dos colores (bicromadas)  y  multicolor.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Palabras (respuestas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6"/>
        <w:gridCol w:w="4227"/>
        <w:gridCol w:w="576"/>
        <w:gridCol w:w="4510"/>
        <w:tblGridChange w:id="0">
          <w:tblGrid>
            <w:gridCol w:w="576"/>
            <w:gridCol w:w="4227"/>
            <w:gridCol w:w="576"/>
            <w:gridCol w:w="451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desplazando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Magdalena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agrícolas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ambientales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sedentarismo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culturas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piedra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alimentos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mantas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zoomorfos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Palabras para despistar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4252"/>
        <w:gridCol w:w="567"/>
        <w:gridCol w:w="4536"/>
        <w:tblGridChange w:id="0">
          <w:tblGrid>
            <w:gridCol w:w="534"/>
            <w:gridCol w:w="4252"/>
            <w:gridCol w:w="567"/>
            <w:gridCol w:w="4536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Tumaco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Catios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NOTA: ESTE EJERCICIO PUEDE O NO UTILIZAR 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Audio (opcional) S/N, Si existe, indicar el nombre del archivo mp3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