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Ejercicio Genérico M4A: Test - solo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Nombre del guión a que corresponde el ejercicio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CS_06_05_R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EC1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Los pueblos Arawak de los Llanos orientales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Descripción del recurso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Reconoce algunas generalidades de los Arawak ubicados en los llanos orientales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clave del recurso (separadas por comas ",")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Arawak, Llanos orientales, Piapoco, Sikauni, Achagua,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Caquetío, Maipures, Sálivas, Unuma.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Tiempo estimado (minutos)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Ejercitación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Preguntas con respuesta libre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Juegos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Generador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comunicación lingüística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el conocimiento y la interacción con el mundo físico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Tratamiento de la información y competencia digital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social y ciudadana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cultural y artística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para aprender a aprender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Autonomía e iniciativa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Secuencia de 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Animación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Interactivo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Mapa conceptual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Nivel del ejercicio, 1-Fácil, 2-Medio ó 3-Difícil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COPIA EL TÍTULO DEL RECURSO PARA EL TÍTULO DEL EJERCICIO AL MENOS QUE SEA DIFERENTE. RECUERDA EL TÍTULO NO DEBE REBASAR LOS 86 CARACTERES.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Los pueblos Arawak de los llanos orientales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Grado del ejercicio (Primaria o Secundaria); “P” o “S”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Responde a las siguientes preguntas sobre algunas generalidades de los Arawak ubicados en los llanos orientales.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16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: PERMITE SELECCIONAR MÁS DE UNA OPCIÓN, APLICA A TODAS LAS PREGUNTAS DEL EJERCICIO.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Respuesta única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MÍN. 1  MÁX. 10. TEST-TEXTO (OPCIÓN MÚLTIPLE). EL TEXTO DE LA EXPLICACIÓN SE MUESTRA AL MOMENTO DE PEDIR LA SOLUCIÓN. POR LO MENOS UNA O TODAS LAS RESPUESTAS DE UNA PREGUNTA PUEDEN SER CORRECTAS, MARQUE ÉSTAS CON NEGRITA.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1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Los Piapoco se ubican 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Entre el río Meta y el río Tomo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Riberas del río Orinoco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Vichada y Guaviare.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2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La relación de los Piapoco con los Sikauni es por…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ocupación territorial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matrimonios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comercio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3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Los Arawak llegaron a los Llanos orientales debido a una migración procedente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Las Antillas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Mesoamérica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4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El Achagua fue un pueblo arawak que se ubicó 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entre los ríos Cojedes y Guaviare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entre los ríos Vichada y Guaviare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entre los ríos Inírida y Guainía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5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Es característica de los Achagua: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Seminómadas que recorrían zonas interfluviales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Docilidad de vocación sedentaria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Primera en adaptarse a la cultura occidental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5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También son grupos  Arawak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Caquetío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Maipures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Huitoto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Sálivas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6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Cuando  se habla de Unuma se hace referencia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Un pueblo indígena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Un río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Sistema de trabajo colectivo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