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30" w:type="dxa"/>
          <w:right w:w="30" w:type="dxa"/>
        </w:tblCellMar>
        <w:tblLook w:val="0000" w:firstRow="0" w:lastRow="0" w:firstColumn="0" w:lastColumn="0" w:noHBand="0" w:noVBand="0"/>
      </w:tblPr>
      <w:tblGrid>
        <w:gridCol w:w="6655"/>
      </w:tblGrid>
      <w:tr w:rsidR="008270E8">
        <w:tblPrEx>
          <w:tblCellMar>
            <w:top w:w="0" w:type="dxa"/>
            <w:bottom w:w="0" w:type="dxa"/>
          </w:tblCellMar>
        </w:tblPrEx>
        <w:trPr>
          <w:trHeight w:val="290"/>
        </w:trPr>
        <w:tc>
          <w:tcPr>
            <w:tcW w:w="6655" w:type="dxa"/>
            <w:tcBorders>
              <w:top w:val="nil"/>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Colombia en la segunda mitad del siglo XIX</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1 Las reformas liberales de mitad de siglo</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2 La Confederación Granadina (Aspecto social, económico y político)</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3 El Olimpo Radical (Aspecto social, económico y político)</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4 La Regeneración (Aspecto social, económico y político)</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5 Colombia a finales del siglo XIX y principios del XX</w:t>
            </w:r>
          </w:p>
        </w:tc>
      </w:tr>
      <w:tr w:rsidR="008270E8">
        <w:tblPrEx>
          <w:tblCellMar>
            <w:top w:w="0" w:type="dxa"/>
            <w:bottom w:w="0" w:type="dxa"/>
          </w:tblCellMar>
        </w:tblPrEx>
        <w:trPr>
          <w:trHeight w:val="290"/>
        </w:trPr>
        <w:tc>
          <w:tcPr>
            <w:tcW w:w="6655" w:type="dxa"/>
            <w:tcBorders>
              <w:top w:val="single" w:sz="6" w:space="0" w:color="auto"/>
              <w:left w:val="nil"/>
              <w:bottom w:val="single" w:sz="6"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6 Urbanismo y vida cotidiana</w:t>
            </w:r>
          </w:p>
        </w:tc>
      </w:tr>
      <w:tr w:rsidR="008270E8">
        <w:tblPrEx>
          <w:tblCellMar>
            <w:top w:w="0" w:type="dxa"/>
            <w:bottom w:w="0" w:type="dxa"/>
          </w:tblCellMar>
        </w:tblPrEx>
        <w:trPr>
          <w:trHeight w:val="290"/>
        </w:trPr>
        <w:tc>
          <w:tcPr>
            <w:tcW w:w="6655" w:type="dxa"/>
            <w:tcBorders>
              <w:top w:val="single" w:sz="6" w:space="0" w:color="auto"/>
              <w:left w:val="nil"/>
              <w:bottom w:val="single" w:sz="12" w:space="0" w:color="auto"/>
              <w:right w:val="nil"/>
            </w:tcBorders>
          </w:tcPr>
          <w:p w:rsidR="008270E8" w:rsidRDefault="008270E8">
            <w:pPr>
              <w:autoSpaceDE w:val="0"/>
              <w:autoSpaceDN w:val="0"/>
              <w:adjustRightInd w:val="0"/>
              <w:spacing w:after="0" w:line="240" w:lineRule="auto"/>
              <w:rPr>
                <w:rFonts w:ascii="Arial" w:hAnsi="Arial" w:cs="Arial"/>
                <w:noProof w:val="0"/>
                <w:color w:val="000000"/>
                <w:sz w:val="24"/>
                <w:szCs w:val="24"/>
              </w:rPr>
            </w:pPr>
            <w:r>
              <w:rPr>
                <w:rFonts w:ascii="Arial" w:hAnsi="Arial" w:cs="Arial"/>
                <w:noProof w:val="0"/>
                <w:color w:val="000000"/>
                <w:sz w:val="24"/>
                <w:szCs w:val="24"/>
              </w:rPr>
              <w:t>7 Manifestaciones culturales</w:t>
            </w:r>
          </w:p>
        </w:tc>
      </w:tr>
    </w:tbl>
    <w:p w:rsidR="003B1207" w:rsidRDefault="003B1207"/>
    <w:p w:rsidR="00284427" w:rsidRDefault="00284427" w:rsidP="00284427">
      <w:pPr>
        <w:spacing w:line="360" w:lineRule="auto"/>
        <w:rPr>
          <w:color w:val="000000" w:themeColor="text1"/>
        </w:rPr>
      </w:pPr>
      <w:r w:rsidRPr="00974355">
        <w:rPr>
          <w:color w:val="000000" w:themeColor="text1"/>
        </w:rPr>
        <w:t xml:space="preserve">La </w:t>
      </w:r>
      <w:r w:rsidRPr="00974355">
        <w:rPr>
          <w:b/>
          <w:color w:val="000000" w:themeColor="text1"/>
        </w:rPr>
        <w:t>Confederación Granadina</w:t>
      </w:r>
      <w:r w:rsidRPr="00974355">
        <w:rPr>
          <w:color w:val="000000" w:themeColor="text1"/>
        </w:rPr>
        <w:t xml:space="preserve"> </w:t>
      </w:r>
      <w:r w:rsidRPr="00974355">
        <w:rPr>
          <w:rStyle w:val="titentry1"/>
          <w:rFonts w:ascii="Times New Roman" w:hAnsi="Times New Roman"/>
          <w:color w:val="000000" w:themeColor="text1"/>
          <w:sz w:val="24"/>
          <w:szCs w:val="24"/>
        </w:rPr>
        <w:t xml:space="preserve">fue el nombre </w:t>
      </w:r>
      <w:r w:rsidRPr="00974355">
        <w:rPr>
          <w:rStyle w:val="lemmavariantref1"/>
          <w:rFonts w:ascii="Times New Roman" w:hAnsi="Times New Roman"/>
          <w:color w:val="000000" w:themeColor="text1"/>
          <w:sz w:val="24"/>
          <w:szCs w:val="24"/>
        </w:rPr>
        <w:t xml:space="preserve">que recibió el territorio de los </w:t>
      </w:r>
      <w:r>
        <w:rPr>
          <w:rStyle w:val="lemmavariantref1"/>
          <w:rFonts w:ascii="Times New Roman" w:hAnsi="Times New Roman"/>
          <w:color w:val="000000" w:themeColor="text1"/>
          <w:sz w:val="24"/>
          <w:szCs w:val="24"/>
        </w:rPr>
        <w:t>E</w:t>
      </w:r>
      <w:r w:rsidRPr="00974355">
        <w:rPr>
          <w:rStyle w:val="lemmavariantref1"/>
          <w:rFonts w:ascii="Times New Roman" w:hAnsi="Times New Roman"/>
          <w:color w:val="000000" w:themeColor="text1"/>
          <w:sz w:val="24"/>
          <w:szCs w:val="24"/>
        </w:rPr>
        <w:t>stados actuales de Colombia y Panamá entre 1858 y 1861</w:t>
      </w:r>
      <w:bookmarkStart w:id="0" w:name="3485233"/>
      <w:bookmarkEnd w:id="0"/>
      <w:r w:rsidRPr="00974355">
        <w:rPr>
          <w:rStyle w:val="lemmavariantref1"/>
          <w:rFonts w:ascii="Times New Roman" w:hAnsi="Times New Roman"/>
          <w:color w:val="000000" w:themeColor="text1"/>
          <w:sz w:val="24"/>
          <w:szCs w:val="24"/>
        </w:rPr>
        <w:t>.</w:t>
      </w:r>
      <w:r>
        <w:rPr>
          <w:rStyle w:val="lemmavariantref1"/>
          <w:rFonts w:ascii="Times New Roman" w:hAnsi="Times New Roman"/>
          <w:color w:val="000000" w:themeColor="text1"/>
          <w:sz w:val="24"/>
          <w:szCs w:val="24"/>
        </w:rPr>
        <w:t xml:space="preserve"> </w:t>
      </w:r>
      <w:r w:rsidRPr="00974355">
        <w:rPr>
          <w:color w:val="000000" w:themeColor="text1"/>
        </w:rPr>
        <w:t xml:space="preserve">Por la </w:t>
      </w:r>
      <w:r>
        <w:rPr>
          <w:color w:val="000000" w:themeColor="text1"/>
        </w:rPr>
        <w:t>C</w:t>
      </w:r>
      <w:r w:rsidRPr="00974355">
        <w:rPr>
          <w:color w:val="000000" w:themeColor="text1"/>
        </w:rPr>
        <w:t xml:space="preserve">onstitución de 1858, la </w:t>
      </w:r>
      <w:r>
        <w:rPr>
          <w:color w:val="000000" w:themeColor="text1"/>
        </w:rPr>
        <w:t>república</w:t>
      </w:r>
      <w:r w:rsidRPr="00974355">
        <w:rPr>
          <w:color w:val="000000" w:themeColor="text1"/>
        </w:rPr>
        <w:t xml:space="preserve"> se convirtió en federativa, constituida por ocho estados soberanos confederados. Las tensiones y luchas entre la administración central y las estatales acabaron con la victoria de </w:t>
      </w:r>
      <w:r w:rsidRPr="00974355">
        <w:rPr>
          <w:b/>
          <w:color w:val="000000" w:themeColor="text1"/>
        </w:rPr>
        <w:t>Tomás Cipriano de Mosquera</w:t>
      </w:r>
      <w:r w:rsidRPr="00974355">
        <w:rPr>
          <w:color w:val="000000" w:themeColor="text1"/>
        </w:rPr>
        <w:t xml:space="preserve">, quien proclamó los </w:t>
      </w:r>
      <w:r w:rsidRPr="00974355">
        <w:rPr>
          <w:b/>
          <w:color w:val="000000" w:themeColor="text1"/>
        </w:rPr>
        <w:t>Estados Unidos de Colombia</w:t>
      </w:r>
      <w:r w:rsidRPr="00974355">
        <w:rPr>
          <w:color w:val="000000" w:themeColor="text1"/>
        </w:rPr>
        <w:t xml:space="preserve"> (1862), hecho ratificado en la nueva </w:t>
      </w:r>
      <w:r>
        <w:rPr>
          <w:color w:val="000000" w:themeColor="text1"/>
        </w:rPr>
        <w:t>C</w:t>
      </w:r>
      <w:r w:rsidRPr="00974355">
        <w:rPr>
          <w:color w:val="000000" w:themeColor="text1"/>
        </w:rPr>
        <w:t>onstitución emanada de la Convención de R</w:t>
      </w:r>
      <w:r>
        <w:rPr>
          <w:color w:val="000000" w:themeColor="text1"/>
        </w:rPr>
        <w:t>i</w:t>
      </w:r>
      <w:r w:rsidRPr="00974355">
        <w:rPr>
          <w:color w:val="000000" w:themeColor="text1"/>
        </w:rPr>
        <w:t>o</w:t>
      </w:r>
      <w:r>
        <w:rPr>
          <w:color w:val="000000" w:themeColor="text1"/>
        </w:rPr>
        <w:t>n</w:t>
      </w:r>
      <w:r w:rsidRPr="00974355">
        <w:rPr>
          <w:color w:val="000000" w:themeColor="text1"/>
        </w:rPr>
        <w:t xml:space="preserve">egro (el 3 de febrero de 1863). </w:t>
      </w:r>
    </w:p>
    <w:p w:rsidR="00AF1EB8" w:rsidRDefault="00AF1EB8" w:rsidP="00284427">
      <w:pPr>
        <w:spacing w:line="360" w:lineRule="auto"/>
        <w:rPr>
          <w:color w:val="000000" w:themeColor="text1"/>
        </w:rPr>
      </w:pPr>
    </w:p>
    <w:p w:rsidR="008270E8" w:rsidRDefault="00284427">
      <w:r>
        <w:t>------------------------------</w:t>
      </w:r>
    </w:p>
    <w:p w:rsidR="008270E8" w:rsidRPr="00AF1EB8" w:rsidRDefault="008270E8">
      <w:pPr>
        <w:rPr>
          <w:b/>
        </w:rPr>
      </w:pPr>
      <w:r w:rsidRPr="00AF1EB8">
        <w:rPr>
          <w:b/>
        </w:rPr>
        <w:t xml:space="preserve">Las reformas liberales del mitad de siglo XIX </w:t>
      </w:r>
    </w:p>
    <w:p w:rsidR="003C1F25" w:rsidRDefault="0080631F">
      <w:r>
        <w:t xml:space="preserve">Gran parte del continente americano vivió a mitad del siglo XIX un vuelco hacia las ideas liberales. </w:t>
      </w:r>
      <w:r w:rsidR="00AF1EB8">
        <w:t>A l</w:t>
      </w:r>
      <w:r>
        <w:t xml:space="preserve">a República de la Nueva Granada , que es como </w:t>
      </w:r>
      <w:r w:rsidR="00AF1EB8">
        <w:t xml:space="preserve">se llamó </w:t>
      </w:r>
      <w:r>
        <w:t>Colombia</w:t>
      </w:r>
      <w:r w:rsidR="00AF1EB8">
        <w:t xml:space="preserve"> entre 1831 y 1858 le sucedió la Confederación Granadina, que llegó hasta 1863</w:t>
      </w:r>
      <w:r>
        <w:t>.</w:t>
      </w:r>
      <w:r w:rsidR="00AF1EB8">
        <w:t xml:space="preserve"> Este último fue un periodo de importantes reformas lideradas por f</w:t>
      </w:r>
      <w:r>
        <w:t xml:space="preserve">iguras como el presidente Tomás Cipriano y su secretario de Hacienda, Florentino Gonzalez, quien </w:t>
      </w:r>
      <w:r w:rsidR="00AF1EB8">
        <w:t>se habí</w:t>
      </w:r>
      <w:r>
        <w:t>a educado en Inglaterra</w:t>
      </w:r>
      <w:r w:rsidR="003C1F25">
        <w:t>,</w:t>
      </w:r>
      <w:r>
        <w:t xml:space="preserve"> </w:t>
      </w:r>
      <w:r w:rsidR="00A2273B">
        <w:t xml:space="preserve">en donde conoció </w:t>
      </w:r>
      <w:r w:rsidR="003C1F25">
        <w:t xml:space="preserve">los principios de la libre competencia. Ambos impulsaron </w:t>
      </w:r>
      <w:r>
        <w:t xml:space="preserve">un conjunto de reformas orientadas a insertar al país en la economía internacional. </w:t>
      </w:r>
    </w:p>
    <w:p w:rsidR="003C1F25" w:rsidRDefault="003C1F25"/>
    <w:p w:rsidR="004A5889" w:rsidRDefault="003C1F25">
      <w:r>
        <w:t>Un antecedente a estas reformas tuvo que</w:t>
      </w:r>
      <w:r w:rsidR="006B0079">
        <w:t xml:space="preserve"> ver con</w:t>
      </w:r>
      <w:r>
        <w:t xml:space="preserve"> </w:t>
      </w:r>
      <w:r w:rsidR="004A5889">
        <w:t xml:space="preserve">el resentimiento que despertó el presidente conservador Mariano Ospina Rodríguez, quien excluyóa a </w:t>
      </w:r>
      <w:r w:rsidR="00413C2C">
        <w:t xml:space="preserve">los </w:t>
      </w:r>
      <w:r w:rsidR="006B0079">
        <w:t>liberales en los cargos públicos</w:t>
      </w:r>
      <w:r w:rsidR="00413C2C">
        <w:t xml:space="preserve"> </w:t>
      </w:r>
      <w:r w:rsidR="004A5889">
        <w:t xml:space="preserve">y además procuró darle más poder al departamento de Antioquia que a los demás. </w:t>
      </w:r>
    </w:p>
    <w:p w:rsidR="00B1487D" w:rsidRDefault="004A5889">
      <w:r>
        <w:t xml:space="preserve">En </w:t>
      </w:r>
      <w:r w:rsidR="006B0079">
        <w:t xml:space="preserve">1858, </w:t>
      </w:r>
      <w:r>
        <w:t xml:space="preserve">Ospina había promovido una reforma constitucional </w:t>
      </w:r>
      <w:r w:rsidR="006B0079">
        <w:t xml:space="preserve">con la que se </w:t>
      </w:r>
      <w:r>
        <w:t>creó la Confederación Granadina. Los liberales veían cómo iban perdiendo su poder. En 1859 se desató una nueva guerra civil. En el estado del Cauca, los liberales, con el expresidente Tomás Cipriano de Mosquera a la cabeza, tomaron las armas y fueron apoyados por Juan José Nieto.</w:t>
      </w:r>
      <w:bookmarkStart w:id="1" w:name="_GoBack"/>
      <w:bookmarkEnd w:id="1"/>
      <w:r>
        <w:t xml:space="preserve"> Ambos: Mosquera y Nieto firmaron el Tratado de Unión y Confederación de </w:t>
      </w:r>
      <w:r w:rsidR="00B1487D">
        <w:t>los estados del Cauca y Bolívar y organizaron</w:t>
      </w:r>
    </w:p>
    <w:p w:rsidR="003C1F25" w:rsidRDefault="00B1487D">
      <w:r>
        <w:lastRenderedPageBreak/>
        <w:t>un gobierno provisional de lo que desde entonces llamaron los Estados Unidos de Colombia.</w:t>
      </w:r>
    </w:p>
    <w:p w:rsidR="00B1487D" w:rsidRDefault="00B1487D">
      <w:r>
        <w:t xml:space="preserve">La guerra se prolongó hasta finales del año 1862 </w:t>
      </w:r>
      <w:r w:rsidR="009C7E6E">
        <w:t xml:space="preserve">pero concluyó definitivamente </w:t>
      </w:r>
      <w:r w:rsidR="00A229C8">
        <w:t xml:space="preserve">con el triunfo de los liberales y </w:t>
      </w:r>
      <w:r>
        <w:t xml:space="preserve">la expedición de la Constitución de Rionegro </w:t>
      </w:r>
      <w:r w:rsidR="00C540A2">
        <w:t xml:space="preserve">el 8 de mayo </w:t>
      </w:r>
      <w:r>
        <w:t>1863.</w:t>
      </w:r>
      <w:r w:rsidR="00A71B85">
        <w:t xml:space="preserve"> Desde entonces el país pasó a llamarse </w:t>
      </w:r>
      <w:r w:rsidR="00EB661F">
        <w:t xml:space="preserve">Estados Unidos de Colombia y estaba </w:t>
      </w:r>
      <w:r w:rsidR="003978F7">
        <w:t xml:space="preserve">conformado por nueve estados: </w:t>
      </w:r>
    </w:p>
    <w:p w:rsidR="00A71B85" w:rsidRDefault="00A71B85"/>
    <w:p w:rsidR="00EB661F" w:rsidRPr="00EF0A7E" w:rsidRDefault="00EB661F">
      <w:pPr>
        <w:rPr>
          <w:b/>
        </w:rPr>
      </w:pPr>
      <w:r w:rsidRPr="00EB661F">
        <w:rPr>
          <w:b/>
        </w:rPr>
        <w:t xml:space="preserve">La </w:t>
      </w:r>
      <w:r>
        <w:rPr>
          <w:b/>
        </w:rPr>
        <w:t>Constitución de R</w:t>
      </w:r>
      <w:r w:rsidRPr="00EB661F">
        <w:rPr>
          <w:b/>
        </w:rPr>
        <w:t>ionegro</w:t>
      </w:r>
    </w:p>
    <w:p w:rsidR="00A71B85" w:rsidRDefault="00A71B85">
      <w:r>
        <w:t>FOTO Constitución de rionegro</w:t>
      </w:r>
    </w:p>
    <w:p w:rsidR="00A71B85" w:rsidRDefault="00A71B85">
      <w:r w:rsidRPr="00A71B85">
        <w:t>http://es.wikipedia.org/wiki/Historia_del_constitucionalismo_colombiano#/media/File:Constituci%C3%B3n_pol%C3%ADtica_de_Colombia_de_1863.jpg</w:t>
      </w:r>
    </w:p>
    <w:p w:rsidR="00A71B85" w:rsidRDefault="00A71B85"/>
    <w:p w:rsidR="00010718" w:rsidRDefault="00EB661F">
      <w:r>
        <w:t xml:space="preserve">Tomás Cipriano de Mosquera fue el líder de la asamblea que diseñó la Constitución de 1863. </w:t>
      </w:r>
      <w:r w:rsidR="00D7437E">
        <w:t>Estaba a la cabeza de los liberales radicales, la mayoría de ellos con la ambición de crear industrias para la exportación.</w:t>
      </w:r>
    </w:p>
    <w:p w:rsidR="0080631F" w:rsidRDefault="00101E59" w:rsidP="00010718">
      <w:r>
        <w:t xml:space="preserve">La Constitución se caracterizó, entonces, por transformar aspectos de la vida política y económica </w:t>
      </w:r>
      <w:r w:rsidR="00010718">
        <w:t xml:space="preserve">con los que se quiso facilitar en ingreso del pais a la economía internacional promoviendo la exportación de bienes primarios. Por ello impulsó el </w:t>
      </w:r>
      <w:r w:rsidR="0080631F">
        <w:t xml:space="preserve">libre cambio y el desarrollo agrícola y minero. </w:t>
      </w:r>
    </w:p>
    <w:p w:rsidR="00EC052F" w:rsidRDefault="00EC052F">
      <w:r>
        <w:t>A partir de la Constitución, el país se caracterizó por ser:</w:t>
      </w:r>
    </w:p>
    <w:p w:rsidR="00EC052F" w:rsidRDefault="00EC052F" w:rsidP="00B9291D">
      <w:pPr>
        <w:pStyle w:val="Prrafodelista"/>
        <w:numPr>
          <w:ilvl w:val="0"/>
          <w:numId w:val="1"/>
        </w:numPr>
      </w:pPr>
      <w:r>
        <w:t>Laico: se separó a la Iglesia del Estado</w:t>
      </w:r>
      <w:r w:rsidR="00B9291D">
        <w:t>. De nuevo se expulsó a los jesuitas y les fueron confiscadas las tierras a las comunidades religiosas. Con esto último se buscaba liberar la propiedad raíz para facilitar su compra y venta.</w:t>
      </w:r>
    </w:p>
    <w:p w:rsidR="00EC052F" w:rsidRDefault="00EC052F" w:rsidP="00B9291D">
      <w:pPr>
        <w:pStyle w:val="Prrafodelista"/>
        <w:numPr>
          <w:ilvl w:val="0"/>
          <w:numId w:val="1"/>
        </w:numPr>
      </w:pPr>
      <w:r>
        <w:t>Federal: se estableció una confederación de nueva estados con autonomía económica y administrativa. Cada estado er respondable del orden interno.</w:t>
      </w:r>
    </w:p>
    <w:p w:rsidR="00EC052F" w:rsidRDefault="00EC052F" w:rsidP="00B9291D">
      <w:pPr>
        <w:pStyle w:val="Prrafodelista"/>
        <w:numPr>
          <w:ilvl w:val="0"/>
          <w:numId w:val="1"/>
        </w:numPr>
      </w:pPr>
      <w:r>
        <w:t>Con garantía para la libertad de expresión y de culto.</w:t>
      </w:r>
    </w:p>
    <w:p w:rsidR="00EC052F" w:rsidRDefault="00EC052F"/>
    <w:p w:rsidR="007A6BD7" w:rsidRDefault="007A6BD7">
      <w:r>
        <w:t>La liberalización de la economía.</w:t>
      </w:r>
    </w:p>
    <w:p w:rsidR="007A6BD7" w:rsidRDefault="007A6BD7"/>
    <w:p w:rsidR="00EC052F" w:rsidRDefault="00EC052F"/>
    <w:p w:rsidR="0080631F" w:rsidRDefault="0080631F">
      <w:r>
        <w:t>Navegación por el río magdalena para estimular el comercio con la salida y entrada de productos</w:t>
      </w:r>
    </w:p>
    <w:p w:rsidR="0080631F" w:rsidRDefault="0080631F">
      <w:r>
        <w:t xml:space="preserve">Pero no fue fácil el camino pues </w:t>
      </w:r>
    </w:p>
    <w:p w:rsidR="0080631F" w:rsidRDefault="0080631F"/>
    <w:p w:rsidR="00B416BE" w:rsidRDefault="00B416BE"/>
    <w:p w:rsidR="0080631F" w:rsidRDefault="0080631F">
      <w:r>
        <w:t xml:space="preserve">Mosquera fue sucedido por José Hiario Lopez. </w:t>
      </w:r>
    </w:p>
    <w:p w:rsidR="0080631F" w:rsidRDefault="0080631F">
      <w:r>
        <w:t>Reforma fiscaL. Abolición de inpuestos coloniales: diez y estanco del tabao para incrementar la produccion de este</w:t>
      </w:r>
    </w:p>
    <w:p w:rsidR="0080631F" w:rsidRDefault="0080631F">
      <w:r>
        <w:t xml:space="preserve">Abolicion de esclavirtud. Los terratenientes organización. </w:t>
      </w:r>
    </w:p>
    <w:p w:rsidR="0080631F" w:rsidRDefault="0080631F">
      <w:r>
        <w:t>Reforma agrari: no resguardos.  Indigenas pasaron a formar parte de peones. Aumento haciendas con terrenos indigenas.</w:t>
      </w:r>
    </w:p>
    <w:p w:rsidR="0080631F" w:rsidRDefault="0080631F">
      <w:r>
        <w:t>Librecamio: favorecio a comerciantes. Y terratenientes interesados en insertarse e el comercio Ineternaconal</w:t>
      </w:r>
    </w:p>
    <w:p w:rsidR="0080631F" w:rsidRDefault="0080631F">
      <w:r>
        <w:t>Expulsion de jesuitas</w:t>
      </w:r>
    </w:p>
    <w:p w:rsidR="0080631F" w:rsidRDefault="0080631F">
      <w:r>
        <w:t>Abolio patronato republicano y separacion entre Iglesia y Estado</w:t>
      </w:r>
    </w:p>
    <w:p w:rsidR="0080631F" w:rsidRDefault="0080631F"/>
    <w:p w:rsidR="0080631F" w:rsidRDefault="0080631F"/>
    <w:sectPr w:rsidR="008063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74AE8"/>
    <w:multiLevelType w:val="hybridMultilevel"/>
    <w:tmpl w:val="EFCCF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8"/>
    <w:rsid w:val="00010718"/>
    <w:rsid w:val="00050FF6"/>
    <w:rsid w:val="00101E59"/>
    <w:rsid w:val="00284427"/>
    <w:rsid w:val="003978F7"/>
    <w:rsid w:val="003B1207"/>
    <w:rsid w:val="003C1F25"/>
    <w:rsid w:val="00413C2C"/>
    <w:rsid w:val="004A5889"/>
    <w:rsid w:val="006B0079"/>
    <w:rsid w:val="007A6BD7"/>
    <w:rsid w:val="0080631F"/>
    <w:rsid w:val="008270E8"/>
    <w:rsid w:val="009C7E6E"/>
    <w:rsid w:val="009E53EC"/>
    <w:rsid w:val="00A2273B"/>
    <w:rsid w:val="00A229C8"/>
    <w:rsid w:val="00A71B85"/>
    <w:rsid w:val="00AF1EB8"/>
    <w:rsid w:val="00B1487D"/>
    <w:rsid w:val="00B416BE"/>
    <w:rsid w:val="00B9291D"/>
    <w:rsid w:val="00C540A2"/>
    <w:rsid w:val="00D7437E"/>
    <w:rsid w:val="00EB661F"/>
    <w:rsid w:val="00EC052F"/>
    <w:rsid w:val="00EF0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C246-6457-4FED-AB51-34CC8C09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cp:revision>
  <cp:lastPrinted>2015-05-20T18:19:00Z</cp:lastPrinted>
  <dcterms:created xsi:type="dcterms:W3CDTF">2015-05-20T14:31:00Z</dcterms:created>
  <dcterms:modified xsi:type="dcterms:W3CDTF">2015-05-20T19:41:00Z</dcterms:modified>
</cp:coreProperties>
</file>