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7F" w:rsidRPr="009E758E" w:rsidRDefault="0050677F" w:rsidP="0050677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Interactivo F11: Trabajar uno o dos audios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Nombre del </w:t>
      </w:r>
      <w:r w:rsidR="00AB7890"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guion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a que corresponde el ejercicio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CS_09_03_CO</w:t>
      </w: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DATOS DEL RECURSO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Título del recurso (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s-ES_tradnl"/>
        </w:rPr>
        <w:t>65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caracteres máx.)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Las </w:t>
      </w:r>
      <w:r w:rsidRPr="00F11B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comunidades indígenas y propiedad de la tierra en México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Descripción del recurso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8C5495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Actividad que permite entender orientación agrarista de la Revolución Mexicana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Palabras clave del recurso (separadas por comas ",")</w:t>
      </w:r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Revolución </w:t>
      </w:r>
      <w:proofErr w:type="spellStart"/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Mexicana</w:t>
      </w:r>
      <w:proofErr w:type="gramStart"/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,reforma</w:t>
      </w:r>
      <w:proofErr w:type="spellEnd"/>
      <w:proofErr w:type="gramEnd"/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agraria,indígenas,indigenismo,tierra,territorio,muralismo,identidad,muralistas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Tiempo estimado (minutos)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60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9E758E" w:rsidRPr="009E758E" w:rsidTr="006C5E96">
        <w:tc>
          <w:tcPr>
            <w:tcW w:w="124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89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0677F" w:rsidRPr="009E758E" w:rsidRDefault="00C867AB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25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124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89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25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E758E" w:rsidRPr="009E758E" w:rsidTr="006C5E96">
        <w:tc>
          <w:tcPr>
            <w:tcW w:w="212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5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843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559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212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5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843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x</w:t>
            </w:r>
          </w:p>
        </w:tc>
      </w:tr>
      <w:tr w:rsidR="009E758E" w:rsidRPr="009E758E" w:rsidTr="006C5E96">
        <w:tc>
          <w:tcPr>
            <w:tcW w:w="212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5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843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Nivel del ejercicio, 1-Fácil, 2-Medio ó 3-Difícil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3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FICHA DEL </w:t>
      </w:r>
      <w:r w:rsidR="00F06933"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DOCENTE</w:t>
      </w:r>
    </w:p>
    <w:p w:rsidR="00F06933" w:rsidRPr="009E758E" w:rsidRDefault="00F06933" w:rsidP="00AF60E6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Título</w:t>
      </w:r>
      <w:r w:rsidRPr="009E758E"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  <w:t>: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Las </w:t>
      </w:r>
      <w:r w:rsidRPr="009E75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comunidades indígenas y propiedad de la tierra en México</w:t>
      </w:r>
      <w:r w:rsidR="00AF60E6" w:rsidRPr="009E75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kern w:val="36"/>
          <w:sz w:val="24"/>
          <w:szCs w:val="24"/>
        </w:rPr>
        <w:t>Temporalización:</w:t>
      </w:r>
      <w:r w:rsidRPr="009E758E"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  <w:t xml:space="preserve"> 60 minutos</w:t>
      </w:r>
      <w:r w:rsidR="00AF60E6" w:rsidRPr="009E758E"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Descripción: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Actividad que permite entender orientación agrarista de la Revolución Mexicana </w:t>
      </w:r>
      <w:r w:rsidR="00AF60E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Tipo de recurso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: Interactivo</w:t>
      </w:r>
      <w:r w:rsidR="00AF60E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Acción didáctica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Exposición </w:t>
      </w:r>
      <w:r w:rsidR="00AF60E6" w:rsidRPr="009E75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 relacionada con el recurso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: Competencia social y ciudadana</w:t>
      </w:r>
    </w:p>
    <w:p w:rsidR="00F06933" w:rsidRPr="009E758E" w:rsidRDefault="00F06933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20CD" w:rsidRPr="009E758E" w:rsidRDefault="00A820CD" w:rsidP="00A820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Actividad que busca ofrecer bases para entender la orientación agrarista que caracterizó a la Revolución Mexicana. Esta orientación fue un precedente para movimientos artísticos como el de los muralistas</w:t>
      </w:r>
      <w:r w:rsidR="00AF60E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0CD" w:rsidRPr="009E758E" w:rsidRDefault="00A820CD" w:rsidP="00A820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Antes de la presentación 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Pregunte a sus estudiantes qué idea tienen de los fines que puede buscar un movimiento agrarista. Así mismo, intente generar un debate sobre la importancia 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tierra como elemento que genera, no solo riqueza material, sino identidad cultural.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ese sentido pídales que revisen la animación pensando en el alcance que quiso tener la Revolución Mexicana al incluir el problema de los indios y campesinos sin tierra. 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oménteles que el arte mexicano que surgió a raíz de la Revolución 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pretendió</w:t>
      </w:r>
      <w:r w:rsidR="00FF043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comprometerse con los fines sociales de la misma.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0CD" w:rsidRPr="009E758E" w:rsidRDefault="00A820CD" w:rsidP="00A820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Después de la presentación</w:t>
      </w:r>
    </w:p>
    <w:p w:rsidR="00A820CD" w:rsidRPr="009E758E" w:rsidRDefault="00A820CD" w:rsidP="00A8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Pida a sus estudiantes que </w:t>
      </w:r>
      <w:r w:rsidR="003513FD">
        <w:rPr>
          <w:rFonts w:ascii="Times New Roman" w:hAnsi="Times New Roman" w:cs="Times New Roman"/>
          <w:color w:val="000000" w:themeColor="text1"/>
          <w:sz w:val="24"/>
          <w:szCs w:val="24"/>
        </w:rPr>
        <w:t>lean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 w:rsidR="00A909FC" w:rsidRPr="00EE21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Manifiesto Muralista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Coménteles que este fue un documento que firmaron, en 1922, varios artistas mexicanos que reivindicaban el arte como instrumento político y para la construcción de la identidad nacional. 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Luego de la lectura</w:t>
      </w:r>
      <w:r w:rsidR="003513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plantee un debate orientado a partir de estas posibles preguntas:</w:t>
      </w:r>
    </w:p>
    <w:p w:rsidR="00A820CD" w:rsidRPr="003513FD" w:rsidRDefault="00A820CD" w:rsidP="00A820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 w:rsidRPr="003513FD">
        <w:rPr>
          <w:rFonts w:ascii="Times New Roman" w:hAnsi="Times New Roman" w:cs="Times New Roman"/>
          <w:color w:val="000000" w:themeColor="text1"/>
          <w:lang w:val="es-CO"/>
        </w:rPr>
        <w:t>¿Qué motivaciones tiene un artista para hacer una obra? Por ejemplo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: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¿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>complacer su gusto personal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complacer el gusto de otros</w:t>
      </w:r>
      <w:r w:rsidR="00F957FE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o transformar la sociedad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?</w:t>
      </w:r>
    </w:p>
    <w:p w:rsidR="00A820CD" w:rsidRPr="00EE219D" w:rsidRDefault="00A820CD" w:rsidP="00A820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 w:rsidRPr="003513FD">
        <w:rPr>
          <w:rFonts w:ascii="Times New Roman" w:hAnsi="Times New Roman" w:cs="Times New Roman"/>
          <w:color w:val="000000" w:themeColor="text1"/>
          <w:lang w:val="es-CO"/>
        </w:rPr>
        <w:t>Cuando un artista crea una obra, ¿para quién la crea?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¿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p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>ara sí mismo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, p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>ara otros</w:t>
      </w:r>
      <w:r w:rsidR="003513FD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909FC" w:rsidRPr="00EE219D">
        <w:rPr>
          <w:rFonts w:ascii="Times New Roman" w:hAnsi="Times New Roman" w:cs="Times New Roman"/>
          <w:color w:val="000000" w:themeColor="text1"/>
          <w:lang w:val="es-CO"/>
        </w:rPr>
        <w:t>para la sociedad?</w:t>
      </w:r>
    </w:p>
    <w:p w:rsidR="00A820CD" w:rsidRPr="00EE219D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0CD" w:rsidRPr="009E758E" w:rsidRDefault="00725C47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Pregunte si entre los estudiantes </w:t>
      </w:r>
      <w:r w:rsidR="00A820CD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 artistas y cuál es su posición frente a esta tensión: El artista debe </w:t>
      </w:r>
      <w:r w:rsidR="00F957FE">
        <w:rPr>
          <w:rFonts w:ascii="Times New Roman" w:hAnsi="Times New Roman" w:cs="Times New Roman"/>
          <w:color w:val="000000" w:themeColor="text1"/>
          <w:sz w:val="24"/>
          <w:szCs w:val="24"/>
        </w:rPr>
        <w:t>desempeña</w:t>
      </w:r>
      <w:r w:rsidR="00F957FE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r w:rsidR="00A820CD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papel social </w:t>
      </w:r>
      <w:r w:rsidR="00A909FC" w:rsidRPr="00EE21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vs.</w:t>
      </w:r>
      <w:r w:rsidR="00A820CD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artista complace su individualidad, pero aun así, proporciona agrado a quienes pueden conocer su obra.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FICHA DEL </w:t>
      </w:r>
      <w:r w:rsidR="00406EEF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ESTUDIANTE</w:t>
      </w:r>
    </w:p>
    <w:p w:rsidR="00725C47" w:rsidRPr="009E758E" w:rsidRDefault="00725C47" w:rsidP="00725C47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>C</w:t>
      </w:r>
      <w:r w:rsidRPr="009E75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omunidades indígenas y propiedad de la tierra en México</w:t>
      </w:r>
    </w:p>
    <w:p w:rsidR="00725C47" w:rsidRPr="009E758E" w:rsidRDefault="00725C47" w:rsidP="00725C47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denominan </w:t>
      </w:r>
      <w:r w:rsidRPr="009E758E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es-CO"/>
        </w:rPr>
        <w:t>movimientos agraristas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las luchas sociales que tuvieron lugar en México, entre finales del siglo XIX y principios del siglo XX, protagonizadas por indígenas y campesinos que plantearon sus derechos sobre la propiedad de la tierra. En cierto modo, estas luchas tienen sus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raíces en el siglo XVI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: la ocupación de extensos territorios por los europeos durante la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Conquista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generó ya la oposición de las poblaciones indígenas. En la época colonial estas gozaron de cierto autogobierno; bajo la forma de repúblicas de indios, la Corona española les había garantizado algunos derechos a fin de limitar en lo posible el poder de la aristocracia terrateniente criolla.</w:t>
      </w: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 el siglo XIX, durante las primeras décadas de la Independencia, las comunidades campesinas sobrevivieron y canalizaron la resistencia indígena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contra la mercantilización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la tierra impulsada por los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gobiernos liberales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. Pero, a partir de la década de 1870, la situación cambió por razones ideológicas (se consideraba que en un Estado liberal no había lugar para la autonomía de las comunidades campesinas indígenas y se creó un marco legislativo para disolverlas), y también por razones económicas, debido a que el aumento de la demanda internacional incrementó la rentabilidad de las tierras agrícolas, por lo que los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grandes propietarios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ampliaron sus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latifundios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con parte de las tierras de las comunidades indígenas. </w:t>
      </w: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 no poder vivir de las tierras que les quedaban, los indígenas pasaron a ser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mano de obra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las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haciendas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a cambio de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salarios muy bajos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Revolución Mexicana buscó transformar esta realidad. Líderes como Emiliano Zapata se pusieron al frente de las luchas agrarias. </w:t>
      </w: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Debido a que esta Revolución transformó todas las estructuras sociales y culturales del país, la lucha agraria fue inspiración para movimientos artísticos vanguardistas. </w:t>
      </w:r>
    </w:p>
    <w:p w:rsidR="00725C47" w:rsidRPr="009E758E" w:rsidRDefault="00725C47" w:rsidP="00725C4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El arte mexicano quiso retratar la situación agraria del país. En muchas expresiones artísticas como la música, la escultura o la pintura se exaltó el valor indígena y la necesidad de reconocer en la tierra y el territorio un aspecto central de la identidad nacional. Los muralistas, por ejemplo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divulgaron un manifiesto en el que plasmaron su compromiso de hacer arte como instrumento para el </w:t>
      </w:r>
      <w:r w:rsidR="009E758E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cambio social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5C47" w:rsidRPr="008C5495" w:rsidRDefault="009E758E" w:rsidP="00725C4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54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MANIFIESTO MURALISTA</w:t>
      </w:r>
    </w:p>
    <w:p w:rsidR="00725C47" w:rsidRPr="009E758E" w:rsidRDefault="00725C47" w:rsidP="00725C4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Declaración </w:t>
      </w:r>
      <w:r w:rsidR="00897D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897DC3"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ocial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897D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897DC3"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olítica 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estética</w:t>
      </w: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El sindicato de Trabajadores Técnicos, Pintores y Escultores </w:t>
      </w:r>
      <w:r w:rsidR="00A909FC" w:rsidRPr="00EE219D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</w:t>
      </w:r>
      <w:r w:rsidRPr="009E758E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las razas nativas humilladas a través de los siglos; a los soldados convertidos en verdugos por sus jefes; a los trabajadores y campesinos azotados por los ricos; a los intelectuales que no adulan a la burguesía.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Estamos de parte de aquellos que exigen la desaparición de un sistema antiguo y cruel, dentro del cual tú, trabajador del campo, produces alimentos para los gaznates de capataces y politicastros, mientras mueres de hambre; dentro del cual tú, trabajador de la ciudad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mueves las fábricas, tramas las telas y creas con tus manos las comodidades para rufianes y prostitutas, mientras tu cuerpo se arrastra y se congela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del cual tú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soldado indio, abandonas heroicamente la tierra que trabajas y das tu vida interminablemente para destruir la miseria que se abate hace siglos sobre tu raza.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No sólo el trabajo noble, sino hasta la mínima expresión de la vida espiritual y física de nuestra raza, brota de lo nativo (y particularmente de lo indio). Su admirable y extraordinariamente peculiar talento para</w:t>
      </w:r>
      <w:r w:rsidRPr="009E758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crear belleza: el arte del pueblo mexicano es la más sana expresión espiritual que hay en el mundo,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y su tradición nuestra posesión más grande. Es grande porque siendo del pueblo, es colectiva, y esto es el por</w:t>
      </w:r>
      <w:r w:rsidR="00EE21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qué nuestra meta estética fundamental es socializar la expresión artística que </w:t>
      </w:r>
      <w:r w:rsidR="00EA56F0" w:rsidRPr="00F957FE">
        <w:rPr>
          <w:rFonts w:ascii="Times New Roman" w:hAnsi="Times New Roman" w:cs="Times New Roman"/>
          <w:color w:val="000000" w:themeColor="text1"/>
          <w:sz w:val="24"/>
          <w:szCs w:val="24"/>
        </w:rPr>
        <w:t>tiende a</w:t>
      </w:r>
      <w:r w:rsidR="00A75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borrar totalmente el individualismo que es burgués.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Repudiamos la llamada pintura de caballete y todo el arte de los círculos ultraintelectuales, porque es aristocrático, y glorificamos la expresión del Arte Monumental, porque es propiedad pública.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Proclamamos que dado que el momento social es de transición entre un orden decrépito y uno nuevo, los creadores de belleza deben realizar sus mayores esfuerzos para hacer su producción de valor ideológico para el pueblo, y la meta ideal del arte, que actualmente es una expresión de masturbación individualista, sea el arte para todos, de educación y de batalla.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Hacemos un llamamiento general a los intelectuales revolucionarios de México para que, olvidando su sentimentalismo y zanganería proverbiales por más de un siglo, se unan a nosotros en la lucha social y estético-educativa que realizamos.</w:t>
      </w:r>
    </w:p>
    <w:p w:rsidR="00AB7890" w:rsidRDefault="00AB7890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DATOS DEL INTERACTIVO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shd w:val="clear" w:color="auto" w:fill="E0E0E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PESTAÑA 1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(“PRESENTACION”)</w:t>
      </w:r>
    </w:p>
    <w:p w:rsidR="0050677F" w:rsidRPr="009E758E" w:rsidRDefault="0050677F" w:rsidP="0050677F">
      <w:pPr>
        <w:ind w:left="142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Título (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s-ES_tradnl"/>
        </w:rPr>
        <w:t>48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caracteres máx.)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406EEF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Arte e identidad nacional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Audio 1 (nombre del archivo mp3)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EE219D" w:rsidRDefault="00EE219D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Texto de locución en documento anexo: CS_09_03_REC30_LOC1</w:t>
      </w:r>
    </w:p>
    <w:p w:rsidR="0050677F" w:rsidRDefault="0050677F" w:rsidP="0050677F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</w:p>
    <w:p w:rsidR="00EE219D" w:rsidRPr="009E758E" w:rsidRDefault="00EE219D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Imagen de audio 1</w:t>
      </w:r>
    </w:p>
    <w:p w:rsidR="0050677F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s-ES_tradnl"/>
        </w:rPr>
        <w:t>Nombre de archivo Shutterstock o descripción de ilustración a crear</w:t>
      </w:r>
      <w:r w:rsidR="00631CAF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631CAF" w:rsidRPr="00EE219D" w:rsidRDefault="00F11BF0" w:rsidP="00631CA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hyperlink r:id="rId6" w:history="1">
        <w:r w:rsidR="00A909FC" w:rsidRPr="00EE219D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lang w:val="es-ES_tradnl"/>
          </w:rPr>
          <w:t>http://commons.wikimedia.org/wiki/File:Diego_Rivera_mural_featuring_Emiliano_Zapata.jpg?uselang=es</w:t>
        </w:r>
      </w:hyperlink>
    </w:p>
    <w:p w:rsidR="00631CAF" w:rsidRPr="00EE219D" w:rsidRDefault="00631CAF" w:rsidP="00631CA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s-ES_tradnl"/>
        </w:rPr>
        <w:t>Nombre de archivo codificado (ejemplo, CI_S3_G1_REC10_F1)</w:t>
      </w:r>
    </w:p>
    <w:p w:rsidR="0050677F" w:rsidRDefault="00631CA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Audio </w:t>
      </w:r>
      <w:r w:rsidR="00FE7CBD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2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(nombre del archivo mp3)</w:t>
      </w:r>
    </w:p>
    <w:p w:rsidR="00EE219D" w:rsidRDefault="00EE219D" w:rsidP="00EE219D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Texto de locución en documento anexo: CS_09_03_REC30_LOC2</w:t>
      </w:r>
      <w:bookmarkStart w:id="0" w:name="_GoBack"/>
      <w:bookmarkEnd w:id="0"/>
    </w:p>
    <w:p w:rsidR="00AB7890" w:rsidRPr="009E758E" w:rsidRDefault="00AB7890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bookmarkStart w:id="1" w:name="INDICE03"/>
      <w:bookmarkEnd w:id="1"/>
    </w:p>
    <w:p w:rsidR="00631CAF" w:rsidRPr="009E758E" w:rsidRDefault="00631CAF" w:rsidP="00631CA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Imagen de audio</w:t>
      </w:r>
      <w:r w:rsidRPr="00631CAF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2</w:t>
      </w:r>
    </w:p>
    <w:p w:rsidR="00631CAF" w:rsidRPr="009E758E" w:rsidRDefault="00F11BF0" w:rsidP="00631C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anchor="/media/File:David_Alfaro_Siqueiros_-_Peasants_-_Google_Art_Project.jpg" w:history="1">
        <w:r w:rsidR="00631CAF" w:rsidRPr="009E75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http://en.wikipedia.org/wiki/David_Alfaro_Siqueiros#/media/File:David_Alfaro_Siqueiros_-_Peasants_-_Google_Art_Project.jpg</w:t>
        </w:r>
      </w:hyperlink>
    </w:p>
    <w:p w:rsidR="0050677F" w:rsidRPr="00631CAF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0677F" w:rsidRPr="00631CAF" w:rsidSect="00866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4A2E"/>
    <w:multiLevelType w:val="multilevel"/>
    <w:tmpl w:val="F7A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4163E"/>
    <w:multiLevelType w:val="hybridMultilevel"/>
    <w:tmpl w:val="B91CEB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FB4EDD"/>
    <w:multiLevelType w:val="hybridMultilevel"/>
    <w:tmpl w:val="5B2E6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1E2"/>
    <w:rsid w:val="00032692"/>
    <w:rsid w:val="0005227C"/>
    <w:rsid w:val="001E4065"/>
    <w:rsid w:val="002A4D4B"/>
    <w:rsid w:val="003513FD"/>
    <w:rsid w:val="00406EEF"/>
    <w:rsid w:val="005054EA"/>
    <w:rsid w:val="0050677F"/>
    <w:rsid w:val="00631CAF"/>
    <w:rsid w:val="00661775"/>
    <w:rsid w:val="006E7854"/>
    <w:rsid w:val="00725C47"/>
    <w:rsid w:val="0077025D"/>
    <w:rsid w:val="00866175"/>
    <w:rsid w:val="00897DC3"/>
    <w:rsid w:val="008C5495"/>
    <w:rsid w:val="0092471B"/>
    <w:rsid w:val="009739A8"/>
    <w:rsid w:val="00976091"/>
    <w:rsid w:val="009E758E"/>
    <w:rsid w:val="00A3241D"/>
    <w:rsid w:val="00A7583B"/>
    <w:rsid w:val="00A820CD"/>
    <w:rsid w:val="00A909FC"/>
    <w:rsid w:val="00AB7890"/>
    <w:rsid w:val="00AF60E6"/>
    <w:rsid w:val="00C533E7"/>
    <w:rsid w:val="00C867AB"/>
    <w:rsid w:val="00CF4FD6"/>
    <w:rsid w:val="00D371E2"/>
    <w:rsid w:val="00D571C4"/>
    <w:rsid w:val="00EA56F0"/>
    <w:rsid w:val="00EC7A75"/>
    <w:rsid w:val="00EE219D"/>
    <w:rsid w:val="00F06933"/>
    <w:rsid w:val="00F11BF0"/>
    <w:rsid w:val="00F957FE"/>
    <w:rsid w:val="00FE7CBD"/>
    <w:rsid w:val="00F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091"/>
    <w:rPr>
      <w:color w:val="0000FF" w:themeColor="hyperlink"/>
      <w:u w:val="single"/>
    </w:rPr>
  </w:style>
  <w:style w:type="character" w:customStyle="1" w:styleId="lemmavariantref1">
    <w:name w:val="lemmavariantref1"/>
    <w:basedOn w:val="Fuentedeprrafopredeter"/>
    <w:rsid w:val="00976091"/>
    <w:rPr>
      <w:vanish w:val="0"/>
      <w:webHidden w:val="0"/>
      <w:specVanish w:val="0"/>
    </w:rPr>
  </w:style>
  <w:style w:type="character" w:customStyle="1" w:styleId="titencemm-11">
    <w:name w:val="titencemm-11"/>
    <w:basedOn w:val="Fuentedeprrafopredeter"/>
    <w:rsid w:val="00976091"/>
    <w:rPr>
      <w:b/>
      <w:bCs/>
      <w:i w:val="0"/>
      <w:iCs w:val="0"/>
      <w:vanish w:val="0"/>
      <w:webHidden w:val="0"/>
      <w:color w:val="002952"/>
      <w:sz w:val="21"/>
      <w:szCs w:val="21"/>
      <w:specVanish w:val="0"/>
    </w:rPr>
  </w:style>
  <w:style w:type="character" w:customStyle="1" w:styleId="cursiva1">
    <w:name w:val="cursiva1"/>
    <w:basedOn w:val="Fuentedeprrafopredeter"/>
    <w:rsid w:val="00976091"/>
    <w:rPr>
      <w:i/>
      <w:iCs/>
    </w:rPr>
  </w:style>
  <w:style w:type="character" w:customStyle="1" w:styleId="titencemm-21">
    <w:name w:val="titencemm-21"/>
    <w:basedOn w:val="Fuentedeprrafopredeter"/>
    <w:rsid w:val="00976091"/>
    <w:rPr>
      <w:b/>
      <w:bCs/>
      <w:vanish w:val="0"/>
      <w:webHidden w:val="0"/>
      <w:specVanish w:val="0"/>
    </w:rPr>
  </w:style>
  <w:style w:type="character" w:customStyle="1" w:styleId="verde4">
    <w:name w:val="verde4"/>
    <w:basedOn w:val="Fuentedeprrafopredeter"/>
    <w:rsid w:val="00976091"/>
    <w:rPr>
      <w:color w:val="5C7B79"/>
    </w:rPr>
  </w:style>
  <w:style w:type="character" w:customStyle="1" w:styleId="titencemm-31">
    <w:name w:val="titencemm-31"/>
    <w:basedOn w:val="Fuentedeprrafopredeter"/>
    <w:rsid w:val="00976091"/>
    <w:rPr>
      <w:b/>
      <w:bCs/>
      <w:vanish w:val="0"/>
      <w:webHidden w:val="0"/>
      <w:color w:val="5C7B79"/>
      <w:sz w:val="18"/>
      <w:szCs w:val="18"/>
      <w:specVanish w:val="0"/>
    </w:rPr>
  </w:style>
  <w:style w:type="character" w:customStyle="1" w:styleId="sup1">
    <w:name w:val="sup1"/>
    <w:basedOn w:val="Fuentedeprrafopredeter"/>
    <w:rsid w:val="00976091"/>
    <w:rPr>
      <w:sz w:val="14"/>
      <w:szCs w:val="14"/>
      <w:vertAlign w:val="superscript"/>
    </w:rPr>
  </w:style>
  <w:style w:type="paragraph" w:customStyle="1" w:styleId="u">
    <w:name w:val="u"/>
    <w:basedOn w:val="Normal"/>
    <w:rsid w:val="0050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50677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11">
    <w:name w:val="tab1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normal1">
    <w:name w:val="normal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tab21">
    <w:name w:val="tab2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character" w:customStyle="1" w:styleId="negrita6">
    <w:name w:val="negrita6"/>
    <w:basedOn w:val="Fuentedeprrafopredeter"/>
    <w:rsid w:val="0050677F"/>
    <w:rPr>
      <w:b/>
      <w:bCs/>
    </w:rPr>
  </w:style>
  <w:style w:type="paragraph" w:styleId="Prrafodelista">
    <w:name w:val="List Paragraph"/>
    <w:basedOn w:val="Normal"/>
    <w:uiPriority w:val="34"/>
    <w:qFormat/>
    <w:rsid w:val="0050677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091"/>
    <w:rPr>
      <w:color w:val="0000FF" w:themeColor="hyperlink"/>
      <w:u w:val="single"/>
    </w:rPr>
  </w:style>
  <w:style w:type="character" w:customStyle="1" w:styleId="lemmavariantref1">
    <w:name w:val="lemmavariantref1"/>
    <w:basedOn w:val="Fuentedeprrafopredeter"/>
    <w:rsid w:val="00976091"/>
    <w:rPr>
      <w:vanish w:val="0"/>
      <w:webHidden w:val="0"/>
      <w:specVanish w:val="0"/>
    </w:rPr>
  </w:style>
  <w:style w:type="character" w:customStyle="1" w:styleId="titencemm-11">
    <w:name w:val="titencemm-11"/>
    <w:basedOn w:val="Fuentedeprrafopredeter"/>
    <w:rsid w:val="00976091"/>
    <w:rPr>
      <w:b/>
      <w:bCs/>
      <w:i w:val="0"/>
      <w:iCs w:val="0"/>
      <w:vanish w:val="0"/>
      <w:webHidden w:val="0"/>
      <w:color w:val="002952"/>
      <w:sz w:val="21"/>
      <w:szCs w:val="21"/>
      <w:specVanish w:val="0"/>
    </w:rPr>
  </w:style>
  <w:style w:type="character" w:customStyle="1" w:styleId="cursiva1">
    <w:name w:val="cursiva1"/>
    <w:basedOn w:val="Fuentedeprrafopredeter"/>
    <w:rsid w:val="00976091"/>
    <w:rPr>
      <w:i/>
      <w:iCs/>
    </w:rPr>
  </w:style>
  <w:style w:type="character" w:customStyle="1" w:styleId="titencemm-21">
    <w:name w:val="titencemm-21"/>
    <w:basedOn w:val="Fuentedeprrafopredeter"/>
    <w:rsid w:val="00976091"/>
    <w:rPr>
      <w:b/>
      <w:bCs/>
      <w:vanish w:val="0"/>
      <w:webHidden w:val="0"/>
      <w:specVanish w:val="0"/>
    </w:rPr>
  </w:style>
  <w:style w:type="character" w:customStyle="1" w:styleId="verde4">
    <w:name w:val="verde4"/>
    <w:basedOn w:val="Fuentedeprrafopredeter"/>
    <w:rsid w:val="00976091"/>
    <w:rPr>
      <w:color w:val="5C7B79"/>
    </w:rPr>
  </w:style>
  <w:style w:type="character" w:customStyle="1" w:styleId="titencemm-31">
    <w:name w:val="titencemm-31"/>
    <w:basedOn w:val="Fuentedeprrafopredeter"/>
    <w:rsid w:val="00976091"/>
    <w:rPr>
      <w:b/>
      <w:bCs/>
      <w:vanish w:val="0"/>
      <w:webHidden w:val="0"/>
      <w:color w:val="5C7B79"/>
      <w:sz w:val="18"/>
      <w:szCs w:val="18"/>
      <w:specVanish w:val="0"/>
    </w:rPr>
  </w:style>
  <w:style w:type="character" w:customStyle="1" w:styleId="sup1">
    <w:name w:val="sup1"/>
    <w:basedOn w:val="Fuentedeprrafopredeter"/>
    <w:rsid w:val="00976091"/>
    <w:rPr>
      <w:sz w:val="14"/>
      <w:szCs w:val="14"/>
      <w:vertAlign w:val="superscript"/>
    </w:rPr>
  </w:style>
  <w:style w:type="paragraph" w:customStyle="1" w:styleId="u">
    <w:name w:val="u"/>
    <w:basedOn w:val="Normal"/>
    <w:rsid w:val="0050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50677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11">
    <w:name w:val="tab1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normal1">
    <w:name w:val="normal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tab21">
    <w:name w:val="tab2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character" w:customStyle="1" w:styleId="negrita6">
    <w:name w:val="negrita6"/>
    <w:basedOn w:val="Fuentedeprrafopredeter"/>
    <w:rsid w:val="0050677F"/>
    <w:rPr>
      <w:b/>
      <w:bCs/>
    </w:rPr>
  </w:style>
  <w:style w:type="paragraph" w:styleId="Prrafodelista">
    <w:name w:val="List Paragraph"/>
    <w:basedOn w:val="Normal"/>
    <w:uiPriority w:val="34"/>
    <w:qFormat/>
    <w:rsid w:val="0050677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6747">
      <w:bodyDiv w:val="1"/>
      <w:marLeft w:val="1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avid_Alfaro_Siquei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Diego_Rivera_mural_featuring_Emiliano_Zapata.jpg?uselang=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1352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17</cp:revision>
  <dcterms:created xsi:type="dcterms:W3CDTF">2015-04-04T17:02:00Z</dcterms:created>
  <dcterms:modified xsi:type="dcterms:W3CDTF">2015-04-17T13:05:00Z</dcterms:modified>
</cp:coreProperties>
</file>