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5A4D3E88" w:rsidR="00F47B13" w:rsidRPr="00CC0B43" w:rsidRDefault="00CC0B43">
            <w:pPr>
              <w:rPr>
                <w:sz w:val="24"/>
                <w:szCs w:val="24"/>
              </w:rPr>
            </w:pPr>
            <w:r w:rsidRPr="00CC0B43">
              <w:rPr>
                <w:sz w:val="24"/>
                <w:szCs w:val="24"/>
              </w:rPr>
              <w:t>LE_</w:t>
            </w:r>
            <w:r>
              <w:rPr>
                <w:sz w:val="24"/>
                <w:szCs w:val="24"/>
              </w:rPr>
              <w:t>10_01_CO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6064C3CB" w:rsidR="00F47B13" w:rsidRPr="00CC0B43" w:rsidRDefault="00CC0B43">
            <w:pPr>
              <w:rPr>
                <w:sz w:val="24"/>
                <w:szCs w:val="24"/>
              </w:rPr>
            </w:pPr>
            <w:r>
              <w:rPr>
                <w:sz w:val="24"/>
                <w:szCs w:val="24"/>
              </w:rPr>
              <w:t>LE_10_01_REC340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B55E17F" w14:textId="77777777" w:rsidR="00CC0B43" w:rsidRPr="00CC0B43" w:rsidRDefault="00CC0B43" w:rsidP="00CC0B43">
            <w:pPr>
              <w:rPr>
                <w:sz w:val="24"/>
                <w:szCs w:val="24"/>
                <w:lang w:val="es-ES_tradnl"/>
              </w:rPr>
            </w:pPr>
            <w:r w:rsidRPr="00CC0B43">
              <w:rPr>
                <w:sz w:val="24"/>
                <w:szCs w:val="24"/>
                <w:lang w:val="es-ES_tradnl"/>
              </w:rPr>
              <w:t>Asigna el titulo correcto a cada lectura</w:t>
            </w:r>
          </w:p>
          <w:p w14:paraId="25AAEE7F" w14:textId="77777777" w:rsidR="00F47B13" w:rsidRPr="00CC0B43" w:rsidRDefault="00F47B13">
            <w:pPr>
              <w:rPr>
                <w:sz w:val="24"/>
                <w:szCs w:val="24"/>
              </w:rPr>
            </w:pP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2C31782E" w14:textId="77777777" w:rsidR="00CC0B43" w:rsidRPr="00CC0B43" w:rsidRDefault="00CC0B43" w:rsidP="00CC0B43">
            <w:pPr>
              <w:rPr>
                <w:sz w:val="24"/>
                <w:szCs w:val="24"/>
                <w:lang w:val="es-ES_tradnl"/>
              </w:rPr>
            </w:pPr>
            <w:r w:rsidRPr="00CC0B43">
              <w:rPr>
                <w:sz w:val="24"/>
                <w:szCs w:val="24"/>
                <w:lang w:val="es-ES_tradnl"/>
              </w:rPr>
              <w:t>M3B</w:t>
            </w:r>
          </w:p>
          <w:p w14:paraId="1227DD4C" w14:textId="77777777" w:rsidR="00F07EE6" w:rsidRPr="00CC0B43" w:rsidRDefault="00F07EE6">
            <w:pPr>
              <w:rPr>
                <w:sz w:val="24"/>
                <w:szCs w:val="24"/>
              </w:rPr>
            </w:pPr>
          </w:p>
        </w:tc>
      </w:tr>
    </w:tbl>
    <w:p w14:paraId="33AFC249" w14:textId="77777777" w:rsidR="00F47B13" w:rsidRDefault="00F47B13">
      <w:bookmarkStart w:id="0" w:name="_GoBack"/>
      <w:bookmarkEnd w:id="0"/>
    </w:p>
    <w:tbl>
      <w:tblPr>
        <w:tblStyle w:val="Tablaconcuadrcula"/>
        <w:tblW w:w="0" w:type="auto"/>
        <w:tblLook w:val="04A0" w:firstRow="1" w:lastRow="0" w:firstColumn="1" w:lastColumn="0" w:noHBand="0" w:noVBand="1"/>
      </w:tblPr>
      <w:tblGrid>
        <w:gridCol w:w="704"/>
        <w:gridCol w:w="4507"/>
        <w:gridCol w:w="1843"/>
        <w:gridCol w:w="1666"/>
      </w:tblGrid>
      <w:tr w:rsidR="007E659B" w14:paraId="10986EA1" w14:textId="77777777" w:rsidTr="007E659B">
        <w:tc>
          <w:tcPr>
            <w:tcW w:w="5211" w:type="dxa"/>
            <w:gridSpan w:val="2"/>
            <w:shd w:val="clear" w:color="auto" w:fill="000000" w:themeFill="text1"/>
          </w:tcPr>
          <w:p w14:paraId="5FB25F9A" w14:textId="77777777" w:rsidR="007E659B" w:rsidRDefault="007E659B" w:rsidP="005779F6">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590A7368" w14:textId="77777777" w:rsidR="007E659B" w:rsidRPr="00615AFC" w:rsidRDefault="007E659B" w:rsidP="005779F6">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843" w:type="dxa"/>
            <w:shd w:val="clear" w:color="auto" w:fill="000000" w:themeFill="text1"/>
          </w:tcPr>
          <w:p w14:paraId="00FA3C2B" w14:textId="77777777" w:rsidR="007E659B" w:rsidRDefault="007E659B" w:rsidP="007E659B">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1AE2F9DE" w14:textId="77777777" w:rsidR="007E659B" w:rsidRDefault="007E659B" w:rsidP="007E659B">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7E659B" w14:paraId="4EEE0DD8" w14:textId="77777777" w:rsidTr="007E659B">
        <w:tc>
          <w:tcPr>
            <w:tcW w:w="704" w:type="dxa"/>
          </w:tcPr>
          <w:p w14:paraId="42D8BF36" w14:textId="77777777" w:rsidR="007E659B" w:rsidRPr="00F47B13" w:rsidRDefault="007E659B" w:rsidP="005779F6">
            <w:pPr>
              <w:jc w:val="right"/>
              <w:rPr>
                <w:rFonts w:asciiTheme="majorHAnsi" w:hAnsiTheme="majorHAnsi"/>
                <w:b/>
                <w:sz w:val="28"/>
              </w:rPr>
            </w:pPr>
            <w:r>
              <w:rPr>
                <w:rFonts w:asciiTheme="majorHAnsi" w:hAnsiTheme="majorHAnsi"/>
                <w:b/>
                <w:sz w:val="28"/>
              </w:rPr>
              <w:t>1</w:t>
            </w:r>
          </w:p>
        </w:tc>
        <w:tc>
          <w:tcPr>
            <w:tcW w:w="4507" w:type="dxa"/>
          </w:tcPr>
          <w:p w14:paraId="2F282545" w14:textId="77777777" w:rsidR="007E659B" w:rsidRDefault="007E659B" w:rsidP="007E659B">
            <w:r>
              <w:t xml:space="preserve">El lector de hoy, que no puede asimilar </w:t>
            </w:r>
            <w:r>
              <w:rPr>
                <w:i/>
              </w:rPr>
              <w:t>La Celestina</w:t>
            </w:r>
            <w:r>
              <w:t xml:space="preserve"> […] a los patrones de la novela realista, siente que la lengua se escapa demasiado a menudo al verismo que informa en cambio el temple y la conducta de los personajes. Tampoco el lector de ayer era ajeno a esa impresión. El mismo Juan de Valdés sostenía que “ningún libro hay escrito en castellano donde la lengua esté más natural”, pero a la vez le reprochaba el doble pecado de “amontonar … vocablos … fuera de propósito” y de poner “algunos tan latinos, que no se entienden en el castellano”: vale decir, la querencia por la amplificación, por el desbordamiento retórico, y el excesivo apego al cultismo.</w:t>
            </w:r>
          </w:p>
          <w:p w14:paraId="322A8476" w14:textId="77777777" w:rsidR="007E659B" w:rsidRDefault="007E659B" w:rsidP="007E659B"/>
          <w:p w14:paraId="102C5CF7" w14:textId="242865C8" w:rsidR="007E659B" w:rsidRDefault="007E659B" w:rsidP="007E659B">
            <w:r>
              <w:t xml:space="preserve">Francisco Rico. “La realidad y el estilo (el humanismo de “La Celestina”)”. En: Fernando de Rojas (y “antiguo autor”). </w:t>
            </w:r>
            <w:r w:rsidRPr="003B1F29">
              <w:rPr>
                <w:i/>
              </w:rPr>
              <w:t>La Celestina. Tragicomedia de Celestina y Melibea</w:t>
            </w:r>
            <w:r>
              <w:t>. Barcelona: Crítica, 2000.</w:t>
            </w:r>
          </w:p>
        </w:tc>
        <w:tc>
          <w:tcPr>
            <w:tcW w:w="1843" w:type="dxa"/>
          </w:tcPr>
          <w:p w14:paraId="10F71F8A" w14:textId="2CF77CF9" w:rsidR="007E659B" w:rsidRDefault="007E659B" w:rsidP="007E659B">
            <w:pPr>
              <w:jc w:val="center"/>
            </w:pPr>
            <w:r>
              <w:t>NO</w:t>
            </w:r>
          </w:p>
        </w:tc>
        <w:tc>
          <w:tcPr>
            <w:tcW w:w="1666" w:type="dxa"/>
          </w:tcPr>
          <w:p w14:paraId="7381A043" w14:textId="2D822A16" w:rsidR="007E659B" w:rsidRDefault="007E659B" w:rsidP="007E659B">
            <w:pPr>
              <w:jc w:val="center"/>
            </w:pPr>
            <w:r>
              <w:t>NO</w:t>
            </w:r>
          </w:p>
        </w:tc>
      </w:tr>
      <w:tr w:rsidR="007E659B" w14:paraId="3B935286" w14:textId="77777777" w:rsidTr="007E659B">
        <w:tc>
          <w:tcPr>
            <w:tcW w:w="704" w:type="dxa"/>
          </w:tcPr>
          <w:p w14:paraId="1D95F9B4" w14:textId="77777777" w:rsidR="007E659B" w:rsidRPr="00F47B13" w:rsidRDefault="007E659B" w:rsidP="005779F6">
            <w:pPr>
              <w:jc w:val="right"/>
              <w:rPr>
                <w:rFonts w:asciiTheme="majorHAnsi" w:hAnsiTheme="majorHAnsi"/>
                <w:b/>
                <w:sz w:val="28"/>
              </w:rPr>
            </w:pPr>
            <w:r>
              <w:rPr>
                <w:rFonts w:asciiTheme="majorHAnsi" w:hAnsiTheme="majorHAnsi"/>
                <w:b/>
                <w:sz w:val="28"/>
              </w:rPr>
              <w:t>2</w:t>
            </w:r>
          </w:p>
        </w:tc>
        <w:tc>
          <w:tcPr>
            <w:tcW w:w="4507" w:type="dxa"/>
          </w:tcPr>
          <w:p w14:paraId="0055A50C" w14:textId="77777777" w:rsidR="007E659B" w:rsidRDefault="007E659B" w:rsidP="007E659B">
            <w:r>
              <w:t xml:space="preserve">Como toda obra dramática, y a diferencia de la crónica rimada, el </w:t>
            </w:r>
            <w:r w:rsidRPr="00CC0B43">
              <w:rPr>
                <w:i/>
              </w:rPr>
              <w:t xml:space="preserve">Poema de </w:t>
            </w:r>
            <w:proofErr w:type="spellStart"/>
            <w:r w:rsidRPr="00CC0B43">
              <w:rPr>
                <w:i/>
              </w:rPr>
              <w:t>Mio</w:t>
            </w:r>
            <w:proofErr w:type="spellEnd"/>
            <w:r w:rsidRPr="00CC0B43">
              <w:rPr>
                <w:i/>
              </w:rPr>
              <w:t xml:space="preserve"> Cid</w:t>
            </w:r>
            <w:r>
              <w:t xml:space="preserve"> tiene personajes. Estos nos son presentados con cuidado y amor, como creaciones literarias que no tienen que ser de una manera necesaria con sus prototipos en la historia. Este importante aspecto del poema ha recibido muy poca atención en el pasado, tan preocupados </w:t>
            </w:r>
            <w:r>
              <w:lastRenderedPageBreak/>
              <w:t>estaban los críticos por los temas históricos, métricos y filológicos, mientras que otros se han contentado con evidentes generalizaciones.</w:t>
            </w:r>
          </w:p>
          <w:p w14:paraId="70A977F3" w14:textId="77777777" w:rsidR="007E659B" w:rsidRDefault="007E659B" w:rsidP="007E659B"/>
          <w:p w14:paraId="1D9926E4" w14:textId="306BA721" w:rsidR="007E659B" w:rsidRDefault="007E659B" w:rsidP="007E659B">
            <w:proofErr w:type="spellStart"/>
            <w:r>
              <w:t>Colin</w:t>
            </w:r>
            <w:proofErr w:type="spellEnd"/>
            <w:r>
              <w:t xml:space="preserve"> Smith. Introducción. </w:t>
            </w:r>
            <w:r>
              <w:rPr>
                <w:i/>
              </w:rPr>
              <w:t xml:space="preserve">Poema de </w:t>
            </w:r>
            <w:proofErr w:type="spellStart"/>
            <w:r>
              <w:rPr>
                <w:i/>
              </w:rPr>
              <w:t>Mio</w:t>
            </w:r>
            <w:proofErr w:type="spellEnd"/>
            <w:r>
              <w:rPr>
                <w:i/>
              </w:rPr>
              <w:t xml:space="preserve"> Cid</w:t>
            </w:r>
            <w:r>
              <w:t>. México: Cátedra, 1993, segunda reimpresión.</w:t>
            </w:r>
          </w:p>
        </w:tc>
        <w:tc>
          <w:tcPr>
            <w:tcW w:w="1843" w:type="dxa"/>
          </w:tcPr>
          <w:p w14:paraId="1775AAA9" w14:textId="41BC5042" w:rsidR="007E659B" w:rsidRDefault="007E659B" w:rsidP="007E659B">
            <w:pPr>
              <w:jc w:val="center"/>
            </w:pPr>
            <w:r>
              <w:lastRenderedPageBreak/>
              <w:t>NO</w:t>
            </w:r>
          </w:p>
        </w:tc>
        <w:tc>
          <w:tcPr>
            <w:tcW w:w="1666" w:type="dxa"/>
          </w:tcPr>
          <w:p w14:paraId="1820C0DB" w14:textId="705FC86B" w:rsidR="007E659B" w:rsidRDefault="007E659B" w:rsidP="007E659B">
            <w:pPr>
              <w:jc w:val="center"/>
            </w:pPr>
            <w:r>
              <w:t>NO</w:t>
            </w:r>
          </w:p>
        </w:tc>
      </w:tr>
      <w:tr w:rsidR="007E659B" w14:paraId="486A857F" w14:textId="77777777" w:rsidTr="007E659B">
        <w:tc>
          <w:tcPr>
            <w:tcW w:w="704" w:type="dxa"/>
          </w:tcPr>
          <w:p w14:paraId="1DD1A4AA" w14:textId="77777777" w:rsidR="007E659B" w:rsidRPr="00F47B13" w:rsidRDefault="007E659B" w:rsidP="005779F6">
            <w:pPr>
              <w:jc w:val="right"/>
              <w:rPr>
                <w:rFonts w:asciiTheme="majorHAnsi" w:hAnsiTheme="majorHAnsi"/>
                <w:b/>
                <w:sz w:val="28"/>
              </w:rPr>
            </w:pPr>
            <w:r>
              <w:rPr>
                <w:rFonts w:asciiTheme="majorHAnsi" w:hAnsiTheme="majorHAnsi"/>
                <w:b/>
                <w:sz w:val="28"/>
              </w:rPr>
              <w:lastRenderedPageBreak/>
              <w:t>3</w:t>
            </w:r>
          </w:p>
        </w:tc>
        <w:tc>
          <w:tcPr>
            <w:tcW w:w="4507" w:type="dxa"/>
          </w:tcPr>
          <w:p w14:paraId="6BDE6345" w14:textId="77777777" w:rsidR="007E659B" w:rsidRDefault="007E659B" w:rsidP="007E659B">
            <w:r>
              <w:t xml:space="preserve">El siglo XIII presencia el pleno desarrollo de la literatura castellana. Junto a la épica, sobria y vigorosa, que exalta los ideales colectivos, tenemos las primeras muestras de la inspiración lírica individual, que, aunque tan antigua como aquella, no nos deja huella alguna hasta este momento. Además, los juglares ya no son los únicos en atraer la atención del pueblo iletrado; un nuevo arte, seguro de su maestría técnica –el </w:t>
            </w:r>
            <w:r>
              <w:rPr>
                <w:i/>
              </w:rPr>
              <w:t>Mester de clerecía</w:t>
            </w:r>
            <w:r>
              <w:t>–, les disputa el terreno. El teatro presenta desde ahora unos rasgos que habrán de mantenerse a través de toda la Edad Media, y una prosa teñida de orientalismo pone la base de una amplia literatura de carácter didáctico y novelesco.</w:t>
            </w:r>
          </w:p>
          <w:p w14:paraId="4D934786" w14:textId="77777777" w:rsidR="007E659B" w:rsidRDefault="007E659B" w:rsidP="007E659B"/>
          <w:p w14:paraId="0EA6DA43" w14:textId="262BCA74" w:rsidR="007E659B" w:rsidRDefault="007E659B" w:rsidP="007E659B">
            <w:r>
              <w:t xml:space="preserve">José García López. </w:t>
            </w:r>
            <w:r>
              <w:rPr>
                <w:i/>
              </w:rPr>
              <w:t>Historia de la literatura española</w:t>
            </w:r>
            <w:r>
              <w:t xml:space="preserve">. Barcelona: </w:t>
            </w:r>
            <w:proofErr w:type="spellStart"/>
            <w:r>
              <w:t>Vicens</w:t>
            </w:r>
            <w:proofErr w:type="spellEnd"/>
            <w:r>
              <w:t xml:space="preserve"> Vives, 1999.</w:t>
            </w:r>
          </w:p>
        </w:tc>
        <w:tc>
          <w:tcPr>
            <w:tcW w:w="1843" w:type="dxa"/>
          </w:tcPr>
          <w:p w14:paraId="32100146" w14:textId="601C8A60" w:rsidR="007E659B" w:rsidRDefault="007E659B" w:rsidP="007E659B">
            <w:pPr>
              <w:jc w:val="center"/>
            </w:pPr>
            <w:r>
              <w:t>NO</w:t>
            </w:r>
          </w:p>
        </w:tc>
        <w:tc>
          <w:tcPr>
            <w:tcW w:w="1666" w:type="dxa"/>
          </w:tcPr>
          <w:p w14:paraId="2B0DB877" w14:textId="41F5690E" w:rsidR="007E659B" w:rsidRDefault="007E659B" w:rsidP="007E659B">
            <w:pPr>
              <w:jc w:val="center"/>
            </w:pPr>
            <w:r>
              <w:t>NO</w:t>
            </w:r>
          </w:p>
        </w:tc>
      </w:tr>
      <w:tr w:rsidR="007E659B" w14:paraId="13079B82" w14:textId="77777777" w:rsidTr="007E659B">
        <w:tc>
          <w:tcPr>
            <w:tcW w:w="704" w:type="dxa"/>
          </w:tcPr>
          <w:p w14:paraId="399031ED" w14:textId="77777777" w:rsidR="007E659B" w:rsidRPr="00F47B13" w:rsidRDefault="007E659B" w:rsidP="005779F6">
            <w:pPr>
              <w:jc w:val="right"/>
              <w:rPr>
                <w:rFonts w:asciiTheme="majorHAnsi" w:hAnsiTheme="majorHAnsi"/>
                <w:b/>
                <w:sz w:val="28"/>
              </w:rPr>
            </w:pPr>
            <w:r>
              <w:rPr>
                <w:rFonts w:asciiTheme="majorHAnsi" w:hAnsiTheme="majorHAnsi"/>
                <w:b/>
                <w:sz w:val="28"/>
              </w:rPr>
              <w:t>4</w:t>
            </w:r>
          </w:p>
        </w:tc>
        <w:tc>
          <w:tcPr>
            <w:tcW w:w="4507" w:type="dxa"/>
          </w:tcPr>
          <w:p w14:paraId="6BD8344D" w14:textId="77777777" w:rsidR="007E659B" w:rsidRDefault="007E659B" w:rsidP="005779F6"/>
        </w:tc>
        <w:tc>
          <w:tcPr>
            <w:tcW w:w="1843" w:type="dxa"/>
          </w:tcPr>
          <w:p w14:paraId="605B5AB1" w14:textId="77777777" w:rsidR="007E659B" w:rsidRDefault="007E659B" w:rsidP="005779F6"/>
        </w:tc>
        <w:tc>
          <w:tcPr>
            <w:tcW w:w="1666" w:type="dxa"/>
          </w:tcPr>
          <w:p w14:paraId="2BB327B9" w14:textId="77777777" w:rsidR="007E659B" w:rsidRDefault="007E659B" w:rsidP="005779F6"/>
        </w:tc>
      </w:tr>
      <w:tr w:rsidR="007E659B" w14:paraId="031C1A1F" w14:textId="77777777" w:rsidTr="007E659B">
        <w:tc>
          <w:tcPr>
            <w:tcW w:w="704" w:type="dxa"/>
          </w:tcPr>
          <w:p w14:paraId="25E57FA7" w14:textId="77777777" w:rsidR="007E659B" w:rsidRDefault="007E659B" w:rsidP="005779F6">
            <w:pPr>
              <w:jc w:val="right"/>
              <w:rPr>
                <w:rFonts w:asciiTheme="majorHAnsi" w:hAnsiTheme="majorHAnsi"/>
                <w:b/>
                <w:sz w:val="28"/>
              </w:rPr>
            </w:pPr>
            <w:r>
              <w:rPr>
                <w:rFonts w:asciiTheme="majorHAnsi" w:hAnsiTheme="majorHAnsi"/>
                <w:b/>
                <w:sz w:val="28"/>
              </w:rPr>
              <w:t>5</w:t>
            </w:r>
          </w:p>
        </w:tc>
        <w:tc>
          <w:tcPr>
            <w:tcW w:w="4507" w:type="dxa"/>
          </w:tcPr>
          <w:p w14:paraId="705EF0B3" w14:textId="77777777" w:rsidR="007E659B" w:rsidRDefault="007E659B" w:rsidP="005779F6"/>
        </w:tc>
        <w:tc>
          <w:tcPr>
            <w:tcW w:w="1843" w:type="dxa"/>
          </w:tcPr>
          <w:p w14:paraId="0544E45D" w14:textId="77777777" w:rsidR="007E659B" w:rsidRDefault="007E659B" w:rsidP="005779F6"/>
        </w:tc>
        <w:tc>
          <w:tcPr>
            <w:tcW w:w="1666" w:type="dxa"/>
          </w:tcPr>
          <w:p w14:paraId="3EF97577" w14:textId="77777777" w:rsidR="007E659B" w:rsidRDefault="007E659B" w:rsidP="005779F6"/>
        </w:tc>
      </w:tr>
      <w:tr w:rsidR="007E659B" w14:paraId="11641685" w14:textId="77777777" w:rsidTr="007E659B">
        <w:tc>
          <w:tcPr>
            <w:tcW w:w="704" w:type="dxa"/>
          </w:tcPr>
          <w:p w14:paraId="6822BA1A" w14:textId="77777777" w:rsidR="007E659B" w:rsidRDefault="007E659B" w:rsidP="005779F6">
            <w:pPr>
              <w:jc w:val="right"/>
              <w:rPr>
                <w:rFonts w:asciiTheme="majorHAnsi" w:hAnsiTheme="majorHAnsi"/>
                <w:b/>
                <w:sz w:val="28"/>
              </w:rPr>
            </w:pPr>
            <w:r>
              <w:rPr>
                <w:rFonts w:asciiTheme="majorHAnsi" w:hAnsiTheme="majorHAnsi"/>
                <w:b/>
                <w:sz w:val="28"/>
              </w:rPr>
              <w:t>6</w:t>
            </w:r>
          </w:p>
        </w:tc>
        <w:tc>
          <w:tcPr>
            <w:tcW w:w="4507" w:type="dxa"/>
          </w:tcPr>
          <w:p w14:paraId="174A630C" w14:textId="77777777" w:rsidR="007E659B" w:rsidRDefault="007E659B" w:rsidP="005779F6"/>
        </w:tc>
        <w:tc>
          <w:tcPr>
            <w:tcW w:w="1843" w:type="dxa"/>
          </w:tcPr>
          <w:p w14:paraId="1BC6878C" w14:textId="77777777" w:rsidR="007E659B" w:rsidRDefault="007E659B" w:rsidP="005779F6"/>
        </w:tc>
        <w:tc>
          <w:tcPr>
            <w:tcW w:w="1666" w:type="dxa"/>
          </w:tcPr>
          <w:p w14:paraId="2A4AC493" w14:textId="77777777" w:rsidR="007E659B" w:rsidRDefault="007E659B" w:rsidP="005779F6"/>
        </w:tc>
      </w:tr>
      <w:tr w:rsidR="007E659B" w14:paraId="738B98CF" w14:textId="77777777" w:rsidTr="007E659B">
        <w:tc>
          <w:tcPr>
            <w:tcW w:w="704" w:type="dxa"/>
          </w:tcPr>
          <w:p w14:paraId="47C09AFF" w14:textId="77777777" w:rsidR="007E659B" w:rsidRDefault="007E659B" w:rsidP="005779F6">
            <w:pPr>
              <w:jc w:val="right"/>
              <w:rPr>
                <w:rFonts w:asciiTheme="majorHAnsi" w:hAnsiTheme="majorHAnsi"/>
                <w:b/>
                <w:sz w:val="28"/>
              </w:rPr>
            </w:pPr>
            <w:r>
              <w:rPr>
                <w:rFonts w:asciiTheme="majorHAnsi" w:hAnsiTheme="majorHAnsi"/>
                <w:b/>
                <w:sz w:val="28"/>
              </w:rPr>
              <w:t>7</w:t>
            </w:r>
          </w:p>
        </w:tc>
        <w:tc>
          <w:tcPr>
            <w:tcW w:w="4507" w:type="dxa"/>
          </w:tcPr>
          <w:p w14:paraId="430708B2" w14:textId="77777777" w:rsidR="007E659B" w:rsidRDefault="007E659B" w:rsidP="005779F6"/>
        </w:tc>
        <w:tc>
          <w:tcPr>
            <w:tcW w:w="1843" w:type="dxa"/>
          </w:tcPr>
          <w:p w14:paraId="7FE56941" w14:textId="77777777" w:rsidR="007E659B" w:rsidRDefault="007E659B" w:rsidP="005779F6"/>
        </w:tc>
        <w:tc>
          <w:tcPr>
            <w:tcW w:w="1666" w:type="dxa"/>
          </w:tcPr>
          <w:p w14:paraId="1F03E597" w14:textId="77777777" w:rsidR="007E659B" w:rsidRDefault="007E659B" w:rsidP="005779F6"/>
        </w:tc>
      </w:tr>
      <w:tr w:rsidR="007E659B" w14:paraId="0EAB64C8" w14:textId="77777777" w:rsidTr="007E659B">
        <w:tc>
          <w:tcPr>
            <w:tcW w:w="704" w:type="dxa"/>
          </w:tcPr>
          <w:p w14:paraId="4D723DED" w14:textId="77777777" w:rsidR="007E659B" w:rsidRDefault="007E659B" w:rsidP="005779F6">
            <w:pPr>
              <w:jc w:val="right"/>
              <w:rPr>
                <w:rFonts w:asciiTheme="majorHAnsi" w:hAnsiTheme="majorHAnsi"/>
                <w:b/>
                <w:sz w:val="28"/>
              </w:rPr>
            </w:pPr>
            <w:r>
              <w:rPr>
                <w:rFonts w:asciiTheme="majorHAnsi" w:hAnsiTheme="majorHAnsi"/>
                <w:b/>
                <w:sz w:val="28"/>
              </w:rPr>
              <w:t>8</w:t>
            </w:r>
          </w:p>
        </w:tc>
        <w:tc>
          <w:tcPr>
            <w:tcW w:w="4507" w:type="dxa"/>
          </w:tcPr>
          <w:p w14:paraId="32BE8956" w14:textId="77777777" w:rsidR="007E659B" w:rsidRDefault="007E659B" w:rsidP="005779F6"/>
        </w:tc>
        <w:tc>
          <w:tcPr>
            <w:tcW w:w="1843" w:type="dxa"/>
          </w:tcPr>
          <w:p w14:paraId="52A772B8" w14:textId="77777777" w:rsidR="007E659B" w:rsidRDefault="007E659B" w:rsidP="005779F6"/>
        </w:tc>
        <w:tc>
          <w:tcPr>
            <w:tcW w:w="1666" w:type="dxa"/>
          </w:tcPr>
          <w:p w14:paraId="7CE8EBCF" w14:textId="77777777" w:rsidR="007E659B" w:rsidRDefault="007E659B" w:rsidP="005779F6"/>
        </w:tc>
      </w:tr>
      <w:tr w:rsidR="007E659B" w14:paraId="1EC7BAC4" w14:textId="77777777" w:rsidTr="007E659B">
        <w:tc>
          <w:tcPr>
            <w:tcW w:w="704" w:type="dxa"/>
          </w:tcPr>
          <w:p w14:paraId="6045F471" w14:textId="77777777" w:rsidR="007E659B" w:rsidRDefault="007E659B" w:rsidP="005779F6">
            <w:pPr>
              <w:jc w:val="right"/>
              <w:rPr>
                <w:rFonts w:asciiTheme="majorHAnsi" w:hAnsiTheme="majorHAnsi"/>
                <w:b/>
                <w:sz w:val="28"/>
              </w:rPr>
            </w:pPr>
            <w:r>
              <w:rPr>
                <w:rFonts w:asciiTheme="majorHAnsi" w:hAnsiTheme="majorHAnsi"/>
                <w:b/>
                <w:sz w:val="28"/>
              </w:rPr>
              <w:t>9</w:t>
            </w:r>
          </w:p>
        </w:tc>
        <w:tc>
          <w:tcPr>
            <w:tcW w:w="4507" w:type="dxa"/>
          </w:tcPr>
          <w:p w14:paraId="76BF7E32" w14:textId="77777777" w:rsidR="007E659B" w:rsidRDefault="007E659B" w:rsidP="005779F6"/>
        </w:tc>
        <w:tc>
          <w:tcPr>
            <w:tcW w:w="1843" w:type="dxa"/>
          </w:tcPr>
          <w:p w14:paraId="2B593AA1" w14:textId="77777777" w:rsidR="007E659B" w:rsidRDefault="007E659B" w:rsidP="005779F6"/>
        </w:tc>
        <w:tc>
          <w:tcPr>
            <w:tcW w:w="1666" w:type="dxa"/>
          </w:tcPr>
          <w:p w14:paraId="192AECB6" w14:textId="77777777" w:rsidR="007E659B" w:rsidRDefault="007E659B" w:rsidP="005779F6"/>
        </w:tc>
      </w:tr>
      <w:tr w:rsidR="007E659B" w14:paraId="6B078F0C" w14:textId="77777777" w:rsidTr="007E659B">
        <w:tc>
          <w:tcPr>
            <w:tcW w:w="704" w:type="dxa"/>
          </w:tcPr>
          <w:p w14:paraId="6F54B0F7" w14:textId="77777777" w:rsidR="007E659B" w:rsidRDefault="007E659B" w:rsidP="005779F6">
            <w:pPr>
              <w:jc w:val="right"/>
              <w:rPr>
                <w:rFonts w:asciiTheme="majorHAnsi" w:hAnsiTheme="majorHAnsi"/>
                <w:b/>
                <w:sz w:val="28"/>
              </w:rPr>
            </w:pPr>
            <w:r>
              <w:rPr>
                <w:rFonts w:asciiTheme="majorHAnsi" w:hAnsiTheme="majorHAnsi"/>
                <w:b/>
                <w:sz w:val="28"/>
              </w:rPr>
              <w:t>10</w:t>
            </w:r>
          </w:p>
        </w:tc>
        <w:tc>
          <w:tcPr>
            <w:tcW w:w="4507" w:type="dxa"/>
          </w:tcPr>
          <w:p w14:paraId="1F15E3AD" w14:textId="77777777" w:rsidR="007E659B" w:rsidRDefault="007E659B" w:rsidP="005779F6"/>
        </w:tc>
        <w:tc>
          <w:tcPr>
            <w:tcW w:w="1843" w:type="dxa"/>
          </w:tcPr>
          <w:p w14:paraId="25CC25B6" w14:textId="77777777" w:rsidR="007E659B" w:rsidRDefault="007E659B" w:rsidP="005779F6"/>
        </w:tc>
        <w:tc>
          <w:tcPr>
            <w:tcW w:w="1666" w:type="dxa"/>
          </w:tcPr>
          <w:p w14:paraId="23CF83FF" w14:textId="77777777" w:rsidR="007E659B" w:rsidRDefault="007E659B" w:rsidP="005779F6"/>
        </w:tc>
      </w:tr>
    </w:tbl>
    <w:p w14:paraId="4A409425"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13824"/>
    <w:rsid w:val="004A5054"/>
    <w:rsid w:val="007E659B"/>
    <w:rsid w:val="00C45C5A"/>
    <w:rsid w:val="00CC0B43"/>
    <w:rsid w:val="00EE1257"/>
    <w:rsid w:val="00F07EE6"/>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30030">
      <w:bodyDiv w:val="1"/>
      <w:marLeft w:val="0"/>
      <w:marRight w:val="0"/>
      <w:marTop w:val="0"/>
      <w:marBottom w:val="0"/>
      <w:divBdr>
        <w:top w:val="none" w:sz="0" w:space="0" w:color="auto"/>
        <w:left w:val="none" w:sz="0" w:space="0" w:color="auto"/>
        <w:bottom w:val="none" w:sz="0" w:space="0" w:color="auto"/>
        <w:right w:val="none" w:sz="0" w:space="0" w:color="auto"/>
      </w:divBdr>
    </w:div>
    <w:div w:id="815335435">
      <w:bodyDiv w:val="1"/>
      <w:marLeft w:val="0"/>
      <w:marRight w:val="0"/>
      <w:marTop w:val="0"/>
      <w:marBottom w:val="0"/>
      <w:divBdr>
        <w:top w:val="none" w:sz="0" w:space="0" w:color="auto"/>
        <w:left w:val="none" w:sz="0" w:space="0" w:color="auto"/>
        <w:bottom w:val="none" w:sz="0" w:space="0" w:color="auto"/>
        <w:right w:val="none" w:sz="0" w:space="0" w:color="auto"/>
      </w:divBdr>
    </w:div>
    <w:div w:id="829100730">
      <w:bodyDiv w:val="1"/>
      <w:marLeft w:val="0"/>
      <w:marRight w:val="0"/>
      <w:marTop w:val="0"/>
      <w:marBottom w:val="0"/>
      <w:divBdr>
        <w:top w:val="none" w:sz="0" w:space="0" w:color="auto"/>
        <w:left w:val="none" w:sz="0" w:space="0" w:color="auto"/>
        <w:bottom w:val="none" w:sz="0" w:space="0" w:color="auto"/>
        <w:right w:val="none" w:sz="0" w:space="0" w:color="auto"/>
      </w:divBdr>
    </w:div>
    <w:div w:id="1768572759">
      <w:bodyDiv w:val="1"/>
      <w:marLeft w:val="0"/>
      <w:marRight w:val="0"/>
      <w:marTop w:val="0"/>
      <w:marBottom w:val="0"/>
      <w:divBdr>
        <w:top w:val="none" w:sz="0" w:space="0" w:color="auto"/>
        <w:left w:val="none" w:sz="0" w:space="0" w:color="auto"/>
        <w:bottom w:val="none" w:sz="0" w:space="0" w:color="auto"/>
        <w:right w:val="none" w:sz="0" w:space="0" w:color="auto"/>
      </w:divBdr>
    </w:div>
    <w:div w:id="18913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400</Words>
  <Characters>2200</Characters>
  <Application>Microsoft Macintosh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7</cp:revision>
  <dcterms:created xsi:type="dcterms:W3CDTF">2015-08-21T15:20:00Z</dcterms:created>
  <dcterms:modified xsi:type="dcterms:W3CDTF">2015-08-22T04:37:00Z</dcterms:modified>
</cp:coreProperties>
</file>