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A9F" w:rsidRDefault="009B1A9F">
      <w:r>
        <w:t>Recurso 10</w:t>
      </w:r>
    </w:p>
    <w:p w:rsidR="009B1A9F" w:rsidRDefault="009B1A9F">
      <w:r>
        <w:rPr>
          <w:noProof/>
          <w:lang w:eastAsia="es-CO"/>
        </w:rPr>
        <w:drawing>
          <wp:inline distT="0" distB="0" distL="0" distR="0" wp14:anchorId="2E76F3EC" wp14:editId="24787C54">
            <wp:extent cx="4854725" cy="3980237"/>
            <wp:effectExtent l="0" t="0" r="317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4875" cy="39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A9F" w:rsidRDefault="009B1A9F">
      <w:r>
        <w:rPr>
          <w:noProof/>
          <w:lang w:eastAsia="es-CO"/>
        </w:rPr>
        <w:lastRenderedPageBreak/>
        <w:drawing>
          <wp:inline distT="0" distB="0" distL="0" distR="0" wp14:anchorId="6995CE5E" wp14:editId="21F1AD66">
            <wp:extent cx="5612130" cy="41586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D4664A">
      <w:r>
        <w:rPr>
          <w:noProof/>
          <w:lang w:eastAsia="es-CO"/>
        </w:rPr>
        <w:drawing>
          <wp:inline distT="0" distB="0" distL="0" distR="0" wp14:anchorId="6F5AA878" wp14:editId="6279082E">
            <wp:extent cx="5612130" cy="33724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D4664A">
      <w:r>
        <w:rPr>
          <w:noProof/>
          <w:lang w:eastAsia="es-CO"/>
        </w:rPr>
        <w:lastRenderedPageBreak/>
        <w:drawing>
          <wp:inline distT="0" distB="0" distL="0" distR="0" wp14:anchorId="01C7B3C0" wp14:editId="7CFDCB80">
            <wp:extent cx="5612130" cy="36918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D4664A">
      <w:r>
        <w:t>REC20</w:t>
      </w:r>
    </w:p>
    <w:p w:rsidR="00D4664A" w:rsidRDefault="00D4664A">
      <w:r>
        <w:rPr>
          <w:noProof/>
          <w:lang w:eastAsia="es-CO"/>
        </w:rPr>
        <w:drawing>
          <wp:inline distT="0" distB="0" distL="0" distR="0" wp14:anchorId="7C321715" wp14:editId="2B8371A0">
            <wp:extent cx="5612130" cy="33616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>
      <w:r>
        <w:t>REC 70</w:t>
      </w:r>
    </w:p>
    <w:p w:rsidR="00D4664A" w:rsidRDefault="00D4664A"/>
    <w:p w:rsidR="00D4664A" w:rsidRDefault="00D4664A">
      <w:r>
        <w:rPr>
          <w:noProof/>
          <w:lang w:eastAsia="es-CO"/>
        </w:rPr>
        <w:drawing>
          <wp:inline distT="0" distB="0" distL="0" distR="0" wp14:anchorId="69B717F2" wp14:editId="18F23E2D">
            <wp:extent cx="5612130" cy="31572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>
      <w:r>
        <w:t>REC 100</w:t>
      </w:r>
    </w:p>
    <w:p w:rsidR="00D4664A" w:rsidRDefault="00D4664A">
      <w:r>
        <w:rPr>
          <w:noProof/>
          <w:lang w:eastAsia="es-CO"/>
        </w:rPr>
        <w:drawing>
          <wp:inline distT="0" distB="0" distL="0" distR="0" wp14:anchorId="67F843D3" wp14:editId="71BCA754">
            <wp:extent cx="5612130" cy="33045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D4664A">
      <w:r>
        <w:t>REC110</w:t>
      </w:r>
    </w:p>
    <w:p w:rsidR="00D4664A" w:rsidRDefault="00D4664A">
      <w:r>
        <w:rPr>
          <w:noProof/>
          <w:lang w:eastAsia="es-CO"/>
        </w:rPr>
        <w:lastRenderedPageBreak/>
        <w:drawing>
          <wp:inline distT="0" distB="0" distL="0" distR="0" wp14:anchorId="643D73BC" wp14:editId="73EC838D">
            <wp:extent cx="5612130" cy="30410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>
      <w:r>
        <w:t>REC 130</w:t>
      </w:r>
    </w:p>
    <w:p w:rsidR="00D4664A" w:rsidRDefault="00D4664A">
      <w:r>
        <w:rPr>
          <w:noProof/>
          <w:lang w:eastAsia="es-CO"/>
        </w:rPr>
        <w:drawing>
          <wp:inline distT="0" distB="0" distL="0" distR="0" wp14:anchorId="7A2756A7" wp14:editId="42FF93C8">
            <wp:extent cx="5612130" cy="32219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D4664A">
      <w:r>
        <w:t>REC160</w:t>
      </w:r>
    </w:p>
    <w:p w:rsidR="00D4664A" w:rsidRDefault="00D4664A"/>
    <w:p w:rsidR="00D4664A" w:rsidRDefault="00D4664A">
      <w:r>
        <w:rPr>
          <w:noProof/>
          <w:lang w:eastAsia="es-CO"/>
        </w:rPr>
        <w:lastRenderedPageBreak/>
        <w:drawing>
          <wp:inline distT="0" distB="0" distL="0" distR="0" wp14:anchorId="18C5E9C6" wp14:editId="70B44027">
            <wp:extent cx="5612130" cy="31451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>
      <w:r>
        <w:t>REC200</w:t>
      </w:r>
    </w:p>
    <w:p w:rsidR="00D4664A" w:rsidRDefault="00D4664A">
      <w:r>
        <w:rPr>
          <w:noProof/>
          <w:lang w:eastAsia="es-CO"/>
        </w:rPr>
        <w:drawing>
          <wp:inline distT="0" distB="0" distL="0" distR="0" wp14:anchorId="668307F9" wp14:editId="0737A20D">
            <wp:extent cx="5612130" cy="32219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D4664A">
      <w:r>
        <w:t>REC230</w:t>
      </w:r>
    </w:p>
    <w:p w:rsidR="00D4664A" w:rsidRDefault="00D4664A"/>
    <w:p w:rsidR="00D4664A" w:rsidRDefault="00D4664A">
      <w:r>
        <w:rPr>
          <w:noProof/>
          <w:lang w:eastAsia="es-CO"/>
        </w:rPr>
        <w:lastRenderedPageBreak/>
        <w:drawing>
          <wp:inline distT="0" distB="0" distL="0" distR="0" wp14:anchorId="240A3AFA" wp14:editId="7CCCABF5">
            <wp:extent cx="5612130" cy="30981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D4664A">
      <w:r>
        <w:rPr>
          <w:noProof/>
          <w:lang w:eastAsia="es-CO"/>
        </w:rPr>
        <w:drawing>
          <wp:inline distT="0" distB="0" distL="0" distR="0" wp14:anchorId="34482C4E" wp14:editId="2D882144">
            <wp:extent cx="5612130" cy="32232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>
      <w:r>
        <w:t>REC240</w:t>
      </w:r>
    </w:p>
    <w:p w:rsidR="00D4664A" w:rsidRDefault="00D4664A">
      <w:r>
        <w:rPr>
          <w:noProof/>
          <w:lang w:eastAsia="es-CO"/>
        </w:rPr>
        <w:lastRenderedPageBreak/>
        <w:drawing>
          <wp:inline distT="0" distB="0" distL="0" distR="0" wp14:anchorId="413D048F" wp14:editId="1F7156F4">
            <wp:extent cx="5612130" cy="32245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A" w:rsidRDefault="00D4664A"/>
    <w:p w:rsidR="00D4664A" w:rsidRDefault="0020551E">
      <w:r>
        <w:t>Guía didáctica</w:t>
      </w:r>
    </w:p>
    <w:p w:rsidR="0020551E" w:rsidRDefault="0020551E">
      <w:r>
        <w:rPr>
          <w:noProof/>
          <w:lang w:eastAsia="es-CO"/>
        </w:rPr>
        <w:drawing>
          <wp:inline distT="0" distB="0" distL="0" distR="0" wp14:anchorId="04338F43" wp14:editId="290062AC">
            <wp:extent cx="5612130" cy="28409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1E" w:rsidRDefault="0020551E"/>
    <w:p w:rsidR="0020551E" w:rsidRDefault="0020551E">
      <w:r>
        <w:rPr>
          <w:noProof/>
          <w:lang w:eastAsia="es-CO"/>
        </w:rPr>
        <w:lastRenderedPageBreak/>
        <w:drawing>
          <wp:inline distT="0" distB="0" distL="0" distR="0" wp14:anchorId="7DF1613F" wp14:editId="3E5295B6">
            <wp:extent cx="5612130" cy="30530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163976" w:rsidRDefault="00163976"/>
    <w:p w:rsidR="0020551E" w:rsidRDefault="0020551E">
      <w:r>
        <w:lastRenderedPageBreak/>
        <w:t>CUADERNO DE ESTUDIO</w:t>
      </w:r>
    </w:p>
    <w:p w:rsidR="002A30C6" w:rsidRDefault="002A30C6">
      <w:r w:rsidRPr="002A30C6">
        <w:drawing>
          <wp:inline distT="0" distB="0" distL="0" distR="0" wp14:anchorId="5DAD71B4" wp14:editId="5DE74698">
            <wp:extent cx="5247564" cy="2951532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123" cy="29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1E" w:rsidRDefault="00163976">
      <w:r>
        <w:rPr>
          <w:noProof/>
          <w:lang w:eastAsia="es-CO"/>
        </w:rPr>
        <w:drawing>
          <wp:inline distT="0" distB="0" distL="0" distR="0" wp14:anchorId="4DD974E5" wp14:editId="67FE7353">
            <wp:extent cx="5131558" cy="458519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038" cy="458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51E" w:rsidRDefault="0020551E"/>
    <w:p w:rsidR="00163976" w:rsidRDefault="00163976"/>
    <w:p w:rsidR="00163976" w:rsidRDefault="00163976">
      <w:r>
        <w:rPr>
          <w:noProof/>
          <w:lang w:eastAsia="es-CO"/>
        </w:rPr>
        <w:drawing>
          <wp:inline distT="0" distB="0" distL="0" distR="0" wp14:anchorId="17C9D009" wp14:editId="1D36359E">
            <wp:extent cx="5612130" cy="53492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76" w:rsidRPr="00163976" w:rsidRDefault="00163976">
      <w:pPr>
        <w:rPr>
          <w:color w:val="FF0000"/>
        </w:rPr>
      </w:pPr>
      <w:r w:rsidRPr="00163976">
        <w:rPr>
          <w:color w:val="FF0000"/>
        </w:rPr>
        <w:t>Estas operaciones se aplican en la resolución de muchas situaciones. Por ejemplo: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 xml:space="preserve">Un frasco </w:t>
      </w:r>
      <w:r w:rsidRPr="00163976">
        <w:rPr>
          <w:rFonts w:ascii="AGaramondPro-Semibold" w:hAnsi="AGaramondPro-Semibold" w:cs="AGaramondPro-Semibold"/>
          <w:color w:val="FF0000"/>
        </w:rPr>
        <w:t xml:space="preserve">de mermelada </w:t>
      </w:r>
      <w:r w:rsidRPr="00163976">
        <w:rPr>
          <w:rFonts w:ascii="AGaramondPro-Semibold" w:hAnsi="AGaramondPro-Semibold" w:cs="AGaramondPro-Semibold"/>
          <w:color w:val="FF0000"/>
        </w:rPr>
        <w:t xml:space="preserve">contiene </w:t>
      </w:r>
      <w:r w:rsidRPr="00163976">
        <w:rPr>
          <w:rFonts w:ascii="AGaramondPro-Semibold" w:hAnsi="AGaramondPro-Semibold" w:cs="AGaramondPro-Semibold"/>
          <w:color w:val="FF0000"/>
        </w:rPr>
        <w:t>78/15 g</w:t>
      </w:r>
      <w:r w:rsidRPr="00163976">
        <w:rPr>
          <w:rFonts w:ascii="AGaramondPro-Semibold" w:hAnsi="AGaramondPro-Semibold" w:cs="AGaramondPro-Semibold"/>
          <w:color w:val="FF0000"/>
        </w:rPr>
        <w:t>. Si</w:t>
      </w:r>
      <w:r w:rsidRPr="00163976">
        <w:rPr>
          <w:rFonts w:ascii="AGaramondPro-Semibold" w:hAnsi="AGaramondPro-Semibold" w:cs="AGaramondPro-Semibold"/>
          <w:color w:val="FF0000"/>
        </w:rPr>
        <w:t xml:space="preserve"> </w:t>
      </w:r>
      <w:r w:rsidRPr="00163976">
        <w:rPr>
          <w:rFonts w:ascii="AGaramondPro-Semibold" w:hAnsi="AGaramondPro-Semibold" w:cs="AGaramondPro-Semibold"/>
          <w:color w:val="FF0000"/>
        </w:rPr>
        <w:t>se usaron 1</w:t>
      </w:r>
      <w:r w:rsidRPr="00163976">
        <w:rPr>
          <w:rFonts w:ascii="AGaramondPro-Semibold" w:hAnsi="AGaramondPro-Semibold" w:cs="AGaramondPro-Semibold"/>
          <w:color w:val="FF0000"/>
        </w:rPr>
        <w:t xml:space="preserve">6/9 </w:t>
      </w:r>
      <w:r w:rsidRPr="00163976">
        <w:rPr>
          <w:rFonts w:ascii="AGaramondPro-Semibold" w:hAnsi="AGaramondPro-Semibold" w:cs="AGaramondPro-Semibold"/>
          <w:color w:val="FF0000"/>
        </w:rPr>
        <w:t xml:space="preserve">g para </w:t>
      </w:r>
      <w:r w:rsidRPr="00163976">
        <w:rPr>
          <w:rFonts w:ascii="AGaramondPro-Semibold" w:hAnsi="AGaramondPro-Semibold" w:cs="AGaramondPro-Semibold"/>
          <w:color w:val="FF0000"/>
        </w:rPr>
        <w:t>preparar unas galletas</w:t>
      </w:r>
      <w:r w:rsidRPr="00163976">
        <w:rPr>
          <w:rFonts w:ascii="AGaramondPro-Semibold" w:hAnsi="AGaramondPro-Semibold" w:cs="AGaramondPro-Semibold"/>
          <w:color w:val="FF0000"/>
        </w:rPr>
        <w:t>, ¿cuán</w:t>
      </w:r>
      <w:r w:rsidRPr="00163976">
        <w:rPr>
          <w:rFonts w:ascii="AGaramondPro-Semibold" w:hAnsi="AGaramondPro-Semibold" w:cs="AGaramondPro-Semibold"/>
          <w:color w:val="FF0000"/>
        </w:rPr>
        <w:t>tos gramos de</w:t>
      </w:r>
      <w:r w:rsidRPr="00163976">
        <w:rPr>
          <w:rFonts w:ascii="AGaramondPro-Semibold" w:hAnsi="AGaramondPro-Semibold" w:cs="AGaramondPro-Semibold"/>
          <w:color w:val="FF0000"/>
        </w:rPr>
        <w:t xml:space="preserve"> </w:t>
      </w:r>
      <w:r w:rsidRPr="00163976">
        <w:rPr>
          <w:rFonts w:ascii="AGaramondPro-Semibold" w:hAnsi="AGaramondPro-Semibold" w:cs="AGaramondPro-Semibold"/>
          <w:color w:val="FF0000"/>
        </w:rPr>
        <w:t xml:space="preserve">mermelada </w:t>
      </w:r>
      <w:r w:rsidRPr="00163976">
        <w:rPr>
          <w:rFonts w:ascii="AGaramondPro-Semibold" w:hAnsi="AGaramondPro-Semibold" w:cs="AGaramondPro-Semibold"/>
          <w:color w:val="FF0000"/>
        </w:rPr>
        <w:t>qued</w:t>
      </w:r>
      <w:r w:rsidRPr="00163976">
        <w:rPr>
          <w:rFonts w:ascii="AGaramondPro-Semibold" w:hAnsi="AGaramondPro-Semibold" w:cs="AGaramondPro-Semibold"/>
          <w:color w:val="FF0000"/>
        </w:rPr>
        <w:t>aron</w:t>
      </w:r>
      <w:r w:rsidRPr="00163976">
        <w:rPr>
          <w:rFonts w:ascii="AGaramondPro-Semibold" w:hAnsi="AGaramondPro-Semibold" w:cs="AGaramondPro-Semibold"/>
          <w:color w:val="FF0000"/>
        </w:rPr>
        <w:t xml:space="preserve"> en el frasco?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Para resolver esta situación se realiza una sustracción: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MA_06_30.GIF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 xml:space="preserve">Como son fracciones con distinto denominador entonces primero se debe conocer el </w:t>
      </w:r>
      <w:proofErr w:type="spellStart"/>
      <w:r w:rsidRPr="00163976">
        <w:rPr>
          <w:rFonts w:ascii="AGaramondPro-Semibold" w:hAnsi="AGaramondPro-Semibold" w:cs="AGaramondPro-Semibold"/>
          <w:color w:val="FF0000"/>
        </w:rPr>
        <w:t>m.c.m</w:t>
      </w:r>
      <w:proofErr w:type="spellEnd"/>
      <w:r w:rsidRPr="00163976">
        <w:rPr>
          <w:rFonts w:ascii="AGaramondPro-Semibold" w:hAnsi="AGaramondPro-Semibold" w:cs="AGaramondPro-Semibold"/>
          <w:color w:val="FF0000"/>
        </w:rPr>
        <w:t xml:space="preserve">. entre ellos. El </w:t>
      </w:r>
      <w:proofErr w:type="spellStart"/>
      <w:r w:rsidRPr="00163976">
        <w:rPr>
          <w:rFonts w:ascii="AGaramondPro-Semibold" w:hAnsi="AGaramondPro-Semibold" w:cs="AGaramondPro-Semibold"/>
          <w:color w:val="FF0000"/>
        </w:rPr>
        <w:t>m.c.m</w:t>
      </w:r>
      <w:proofErr w:type="spellEnd"/>
      <w:r w:rsidRPr="00163976">
        <w:rPr>
          <w:rFonts w:ascii="AGaramondPro-Semibold" w:hAnsi="AGaramondPro-Semibold" w:cs="AGaramondPro-Semibold"/>
          <w:color w:val="FF0000"/>
        </w:rPr>
        <w:t>. (15 y 9) = 45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Ahora se amplifica cada fracción para que el denominador sea el mínimo común múltiplo.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MA_06_3</w:t>
      </w:r>
      <w:r w:rsidRPr="00163976">
        <w:rPr>
          <w:rFonts w:ascii="AGaramondPro-Semibold" w:hAnsi="AGaramondPro-Semibold" w:cs="AGaramondPro-Semibold"/>
          <w:color w:val="FF0000"/>
        </w:rPr>
        <w:t>1</w:t>
      </w:r>
      <w:r w:rsidRPr="00163976">
        <w:rPr>
          <w:rFonts w:ascii="AGaramondPro-Semibold" w:hAnsi="AGaramondPro-Semibold" w:cs="AGaramondPro-Semibold"/>
          <w:color w:val="FF0000"/>
        </w:rPr>
        <w:t>.GIF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MA_06_32.GIF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lastRenderedPageBreak/>
        <w:t>Ahora si se realiza la operación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MA_06_3</w:t>
      </w:r>
      <w:r w:rsidRPr="00163976">
        <w:rPr>
          <w:rFonts w:ascii="AGaramondPro-Semibold" w:hAnsi="AGaramondPro-Semibold" w:cs="AGaramondPro-Semibold"/>
          <w:color w:val="FF0000"/>
        </w:rPr>
        <w:t>3</w:t>
      </w:r>
      <w:r w:rsidRPr="00163976">
        <w:rPr>
          <w:rFonts w:ascii="AGaramondPro-Semibold" w:hAnsi="AGaramondPro-Semibold" w:cs="AGaramondPro-Semibold"/>
          <w:color w:val="FF0000"/>
        </w:rPr>
        <w:t>.GIF</w:t>
      </w: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La fracción obtenida no se puede simplificar y corresponde a la cantidad de gramos que quedan en el frasco.</w:t>
      </w:r>
    </w:p>
    <w:p w:rsidR="002A30C6" w:rsidRDefault="002A30C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>
        <w:rPr>
          <w:noProof/>
          <w:lang w:eastAsia="es-CO"/>
        </w:rPr>
        <w:drawing>
          <wp:inline distT="0" distB="0" distL="0" distR="0" wp14:anchorId="336A1F8C" wp14:editId="410CC540">
            <wp:extent cx="5612130" cy="518604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-60458</wp:posOffset>
                </wp:positionV>
                <wp:extent cx="5315310" cy="286253"/>
                <wp:effectExtent l="0" t="0" r="19050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310" cy="286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3976" w:rsidRDefault="001639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26" type="#_x0000_t202" style="position:absolute;margin-left:0;margin-top:-4.75pt;width:418.55pt;height:22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" fillcolor="white [3201]" strokeweight=".5pt">
                <v:textbox>
                  <w:txbxContent>
                    <w:p w:rsidR="00163976" w:rsidRDefault="00163976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3217F01" wp14:editId="55D07EB6">
            <wp:extent cx="5329451" cy="5657491"/>
            <wp:effectExtent l="0" t="0" r="508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0415" cy="56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>
        <w:rPr>
          <w:noProof/>
          <w:lang w:eastAsia="es-CO"/>
        </w:rPr>
        <w:lastRenderedPageBreak/>
        <w:drawing>
          <wp:inline distT="0" distB="0" distL="0" distR="0" wp14:anchorId="2FF75ABA" wp14:editId="6855D55E">
            <wp:extent cx="5612130" cy="504444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  <w:color w:val="FF0000"/>
        </w:rPr>
      </w:pPr>
      <w:r w:rsidRPr="00163976">
        <w:rPr>
          <w:rFonts w:ascii="AGaramondPro-Semibold" w:hAnsi="AGaramondPro-Semibold" w:cs="AGaramondPro-Semibold"/>
          <w:color w:val="FF0000"/>
        </w:rPr>
        <w:t>La multiplicación de fracciones también se aplica en la resolución de problemas. Veamos un ejemplo.</w:t>
      </w: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 xml:space="preserve">La altura de un rectángulo es de </w:t>
      </w:r>
      <w:r w:rsidRPr="00163976">
        <w:rPr>
          <w:rFonts w:ascii="AGaramondPro-Regular" w:hAnsi="AGaramondPro-Regular" w:cs="AGaramondPro-Regular"/>
          <w:color w:val="FF0000"/>
        </w:rPr>
        <w:t>15</w:t>
      </w:r>
      <w:r w:rsidRPr="00163976">
        <w:rPr>
          <w:rFonts w:ascii="AGaramondPro-Regular" w:hAnsi="AGaramondPro-Regular" w:cs="AGaramondPro-Regular"/>
          <w:color w:val="FF0000"/>
        </w:rPr>
        <w:t xml:space="preserve"> cm. Si la base</w:t>
      </w:r>
      <w:r w:rsidRPr="00163976">
        <w:rPr>
          <w:rFonts w:ascii="AGaramondPro-Regular" w:hAnsi="AGaramondPro-Regular" w:cs="AGaramondPro-Regular"/>
          <w:color w:val="FF0000"/>
        </w:rPr>
        <w:t xml:space="preserve"> </w:t>
      </w:r>
      <w:r w:rsidRPr="00163976">
        <w:rPr>
          <w:rFonts w:ascii="AGaramondPro-Regular" w:hAnsi="AGaramondPro-Regular" w:cs="AGaramondPro-Regular"/>
          <w:color w:val="FF0000"/>
        </w:rPr>
        <w:t xml:space="preserve">mide </w:t>
      </w:r>
      <w:r w:rsidRPr="00163976">
        <w:rPr>
          <w:rFonts w:ascii="AGaramondPro-Regular" w:hAnsi="AGaramondPro-Regular" w:cs="AGaramondPro-Regular"/>
          <w:color w:val="FF0000"/>
        </w:rPr>
        <w:t>tres</w:t>
      </w:r>
      <w:r w:rsidRPr="00163976">
        <w:rPr>
          <w:rFonts w:ascii="AGaramondPro-Regular" w:hAnsi="AGaramondPro-Regular" w:cs="AGaramondPro-Regular"/>
          <w:color w:val="FF0000"/>
        </w:rPr>
        <w:t xml:space="preserve"> </w:t>
      </w:r>
      <w:r w:rsidRPr="00163976">
        <w:rPr>
          <w:rFonts w:ascii="AGaramondPro-Regular" w:hAnsi="AGaramondPro-Regular" w:cs="AGaramondPro-Regular"/>
          <w:color w:val="FF0000"/>
        </w:rPr>
        <w:t>quintos</w:t>
      </w:r>
      <w:r w:rsidRPr="00163976">
        <w:rPr>
          <w:rFonts w:ascii="AGaramondPro-Regular" w:hAnsi="AGaramondPro-Regular" w:cs="AGaramondPro-Regular"/>
          <w:color w:val="FF0000"/>
        </w:rPr>
        <w:t xml:space="preserve"> de la medida de la altura, ¿cuál</w:t>
      </w:r>
      <w:r w:rsidRPr="00163976">
        <w:rPr>
          <w:rFonts w:ascii="AGaramondPro-Regular" w:hAnsi="AGaramondPro-Regular" w:cs="AGaramondPro-Regular"/>
          <w:color w:val="FF0000"/>
        </w:rPr>
        <w:t xml:space="preserve"> </w:t>
      </w:r>
      <w:r w:rsidRPr="00163976">
        <w:rPr>
          <w:rFonts w:ascii="AGaramondPro-Regular" w:hAnsi="AGaramondPro-Regular" w:cs="AGaramondPro-Regular"/>
          <w:color w:val="FF0000"/>
        </w:rPr>
        <w:t>es el área y el perímetro del rectángulo?</w:t>
      </w:r>
    </w:p>
    <w:p w:rsidR="00F74013" w:rsidRPr="00163976" w:rsidRDefault="00F74013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>El área de un rectángulo es base x altura.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>Se sabe que la altura es 15 cm y que su base corresponde a tres quintos de ese valor, entonces la base es igual a</w:t>
      </w:r>
    </w:p>
    <w:p w:rsidR="00F74013" w:rsidRDefault="00F74013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>MA_06_06_039.gif</w:t>
      </w:r>
    </w:p>
    <w:p w:rsidR="00F74013" w:rsidRDefault="00F74013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>Por tanto, el área corresponde a:</w:t>
      </w:r>
    </w:p>
    <w:p w:rsidR="00F74013" w:rsidRDefault="00F74013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>M</w:t>
      </w:r>
      <w:r w:rsidRPr="00163976">
        <w:rPr>
          <w:rFonts w:ascii="AGaramondPro-Regular" w:hAnsi="AGaramondPro-Regular" w:cs="AGaramondPro-Regular"/>
          <w:color w:val="FF0000"/>
        </w:rPr>
        <w:t>A</w:t>
      </w:r>
      <w:r w:rsidRPr="00163976">
        <w:rPr>
          <w:rFonts w:ascii="AGaramondPro-Regular" w:hAnsi="AGaramondPro-Regular" w:cs="AGaramondPro-Regular"/>
          <w:color w:val="FF0000"/>
        </w:rPr>
        <w:t>_06_06_0</w:t>
      </w:r>
      <w:r w:rsidR="00F74013">
        <w:rPr>
          <w:rFonts w:ascii="AGaramondPro-Regular" w:hAnsi="AGaramondPro-Regular" w:cs="AGaramondPro-Regular"/>
          <w:color w:val="FF0000"/>
        </w:rPr>
        <w:t>40</w:t>
      </w:r>
      <w:r w:rsidRPr="00163976">
        <w:rPr>
          <w:rFonts w:ascii="AGaramondPro-Regular" w:hAnsi="AGaramondPro-Regular" w:cs="AGaramondPro-Regular"/>
          <w:color w:val="FF0000"/>
        </w:rPr>
        <w:t>.gif</w:t>
      </w:r>
    </w:p>
    <w:p w:rsidR="00163976" w:rsidRP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</w:p>
    <w:p w:rsidR="00F74013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 xml:space="preserve">Ahora bien, su perímetro equivale a 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</w:p>
    <w:p w:rsidR="00F74013" w:rsidRPr="00163976" w:rsidRDefault="00F74013" w:rsidP="00F74013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  <w:color w:val="FF0000"/>
        </w:rPr>
      </w:pPr>
      <w:r w:rsidRPr="00163976">
        <w:rPr>
          <w:rFonts w:ascii="AGaramondPro-Regular" w:hAnsi="AGaramondPro-Regular" w:cs="AGaramondPro-Regular"/>
          <w:color w:val="FF0000"/>
        </w:rPr>
        <w:t>MA_06_06_0</w:t>
      </w:r>
      <w:r>
        <w:rPr>
          <w:rFonts w:ascii="AGaramondPro-Regular" w:hAnsi="AGaramondPro-Regular" w:cs="AGaramondPro-Regular"/>
          <w:color w:val="FF0000"/>
        </w:rPr>
        <w:t>4</w:t>
      </w:r>
      <w:r>
        <w:rPr>
          <w:rFonts w:ascii="AGaramondPro-Regular" w:hAnsi="AGaramondPro-Regular" w:cs="AGaramondPro-Regular"/>
          <w:color w:val="FF0000"/>
        </w:rPr>
        <w:t>1</w:t>
      </w:r>
      <w:r w:rsidRPr="00163976">
        <w:rPr>
          <w:rFonts w:ascii="AGaramondPro-Regular" w:hAnsi="AGaramondPro-Regular" w:cs="AGaramondPro-Regular"/>
          <w:color w:val="FF0000"/>
        </w:rPr>
        <w:t>.gif</w:t>
      </w: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</w:rPr>
      </w:pPr>
      <w:r>
        <w:rPr>
          <w:noProof/>
          <w:lang w:eastAsia="es-CO"/>
        </w:rPr>
        <w:lastRenderedPageBreak/>
        <w:drawing>
          <wp:inline distT="0" distB="0" distL="0" distR="0" wp14:anchorId="726CBFEA" wp14:editId="213C13FC">
            <wp:extent cx="5612130" cy="578866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</w:rPr>
      </w:pPr>
    </w:p>
    <w:p w:rsidR="00F74013" w:rsidRDefault="00F74013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</w:rPr>
      </w:pPr>
    </w:p>
    <w:p w:rsidR="00F74013" w:rsidRDefault="00F74013" w:rsidP="00163976">
      <w:pPr>
        <w:autoSpaceDE w:val="0"/>
        <w:autoSpaceDN w:val="0"/>
        <w:adjustRightInd w:val="0"/>
        <w:spacing w:after="0" w:line="240" w:lineRule="auto"/>
        <w:rPr>
          <w:rFonts w:ascii="AGaramondPro-Regular" w:hAnsi="AGaramondPro-Regular" w:cs="AGaramondPro-Regular"/>
        </w:rPr>
      </w:pPr>
    </w:p>
    <w:p w:rsidR="00163976" w:rsidRDefault="00163976" w:rsidP="00163976">
      <w:pPr>
        <w:autoSpaceDE w:val="0"/>
        <w:autoSpaceDN w:val="0"/>
        <w:adjustRightInd w:val="0"/>
        <w:spacing w:after="0" w:line="240" w:lineRule="auto"/>
        <w:rPr>
          <w:rFonts w:ascii="AGaramondPro-Semibold" w:hAnsi="AGaramondPro-Semibold" w:cs="AGaramondPro-Semibold"/>
        </w:rPr>
      </w:pPr>
    </w:p>
    <w:p w:rsidR="0020551E" w:rsidRDefault="00F74013">
      <w:r>
        <w:rPr>
          <w:noProof/>
          <w:lang w:eastAsia="es-CO"/>
        </w:rPr>
        <w:lastRenderedPageBreak/>
        <w:drawing>
          <wp:inline distT="0" distB="0" distL="0" distR="0" wp14:anchorId="0B24179F" wp14:editId="06464230">
            <wp:extent cx="5612130" cy="560641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13" w:rsidRPr="00F74013" w:rsidRDefault="00F74013">
      <w:r w:rsidRPr="00F74013">
        <w:t>A continuación se presenta una situación que requiere la división de fracciones para su resolución.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 w:rsidRPr="00F74013">
        <w:t xml:space="preserve">Mariana tiene en su fábrica de perfumes un contenedor con 31 litros de perfume de fragancia oriental. </w:t>
      </w:r>
      <w:r w:rsidRPr="00F74013">
        <w:rPr>
          <w:rFonts w:cs="AGaramondPro-Regular"/>
        </w:rPr>
        <w:t>Para la distribución, lo envase en frascos completos con capacidad de 2 ½ litros</w:t>
      </w:r>
      <w:r>
        <w:rPr>
          <w:rFonts w:cs="AGaramondPro-Regular"/>
        </w:rPr>
        <w:t xml:space="preserve">. </w:t>
      </w:r>
      <w:r w:rsidRPr="00F74013">
        <w:rPr>
          <w:rFonts w:cs="AGaramondPro-Regular"/>
        </w:rPr>
        <w:t>¿Cuántos frascos completos se pueden llenar?</w:t>
      </w:r>
      <w:r w:rsidRPr="00F74013">
        <w:rPr>
          <w:rFonts w:cs="AGaramondPro-Regular"/>
        </w:rPr>
        <w:t xml:space="preserve"> 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 xml:space="preserve">Claramente se deduce que se debe realizar una división de la cantidad total de litros de perfume entre la capacidad de los frascos en los cuales envasa el perfume. 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 xml:space="preserve">Entonces: 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>MA_06_06_04</w:t>
      </w:r>
      <w:r w:rsidR="002A30C6">
        <w:rPr>
          <w:rFonts w:cs="AGaramondPro-Regular"/>
        </w:rPr>
        <w:t>6</w:t>
      </w:r>
      <w:r>
        <w:rPr>
          <w:rFonts w:cs="AGaramondPro-Regular"/>
        </w:rPr>
        <w:t>.GIF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>Al expresar el resultado como un número mixto se obtiene: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>MA_06_06_04</w:t>
      </w:r>
      <w:r w:rsidR="002A30C6">
        <w:rPr>
          <w:rFonts w:cs="AGaramondPro-Regular"/>
        </w:rPr>
        <w:t>7</w:t>
      </w:r>
      <w:r>
        <w:rPr>
          <w:rFonts w:cs="AGaramondPro-Regular"/>
        </w:rPr>
        <w:t>.GIF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lastRenderedPageBreak/>
        <w:t>Lo que quiere decir que con 31 litros de perfumes se pueden llenar 12 frascos completos del perfume.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noProof/>
          <w:lang w:eastAsia="es-CO"/>
        </w:rPr>
        <w:drawing>
          <wp:inline distT="0" distB="0" distL="0" distR="0" wp14:anchorId="4E5491F8" wp14:editId="3FA3E37A">
            <wp:extent cx="5612130" cy="5196205"/>
            <wp:effectExtent l="0" t="0" r="762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 xml:space="preserve">La </w:t>
      </w:r>
      <w:r w:rsidRPr="00F74013">
        <w:rPr>
          <w:rFonts w:cs="AGaramondPro-Regular"/>
          <w:b/>
        </w:rPr>
        <w:t>fracción inversa</w:t>
      </w:r>
      <w:r>
        <w:rPr>
          <w:rFonts w:cs="AGaramondPro-Regular"/>
        </w:rPr>
        <w:t xml:space="preserve"> de </w:t>
      </w:r>
      <w:r w:rsidR="002A30C6">
        <w:rPr>
          <w:rFonts w:cs="AGaramondPro-Regular"/>
        </w:rPr>
        <w:t>una</w:t>
      </w:r>
      <w:r>
        <w:rPr>
          <w:rFonts w:cs="AGaramondPro-Regular"/>
        </w:rPr>
        <w:t xml:space="preserve"> fracción diferente de 0, se halla cuando se intercambian sus términos.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 xml:space="preserve">Es decir, la fracción inversa de </w:t>
      </w:r>
      <w:r w:rsidRPr="00F74013">
        <w:rPr>
          <w:rFonts w:cs="AGaramondPro-Regular"/>
          <w:i/>
        </w:rPr>
        <w:t>a</w:t>
      </w:r>
      <w:r>
        <w:rPr>
          <w:rFonts w:cs="AGaramondPro-Regular"/>
        </w:rPr>
        <w:t>/</w:t>
      </w:r>
      <w:r w:rsidRPr="00F74013">
        <w:rPr>
          <w:rFonts w:cs="AGaramondPro-Regular"/>
          <w:i/>
        </w:rPr>
        <w:t>b</w:t>
      </w:r>
      <w:r>
        <w:rPr>
          <w:rFonts w:cs="AGaramondPro-Regular"/>
        </w:rPr>
        <w:t xml:space="preserve"> es </w:t>
      </w:r>
      <w:r w:rsidRPr="00F74013">
        <w:rPr>
          <w:rFonts w:cs="AGaramondPro-Regular"/>
          <w:i/>
        </w:rPr>
        <w:t>b</w:t>
      </w:r>
      <w:r>
        <w:rPr>
          <w:rFonts w:cs="AGaramondPro-Regular"/>
        </w:rPr>
        <w:t>/</w:t>
      </w:r>
      <w:r w:rsidRPr="00F74013">
        <w:rPr>
          <w:rFonts w:cs="AGaramondPro-Regular"/>
          <w:i/>
        </w:rPr>
        <w:t>a</w:t>
      </w:r>
      <w:r>
        <w:rPr>
          <w:rFonts w:cs="AGaramondPro-Regular"/>
        </w:rPr>
        <w:t>.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  <w:r>
        <w:rPr>
          <w:rFonts w:cs="AGaramondPro-Regular"/>
        </w:rPr>
        <w:t>Por ejemplo, la fracción inversa de 5/4 es 4/5, de 2/9 es 9/2 y de 11/4 es 4/11.</w:t>
      </w:r>
    </w:p>
    <w:p w:rsidR="00F74013" w:rsidRDefault="00F74013" w:rsidP="00F74013">
      <w:pPr>
        <w:autoSpaceDE w:val="0"/>
        <w:autoSpaceDN w:val="0"/>
        <w:adjustRightInd w:val="0"/>
        <w:spacing w:after="0" w:line="240" w:lineRule="auto"/>
        <w:rPr>
          <w:rFonts w:cs="AGaramondPro-Regular"/>
        </w:rPr>
      </w:pPr>
    </w:p>
    <w:p w:rsidR="00F74013" w:rsidRPr="00F74013" w:rsidRDefault="00F74013" w:rsidP="00F74013">
      <w:pPr>
        <w:autoSpaceDE w:val="0"/>
        <w:autoSpaceDN w:val="0"/>
        <w:adjustRightInd w:val="0"/>
        <w:spacing w:after="0" w:line="240" w:lineRule="auto"/>
      </w:pPr>
    </w:p>
    <w:p w:rsidR="0020551E" w:rsidRDefault="0020551E"/>
    <w:p w:rsidR="0020551E" w:rsidRDefault="0020551E"/>
    <w:p w:rsidR="0020551E" w:rsidRDefault="0020551E"/>
    <w:p w:rsidR="0020551E" w:rsidRDefault="0020551E"/>
    <w:p w:rsidR="0020551E" w:rsidRDefault="0020551E">
      <w:bookmarkStart w:id="0" w:name="_GoBack"/>
      <w:bookmarkEnd w:id="0"/>
    </w:p>
    <w:p w:rsidR="0020551E" w:rsidRDefault="0020551E"/>
    <w:p w:rsidR="0020551E" w:rsidRDefault="0020551E"/>
    <w:p w:rsidR="0020551E" w:rsidRDefault="0020551E"/>
    <w:p w:rsidR="0020551E" w:rsidRDefault="0020551E"/>
    <w:sectPr w:rsidR="002055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GaramondPro-Semi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GaramondPro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A9F"/>
    <w:rsid w:val="00163976"/>
    <w:rsid w:val="0020551E"/>
    <w:rsid w:val="0022039E"/>
    <w:rsid w:val="002A30C6"/>
    <w:rsid w:val="009B1A9F"/>
    <w:rsid w:val="00D4664A"/>
    <w:rsid w:val="00F7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316BFD1-78CB-40EE-83D3-D59FC2E18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363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2016-02-16T17:10:00Z</dcterms:created>
  <dcterms:modified xsi:type="dcterms:W3CDTF">2016-02-16T17:10:00Z</dcterms:modified>
</cp:coreProperties>
</file>