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07" w:rsidRPr="005B6BB7" w:rsidRDefault="00951802" w:rsidP="005B6BB7">
      <w:pPr>
        <w:jc w:val="center"/>
        <w:rPr>
          <w:b/>
          <w:sz w:val="28"/>
          <w:szCs w:val="28"/>
        </w:rPr>
      </w:pPr>
      <w:r w:rsidRPr="005B6BB7">
        <w:rPr>
          <w:b/>
          <w:sz w:val="28"/>
          <w:szCs w:val="28"/>
        </w:rPr>
        <w:t>Observaciones escaleta MA_07_12_CO</w:t>
      </w:r>
    </w:p>
    <w:p w:rsidR="00951802" w:rsidRPr="00951802" w:rsidRDefault="00951802"/>
    <w:p w:rsidR="00951802" w:rsidRDefault="00951802">
      <w:r w:rsidRPr="00951802">
        <w:t>De la revisión de la escaleta en mención comento lo siguiente:</w:t>
      </w:r>
    </w:p>
    <w:p w:rsidR="005B6BB7" w:rsidRDefault="005B6BB7"/>
    <w:p w:rsidR="005B6BB7" w:rsidRDefault="005B6BB7">
      <w:r>
        <w:t>Como observación general, se menciona que la escaleta tenía imprecisiones de títulos y de lenguaje por favor ser más cuidadosos ya que no se comprende bien a qué sección corresponden los recursos. Algunos de l</w:t>
      </w:r>
      <w:bookmarkStart w:id="0" w:name="_GoBack"/>
      <w:bookmarkEnd w:id="0"/>
      <w:r>
        <w:t>os títulos se repetían y no parecían seguir la tabla de contenido. Quizá el afán de entregar hizo que sucediera esto pero hizo difícil la revisión de la escaleta. Hay varios errores de ortografía, tildes y palabras mal escritas, las descripciones de los recursos son muy generales y no permiten identificar si son útiles o no los recursos como momentos de aprendizaje que aporten tanto al docente como al estudiante.</w:t>
      </w:r>
    </w:p>
    <w:p w:rsidR="005B6BB7" w:rsidRDefault="005B6BB7"/>
    <w:p w:rsidR="005B6BB7" w:rsidRDefault="005B6BB7">
      <w:r>
        <w:t>Se envía una recomendación de cambios pero falta completarla y ajustar todo lo que corresponde a las secciones que constituyen la escaleta. Por favor revisarla para ubicar en el guion las cajas con los recursos correspondientes.</w:t>
      </w:r>
    </w:p>
    <w:p w:rsidR="005B6BB7" w:rsidRDefault="005B6BB7"/>
    <w:p w:rsidR="005B6BB7" w:rsidRPr="00951802" w:rsidRDefault="005B6BB7">
      <w:r>
        <w:t>Se mencionan de forma específica las siguientes observaciones:</w:t>
      </w:r>
    </w:p>
    <w:p w:rsidR="00951802" w:rsidRPr="00951802" w:rsidRDefault="00951802"/>
    <w:p w:rsidR="00951802" w:rsidRPr="00951802" w:rsidRDefault="00951802" w:rsidP="00951802">
      <w:pPr>
        <w:pStyle w:val="Prrafodelista"/>
        <w:numPr>
          <w:ilvl w:val="0"/>
          <w:numId w:val="1"/>
        </w:numPr>
      </w:pPr>
      <w:r w:rsidRPr="00951802">
        <w:t xml:space="preserve">De </w:t>
      </w:r>
      <w:r w:rsidRPr="00951802">
        <w:t xml:space="preserve">acuerdo con la inserción del </w:t>
      </w:r>
      <w:r w:rsidRPr="00951802">
        <w:t>recurso</w:t>
      </w:r>
      <w:r w:rsidRPr="00951802">
        <w:t xml:space="preserve"> 10</w:t>
      </w:r>
      <w:r w:rsidRPr="00951802">
        <w:t xml:space="preserve"> pero no considero que deba incluir los criteri</w:t>
      </w:r>
      <w:r w:rsidRPr="00951802">
        <w:t xml:space="preserve">os de semejanza como solicita </w:t>
      </w:r>
      <w:r w:rsidRPr="00951802">
        <w:t xml:space="preserve">el experto ya que estos criterios se abordarán más adelante. Recomiendo que el recurso sea sólo </w:t>
      </w:r>
      <w:r w:rsidRPr="00951802">
        <w:t>de reconocimiento de que l</w:t>
      </w:r>
      <w:r w:rsidRPr="00951802">
        <w:rPr>
          <w:rFonts w:eastAsia="Times New Roman" w:cs="Times New Roman"/>
          <w:bCs/>
          <w:color w:val="000000" w:themeColor="text1"/>
        </w:rPr>
        <w:t xml:space="preserve">a semejanza </w:t>
      </w:r>
      <w:r w:rsidRPr="00951802">
        <w:rPr>
          <w:rFonts w:eastAsia="Times New Roman" w:cs="Times New Roman"/>
          <w:color w:val="000000" w:themeColor="text1"/>
        </w:rPr>
        <w:t xml:space="preserve">se usa para </w:t>
      </w:r>
      <w:r w:rsidRPr="00951802">
        <w:rPr>
          <w:rFonts w:eastAsia="Times New Roman" w:cs="Times New Roman"/>
          <w:bCs/>
          <w:color w:val="000000" w:themeColor="text1"/>
        </w:rPr>
        <w:t xml:space="preserve">comparar dos o más figuras </w:t>
      </w:r>
      <w:r w:rsidRPr="00951802">
        <w:rPr>
          <w:rFonts w:eastAsia="Times New Roman" w:cs="Times New Roman"/>
          <w:color w:val="000000" w:themeColor="text1"/>
        </w:rPr>
        <w:t>que</w:t>
      </w:r>
      <w:r w:rsidRPr="00951802">
        <w:rPr>
          <w:rFonts w:eastAsia="Times New Roman" w:cs="Times New Roman"/>
          <w:bCs/>
          <w:color w:val="000000" w:themeColor="text1"/>
        </w:rPr>
        <w:t xml:space="preserve"> </w:t>
      </w:r>
      <w:r w:rsidRPr="00951802">
        <w:rPr>
          <w:rFonts w:eastAsia="Times New Roman" w:cs="Times New Roman"/>
          <w:color w:val="000000" w:themeColor="text1"/>
        </w:rPr>
        <w:t>tienen</w:t>
      </w:r>
      <w:r w:rsidRPr="00951802">
        <w:rPr>
          <w:rFonts w:eastAsia="Times New Roman" w:cs="Times New Roman"/>
          <w:bCs/>
          <w:color w:val="000000" w:themeColor="text1"/>
        </w:rPr>
        <w:t xml:space="preserve"> la misma forma y diferente tamaño</w:t>
      </w:r>
      <w:r w:rsidRPr="00951802">
        <w:rPr>
          <w:rFonts w:eastAsia="Times New Roman" w:cs="Times New Roman"/>
          <w:b/>
          <w:bCs/>
          <w:color w:val="000000" w:themeColor="text1"/>
        </w:rPr>
        <w:t>.</w:t>
      </w:r>
      <w:r w:rsidRPr="00951802">
        <w:rPr>
          <w:rFonts w:eastAsia="Times New Roman" w:cs="Times New Roman"/>
          <w:b/>
          <w:bCs/>
          <w:color w:val="000000" w:themeColor="text1"/>
        </w:rPr>
        <w:t xml:space="preserve"> </w:t>
      </w:r>
      <w:r w:rsidRPr="00951802">
        <w:rPr>
          <w:rFonts w:eastAsia="Times New Roman" w:cs="Times New Roman"/>
          <w:bCs/>
          <w:color w:val="000000" w:themeColor="text1"/>
        </w:rPr>
        <w:t>En caso de considerarse mi observación, se debe ajustar entonces la descripción y observaciones del recurso en la escaleta.</w:t>
      </w:r>
    </w:p>
    <w:p w:rsidR="00951802" w:rsidRDefault="00951802" w:rsidP="00951802">
      <w:pPr>
        <w:pStyle w:val="Prrafodelista"/>
        <w:numPr>
          <w:ilvl w:val="0"/>
          <w:numId w:val="1"/>
        </w:numPr>
      </w:pPr>
      <w:r>
        <w:t>Se omitió en la escaleta la sección consolidación que aparece en la tabla de contenido. Se anexó y se ubicó un posible recurso, por favor revisar y ajustar la escaleta en caso de aceptar la sugerencia.</w:t>
      </w:r>
    </w:p>
    <w:p w:rsidR="00951802" w:rsidRDefault="00951802" w:rsidP="00951802">
      <w:pPr>
        <w:pStyle w:val="Prrafodelista"/>
        <w:numPr>
          <w:ilvl w:val="0"/>
          <w:numId w:val="1"/>
        </w:numPr>
      </w:pPr>
      <w:r w:rsidRPr="00951802">
        <w:t xml:space="preserve">El teorema de </w:t>
      </w:r>
      <w:proofErr w:type="spellStart"/>
      <w:r w:rsidRPr="00951802">
        <w:t>Thales</w:t>
      </w:r>
      <w:proofErr w:type="spellEnd"/>
      <w:r w:rsidRPr="00951802">
        <w:t xml:space="preserve"> no está considerado ni en los estándares ni en los derechos bás</w:t>
      </w:r>
      <w:r>
        <w:t>icos de aprendizaje. S</w:t>
      </w:r>
      <w:r w:rsidRPr="00951802">
        <w:t>e sugiere revisar la</w:t>
      </w:r>
      <w:r>
        <w:t xml:space="preserve"> pertinencia de este en el tema, ya se había mencionado a </w:t>
      </w:r>
      <w:proofErr w:type="spellStart"/>
      <w:r>
        <w:t>Lizzie</w:t>
      </w:r>
      <w:proofErr w:type="spellEnd"/>
      <w:r>
        <w:t xml:space="preserve"> cuando se realizó la primera versión del guion y nos mencionó que si no se pedía en estándares o en derechos básicos no se empleara. Si se deja será necesario ajustar el guion que ya existe para dar una inclusión a la idea del uso del teorema.</w:t>
      </w:r>
    </w:p>
    <w:p w:rsidR="00951802" w:rsidRDefault="00951802" w:rsidP="00951802">
      <w:pPr>
        <w:pStyle w:val="Prrafodelista"/>
        <w:numPr>
          <w:ilvl w:val="0"/>
          <w:numId w:val="1"/>
        </w:numPr>
      </w:pPr>
      <w:r w:rsidRPr="00951802">
        <w:t>Se cambió el nombre</w:t>
      </w:r>
      <w:r>
        <w:t xml:space="preserve"> del recurso 60 en la propuesta de escaleta enviada.</w:t>
      </w:r>
      <w:r w:rsidRPr="00951802">
        <w:t xml:space="preserve"> Antes era Refuerza tu aprendizaje: la proporcionalidad de segmentos. No estoy de acuerdo con el nombre construcción de segmentos semejantes ya que en todo el contenido del cuaderno no se habla de segmentos semejantes si</w:t>
      </w:r>
      <w:r>
        <w:t xml:space="preserve"> </w:t>
      </w:r>
      <w:r w:rsidRPr="00951802">
        <w:t>no de</w:t>
      </w:r>
      <w:r>
        <w:t xml:space="preserve"> segmentos</w:t>
      </w:r>
      <w:r w:rsidRPr="00951802">
        <w:t xml:space="preserve"> proporcionales. Si se deja este nombre deberemos dedicar parte de la sección a explicar qué son segmentos semejantes</w:t>
      </w:r>
      <w:r>
        <w:t>.</w:t>
      </w:r>
    </w:p>
    <w:p w:rsidR="00951802" w:rsidRDefault="00951802" w:rsidP="00951802">
      <w:pPr>
        <w:pStyle w:val="Prrafodelista"/>
        <w:numPr>
          <w:ilvl w:val="0"/>
          <w:numId w:val="1"/>
        </w:numPr>
      </w:pPr>
      <w:r>
        <w:t>Este recurso estaba</w:t>
      </w:r>
      <w:r w:rsidRPr="00951802">
        <w:t xml:space="preserve"> repetido en nombre por favor tener cuidado se cambió el nombre según la descripción dada del recurso. Pese a esto, no se observa de fo</w:t>
      </w:r>
      <w:r>
        <w:t>rma clara qué se espera con el</w:t>
      </w:r>
      <w:r w:rsidRPr="00951802">
        <w:t xml:space="preserve"> recurso, es introductorio a la semejanza de figuras</w:t>
      </w:r>
      <w:proofErr w:type="gramStart"/>
      <w:r w:rsidRPr="00951802">
        <w:t>?</w:t>
      </w:r>
      <w:proofErr w:type="gramEnd"/>
      <w:r w:rsidRPr="00951802">
        <w:t xml:space="preserve"> De ser así debe diferenciarse muy bien del recurso La semejanza geométrica</w:t>
      </w:r>
      <w:r>
        <w:t>.</w:t>
      </w:r>
    </w:p>
    <w:p w:rsidR="00951802" w:rsidRDefault="00951802" w:rsidP="00951802">
      <w:pPr>
        <w:pStyle w:val="Prrafodelista"/>
        <w:numPr>
          <w:ilvl w:val="0"/>
          <w:numId w:val="1"/>
        </w:numPr>
      </w:pPr>
      <w:r>
        <w:t>Había un recurso llamado Forma y tamaño pero n</w:t>
      </w:r>
      <w:r w:rsidRPr="00951802">
        <w:t xml:space="preserve">o </w:t>
      </w:r>
      <w:r>
        <w:t>identifico la pertinencia del mencionado</w:t>
      </w:r>
      <w:r w:rsidRPr="00951802">
        <w:t>, recomiendo quitarlo y dejar el anterior a este, que dice Identifica figuras semejantes como un recurso tipo proyecto en el cual se deje como tarea una actividad para evaluar la claridad de los conceptos como se menciona aquí</w:t>
      </w:r>
      <w:r w:rsidR="00342601">
        <w:t>.</w:t>
      </w:r>
    </w:p>
    <w:p w:rsidR="00342601" w:rsidRDefault="00342601" w:rsidP="00342601">
      <w:pPr>
        <w:pStyle w:val="Prrafodelista"/>
        <w:numPr>
          <w:ilvl w:val="0"/>
          <w:numId w:val="1"/>
        </w:numPr>
      </w:pPr>
      <w:r w:rsidRPr="00342601">
        <w:t>Considero que e</w:t>
      </w:r>
      <w:r>
        <w:t>l</w:t>
      </w:r>
      <w:r w:rsidRPr="00342601">
        <w:t xml:space="preserve"> recurso</w:t>
      </w:r>
      <w:r>
        <w:t xml:space="preserve"> Semejanza de polígonos, como se plantea en la versión enviada de la escaleta,</w:t>
      </w:r>
      <w:r w:rsidRPr="00342601">
        <w:t xml:space="preserve"> no cumple las expectativas de la sección; cuando se inicia a hablar de semejanza de figuras de hace de forma general, luego se particulariza a fi</w:t>
      </w:r>
      <w:r>
        <w:t xml:space="preserve">guras geométricas como los </w:t>
      </w:r>
      <w:r>
        <w:lastRenderedPageBreak/>
        <w:t>polígon</w:t>
      </w:r>
      <w:r w:rsidRPr="00342601">
        <w:t>os y el proceso de explicación de este tema amerita crear un recurso que le permita al docente exponer el tema con la precisión correspondiente. Por ende, se recomienda cambiar esta idea y colocar un recurso robusto que apoye al docente (motor F). Cambié el nombre de Polígonos semejantes a Semejanza de polígonos</w:t>
      </w:r>
    </w:p>
    <w:p w:rsidR="00342601" w:rsidRDefault="00342601" w:rsidP="00342601">
      <w:pPr>
        <w:pStyle w:val="Prrafodelista"/>
        <w:numPr>
          <w:ilvl w:val="0"/>
          <w:numId w:val="1"/>
        </w:numPr>
      </w:pPr>
      <w:r>
        <w:t>El recurso la semejanza en el entorno no aparecía en la escaleta pero se sugiere introducirlo ya que muestra aplicaciones del concepto, tal y como se indica en los estándares y en los deberes del estudiante.</w:t>
      </w:r>
    </w:p>
    <w:p w:rsidR="00342601" w:rsidRDefault="00342601" w:rsidP="00342601">
      <w:pPr>
        <w:pStyle w:val="Prrafodelista"/>
        <w:numPr>
          <w:ilvl w:val="0"/>
          <w:numId w:val="1"/>
        </w:numPr>
      </w:pPr>
      <w:r>
        <w:t xml:space="preserve">El recurso Reconoce polígonos semejantes </w:t>
      </w:r>
      <w:r w:rsidRPr="00342601">
        <w:t>se llamaba Reconoce figuras semejantes</w:t>
      </w:r>
      <w:r>
        <w:t>, en la versión enviada de la escaleta,</w:t>
      </w:r>
      <w:r w:rsidRPr="00342601">
        <w:t xml:space="preserve"> pero si en la parte superior ya hay un recurso para identificar figuras semejantes este debería ser de polígonos semejantes</w:t>
      </w:r>
      <w:r>
        <w:t>. Se envía la sugerencia en la nueva versión de la escaleta.</w:t>
      </w:r>
    </w:p>
    <w:p w:rsidR="00342601" w:rsidRDefault="00342601" w:rsidP="00342601">
      <w:pPr>
        <w:pStyle w:val="Prrafodelista"/>
        <w:numPr>
          <w:ilvl w:val="0"/>
          <w:numId w:val="1"/>
        </w:numPr>
      </w:pPr>
      <w:r w:rsidRPr="00342601">
        <w:t>Hasta el momento no se han sugerido recursos para la resolución de problemas, se recomienda ag</w:t>
      </w:r>
      <w:r>
        <w:t>regar el recurso Uso de la razón de semejanza con este tipo de estructura.</w:t>
      </w:r>
    </w:p>
    <w:p w:rsidR="00342601" w:rsidRDefault="00342601" w:rsidP="00E052F5">
      <w:pPr>
        <w:pStyle w:val="Prrafodelista"/>
        <w:numPr>
          <w:ilvl w:val="0"/>
          <w:numId w:val="1"/>
        </w:numPr>
      </w:pPr>
      <w:r>
        <w:t>Los</w:t>
      </w:r>
      <w:r>
        <w:t xml:space="preserve"> recursos</w:t>
      </w:r>
      <w:r>
        <w:t xml:space="preserve"> calcula utilizando escalas y calcula longitudes en escala y por semejanza son de aula planeta y</w:t>
      </w:r>
      <w:r>
        <w:t xml:space="preserve"> no aparecían </w:t>
      </w:r>
      <w:r>
        <w:t xml:space="preserve">en la versión de la escaleta enviada </w:t>
      </w:r>
      <w:r>
        <w:t>pero se recomienda su inserción para dar coherencia al proceso de escalamiento para la reducción y ampliación de figuras</w:t>
      </w:r>
      <w:r>
        <w:t>.</w:t>
      </w:r>
    </w:p>
    <w:p w:rsidR="005B6BB7" w:rsidRPr="00951802" w:rsidRDefault="00342601" w:rsidP="005B6BB7">
      <w:pPr>
        <w:pStyle w:val="Prrafodelista"/>
        <w:numPr>
          <w:ilvl w:val="0"/>
          <w:numId w:val="1"/>
        </w:numPr>
      </w:pPr>
      <w:r>
        <w:t>La forma en que e</w:t>
      </w:r>
      <w:r>
        <w:t xml:space="preserve">staba escrito el título del </w:t>
      </w:r>
      <w:r>
        <w:t xml:space="preserve">recurso </w:t>
      </w:r>
      <w:r>
        <w:t xml:space="preserve">Competencias: amplio y reduzco figuras </w:t>
      </w:r>
      <w:r>
        <w:t>debe revisarse, el lenguaje está siendo muy coloquial y le quita formalismo al contenido</w:t>
      </w:r>
      <w:r w:rsidR="005B6BB7">
        <w:t>, era algo con anchando y angostando y no son palabras formales para el contenido.</w:t>
      </w:r>
    </w:p>
    <w:sectPr w:rsidR="005B6BB7" w:rsidRPr="00951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B5AC0"/>
    <w:multiLevelType w:val="hybridMultilevel"/>
    <w:tmpl w:val="EC9EEC7E"/>
    <w:lvl w:ilvl="0" w:tplc="D4C2C15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84" w:hanging="360"/>
      </w:pPr>
    </w:lvl>
    <w:lvl w:ilvl="2" w:tplc="240A001B" w:tentative="1">
      <w:start w:val="1"/>
      <w:numFmt w:val="lowerRoman"/>
      <w:lvlText w:val="%3."/>
      <w:lvlJc w:val="right"/>
      <w:pPr>
        <w:ind w:left="2004" w:hanging="180"/>
      </w:pPr>
    </w:lvl>
    <w:lvl w:ilvl="3" w:tplc="240A000F" w:tentative="1">
      <w:start w:val="1"/>
      <w:numFmt w:val="decimal"/>
      <w:lvlText w:val="%4."/>
      <w:lvlJc w:val="left"/>
      <w:pPr>
        <w:ind w:left="2724" w:hanging="360"/>
      </w:pPr>
    </w:lvl>
    <w:lvl w:ilvl="4" w:tplc="240A0019" w:tentative="1">
      <w:start w:val="1"/>
      <w:numFmt w:val="lowerLetter"/>
      <w:lvlText w:val="%5."/>
      <w:lvlJc w:val="left"/>
      <w:pPr>
        <w:ind w:left="3444" w:hanging="360"/>
      </w:pPr>
    </w:lvl>
    <w:lvl w:ilvl="5" w:tplc="240A001B" w:tentative="1">
      <w:start w:val="1"/>
      <w:numFmt w:val="lowerRoman"/>
      <w:lvlText w:val="%6."/>
      <w:lvlJc w:val="right"/>
      <w:pPr>
        <w:ind w:left="4164" w:hanging="180"/>
      </w:pPr>
    </w:lvl>
    <w:lvl w:ilvl="6" w:tplc="240A000F" w:tentative="1">
      <w:start w:val="1"/>
      <w:numFmt w:val="decimal"/>
      <w:lvlText w:val="%7."/>
      <w:lvlJc w:val="left"/>
      <w:pPr>
        <w:ind w:left="4884" w:hanging="360"/>
      </w:pPr>
    </w:lvl>
    <w:lvl w:ilvl="7" w:tplc="240A0019" w:tentative="1">
      <w:start w:val="1"/>
      <w:numFmt w:val="lowerLetter"/>
      <w:lvlText w:val="%8."/>
      <w:lvlJc w:val="left"/>
      <w:pPr>
        <w:ind w:left="5604" w:hanging="360"/>
      </w:pPr>
    </w:lvl>
    <w:lvl w:ilvl="8" w:tplc="240A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02"/>
    <w:rsid w:val="00342601"/>
    <w:rsid w:val="005B6BB7"/>
    <w:rsid w:val="00777507"/>
    <w:rsid w:val="0095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84783E-4032-4A1F-9A16-60A3BD65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0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Velásquez Rojas</dc:creator>
  <cp:keywords/>
  <dc:description/>
  <cp:lastModifiedBy>Diana Velásquez Rojas</cp:lastModifiedBy>
  <cp:revision>1</cp:revision>
  <dcterms:created xsi:type="dcterms:W3CDTF">2015-09-13T02:35:00Z</dcterms:created>
  <dcterms:modified xsi:type="dcterms:W3CDTF">2015-09-13T03:02:00Z</dcterms:modified>
</cp:coreProperties>
</file>