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02A" w:rsidRDefault="001B302A" w:rsidP="001B302A">
      <w:pPr>
        <w:jc w:val="center"/>
        <w:rPr>
          <w:b/>
        </w:rPr>
      </w:pPr>
      <w:r w:rsidRPr="00910013">
        <w:rPr>
          <w:b/>
        </w:rPr>
        <w:t>GUIA DIDÁCTICA</w:t>
      </w:r>
    </w:p>
    <w:p w:rsidR="001B302A" w:rsidRDefault="001B302A" w:rsidP="001B302A">
      <w:pPr>
        <w:spacing w:after="0"/>
        <w:jc w:val="both"/>
      </w:pPr>
      <w:r w:rsidRPr="00031A16">
        <w:rPr>
          <w:b/>
        </w:rPr>
        <w:t>Tema</w:t>
      </w:r>
      <w:r w:rsidRPr="00031A16">
        <w:t xml:space="preserve">: </w:t>
      </w:r>
      <w:r w:rsidR="00C462FF">
        <w:t>Los triángulos y los cuadriláteros</w:t>
      </w:r>
    </w:p>
    <w:p w:rsidR="00C462FF" w:rsidRPr="00031A16" w:rsidRDefault="00C462FF" w:rsidP="001B302A">
      <w:pPr>
        <w:spacing w:after="0"/>
        <w:jc w:val="both"/>
      </w:pPr>
    </w:p>
    <w:p w:rsidR="00C462FF" w:rsidRDefault="00C462FF" w:rsidP="001B302A">
      <w:pPr>
        <w:spacing w:after="0"/>
        <w:jc w:val="both"/>
        <w:rPr>
          <w:b/>
        </w:rPr>
      </w:pPr>
      <w:r>
        <w:rPr>
          <w:b/>
        </w:rPr>
        <w:t>Objetivo</w:t>
      </w:r>
    </w:p>
    <w:p w:rsidR="001B302A" w:rsidRDefault="001B302A" w:rsidP="001B302A">
      <w:pPr>
        <w:spacing w:after="0"/>
        <w:jc w:val="both"/>
        <w:rPr>
          <w:b/>
        </w:rPr>
      </w:pPr>
      <w:r w:rsidRPr="00C462FF">
        <w:rPr>
          <w:b/>
        </w:rPr>
        <w:t xml:space="preserve">Pensamiento </w:t>
      </w:r>
      <w:r w:rsidR="00C462FF" w:rsidRPr="00C462FF">
        <w:rPr>
          <w:b/>
        </w:rPr>
        <w:t>espacial</w:t>
      </w:r>
      <w:r w:rsidRPr="00C462FF">
        <w:rPr>
          <w:b/>
        </w:rPr>
        <w:t xml:space="preserve"> y sistemas geométricos</w:t>
      </w:r>
    </w:p>
    <w:p w:rsidR="00C462FF" w:rsidRPr="00C462FF" w:rsidRDefault="00C462FF" w:rsidP="001B302A">
      <w:pPr>
        <w:spacing w:after="0"/>
        <w:jc w:val="both"/>
        <w:rPr>
          <w:b/>
        </w:rPr>
      </w:pPr>
    </w:p>
    <w:p w:rsidR="001B302A" w:rsidRPr="00C462FF" w:rsidRDefault="007C1202" w:rsidP="00C462F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crosoft JhengHei Light" w:hAnsi="Times New Roman" w:cs="Times New Roman"/>
          <w:sz w:val="24"/>
          <w:szCs w:val="24"/>
        </w:rPr>
      </w:pPr>
      <w:r w:rsidRPr="00C462FF">
        <w:rPr>
          <w:rFonts w:eastAsia="Microsoft JhengHei Light" w:cs="Times New Roman"/>
        </w:rPr>
        <w:t xml:space="preserve">Conjeturo y </w:t>
      </w:r>
      <w:proofErr w:type="spellStart"/>
      <w:r w:rsidRPr="00C462FF">
        <w:rPr>
          <w:rFonts w:eastAsia="Microsoft JhengHei Light" w:cs="Times New Roman"/>
        </w:rPr>
        <w:t>veriﬁco</w:t>
      </w:r>
      <w:proofErr w:type="spellEnd"/>
      <w:r w:rsidRPr="00C462FF">
        <w:rPr>
          <w:rFonts w:eastAsia="Microsoft JhengHei Light" w:cs="Times New Roman"/>
        </w:rPr>
        <w:t xml:space="preserve"> propiedades de congruencias y semejanzas entre figuras bidimensionales y entre objetos tridimensionales en la solución de problemas.</w:t>
      </w:r>
    </w:p>
    <w:p w:rsidR="001B302A" w:rsidRPr="00C462FF" w:rsidRDefault="007C1202" w:rsidP="00C462F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462FF">
        <w:rPr>
          <w:rFonts w:cstheme="minorHAnsi"/>
        </w:rPr>
        <w:t xml:space="preserve">Aplico y justifico criterios de congruencias entre triángulos en la resolución y formulación de problemas. </w:t>
      </w:r>
      <w:r w:rsidR="001B302A" w:rsidRPr="00C462FF">
        <w:rPr>
          <w:rFonts w:cstheme="minorHAnsi"/>
        </w:rPr>
        <w:t xml:space="preserve"> </w:t>
      </w:r>
    </w:p>
    <w:p w:rsidR="001B302A" w:rsidRDefault="001B302A" w:rsidP="001B302A">
      <w:pPr>
        <w:autoSpaceDE w:val="0"/>
        <w:autoSpaceDN w:val="0"/>
        <w:adjustRightInd w:val="0"/>
        <w:spacing w:after="0" w:line="240" w:lineRule="auto"/>
        <w:jc w:val="both"/>
        <w:rPr>
          <w:rFonts w:ascii="CheltenhamStd-LightCond" w:hAnsi="CheltenhamStd-LightCond" w:cs="CheltenhamStd-LightCond"/>
          <w:color w:val="58595B"/>
          <w:sz w:val="20"/>
          <w:szCs w:val="20"/>
        </w:rPr>
      </w:pPr>
    </w:p>
    <w:p w:rsidR="001B302A" w:rsidRPr="00031A16" w:rsidRDefault="001B302A" w:rsidP="001B30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1B302A" w:rsidRDefault="00C462FF" w:rsidP="001B302A">
      <w:pPr>
        <w:jc w:val="both"/>
        <w:rPr>
          <w:b/>
        </w:rPr>
      </w:pPr>
      <w:r>
        <w:rPr>
          <w:b/>
        </w:rPr>
        <w:t>Objetivos competenciales</w:t>
      </w:r>
    </w:p>
    <w:p w:rsidR="001B302A" w:rsidRDefault="001B302A" w:rsidP="001B302A">
      <w:pPr>
        <w:pStyle w:val="Prrafodelista"/>
        <w:numPr>
          <w:ilvl w:val="0"/>
          <w:numId w:val="1"/>
        </w:numPr>
        <w:jc w:val="both"/>
      </w:pPr>
      <w:r>
        <w:t xml:space="preserve">Reconoce </w:t>
      </w:r>
      <w:r w:rsidR="007C1202">
        <w:t>y aplica los diferentes criterios de congruencia para triángulos</w:t>
      </w:r>
      <w:r>
        <w:t>.</w:t>
      </w:r>
    </w:p>
    <w:p w:rsidR="001B302A" w:rsidRDefault="00B76A2F" w:rsidP="001B302A">
      <w:pPr>
        <w:pStyle w:val="Prrafodelista"/>
        <w:numPr>
          <w:ilvl w:val="0"/>
          <w:numId w:val="1"/>
        </w:numPr>
        <w:jc w:val="both"/>
      </w:pPr>
      <w:r>
        <w:t>D</w:t>
      </w:r>
      <w:r w:rsidR="001B302A">
        <w:t xml:space="preserve">emuestra </w:t>
      </w:r>
      <w:r w:rsidR="007C1202">
        <w:t>la congruencia de dos triángulos a través de los diferentes criterios.</w:t>
      </w:r>
    </w:p>
    <w:p w:rsidR="001B302A" w:rsidRDefault="007C1202" w:rsidP="001B302A">
      <w:pPr>
        <w:pStyle w:val="Prrafodelista"/>
        <w:numPr>
          <w:ilvl w:val="0"/>
          <w:numId w:val="1"/>
        </w:numPr>
        <w:jc w:val="both"/>
      </w:pPr>
      <w:r>
        <w:t>Reconoce y clasifica los diferentes tipos de cuadriláteros.</w:t>
      </w:r>
      <w:r w:rsidR="001B302A">
        <w:t xml:space="preserve"> </w:t>
      </w:r>
    </w:p>
    <w:p w:rsidR="007C1202" w:rsidRDefault="007C1202" w:rsidP="001B302A">
      <w:pPr>
        <w:pStyle w:val="Prrafodelista"/>
        <w:numPr>
          <w:ilvl w:val="0"/>
          <w:numId w:val="1"/>
        </w:numPr>
        <w:jc w:val="both"/>
      </w:pPr>
      <w:r>
        <w:t xml:space="preserve">Aplica las propiedades de los triángulos y los cuadriláteros en la solución de problemas. </w:t>
      </w:r>
    </w:p>
    <w:p w:rsidR="00B76A2F" w:rsidRDefault="00B76A2F" w:rsidP="001B302A">
      <w:pPr>
        <w:jc w:val="both"/>
        <w:rPr>
          <w:b/>
        </w:rPr>
      </w:pPr>
    </w:p>
    <w:p w:rsidR="001B302A" w:rsidRDefault="001B302A" w:rsidP="001B302A">
      <w:pPr>
        <w:jc w:val="both"/>
        <w:rPr>
          <w:b/>
        </w:rPr>
      </w:pPr>
      <w:r w:rsidRPr="00143526">
        <w:rPr>
          <w:b/>
        </w:rPr>
        <w:t>Estrategia didáctica</w:t>
      </w:r>
    </w:p>
    <w:p w:rsidR="007C1202" w:rsidRDefault="007C1202" w:rsidP="005C2749">
      <w:pPr>
        <w:jc w:val="both"/>
      </w:pPr>
      <w:r>
        <w:t>Este tema fortalece el concepto de demostración matemática que contribuye en el proceso de comunicación y la competencia de argumentación en el estudiante para mostrar la importancia que tiene exponer una idea a través de argumentos válidos.</w:t>
      </w:r>
    </w:p>
    <w:p w:rsidR="007C1202" w:rsidRDefault="007C1202" w:rsidP="005C2749">
      <w:pPr>
        <w:jc w:val="both"/>
      </w:pPr>
      <w:r>
        <w:t xml:space="preserve">El tema </w:t>
      </w:r>
      <w:r w:rsidR="00B76A2F">
        <w:t>inicia con la definición de triá</w:t>
      </w:r>
      <w:r>
        <w:t>ngulo para lo que se propone que el estudiante realice su propia definición buscando que sea lo más precisa posible</w:t>
      </w:r>
      <w:r w:rsidR="00B76A2F">
        <w:t>,</w:t>
      </w:r>
      <w:r>
        <w:t xml:space="preserve"> en este caso el </w:t>
      </w:r>
      <w:r w:rsidR="00B76A2F">
        <w:t>docente</w:t>
      </w:r>
      <w:r>
        <w:t xml:space="preserve"> debe debatir y contra argumentar cada definición que proponga el estudiante. Luego se estudian sus propiedades, para ello debe proponer diversos ejemplos y guiarlos mediante preguntas como: ¿cuánto es la suma de las medidas de los ángulos internos en cada triangulo? ¿Qué relación hay entre un ángulo externo y los ángulos internos? ¿Qué sucede con la medida de un lado con respecto a la suma de la medida de los otros dos?</w:t>
      </w:r>
    </w:p>
    <w:p w:rsidR="007C1202" w:rsidRDefault="007C1202" w:rsidP="005C2749">
      <w:pPr>
        <w:jc w:val="both"/>
      </w:pPr>
      <w:r>
        <w:t>De esta forma con todo el grupo se pueden construir las diferentes propiedades para luego comprobarlas desarrollando los recursos que se proponen para esta parte del tema.</w:t>
      </w:r>
    </w:p>
    <w:p w:rsidR="00E719FA" w:rsidRDefault="007C1202" w:rsidP="005C2749">
      <w:pPr>
        <w:jc w:val="both"/>
      </w:pPr>
      <w:r>
        <w:t>Posteriormente</w:t>
      </w:r>
      <w:r w:rsidR="00E719FA">
        <w:t xml:space="preserve"> se estudian las líneas notables y los puntos notables en un triángulo. Aquí se sugiere que se le brinden al estudiante los pasos de cada construc</w:t>
      </w:r>
      <w:r w:rsidR="00724029">
        <w:t>ción y que argumente cada paso para</w:t>
      </w:r>
      <w:r w:rsidR="00E719FA">
        <w:t xml:space="preserve"> </w:t>
      </w:r>
      <w:r w:rsidR="00724029">
        <w:t xml:space="preserve">que </w:t>
      </w:r>
      <w:r w:rsidR="00E719FA">
        <w:t>luego realice una conjetura de los resultados obtenidos. Para ello en grupos cada estudiante debe construir un triángulo diferente y luego compara sus resultados y verificar su conjetura.</w:t>
      </w:r>
    </w:p>
    <w:p w:rsidR="00E719FA" w:rsidRDefault="00E719FA" w:rsidP="005C2749">
      <w:pPr>
        <w:jc w:val="both"/>
      </w:pPr>
      <w:r>
        <w:t>Se debe proponer situaciones problema que se resuelvan a través de la construcción de una línea o un punto notable.</w:t>
      </w:r>
    </w:p>
    <w:p w:rsidR="00E719FA" w:rsidRDefault="00E719FA" w:rsidP="005C2749">
      <w:pPr>
        <w:jc w:val="both"/>
      </w:pPr>
      <w:r>
        <w:t xml:space="preserve">La siguiente unidad del tema estudia los criterios de congruencia para lo cual ya se han establecido varios conceptos que servirán como razones para argumentar y justificar la congruencia de dos </w:t>
      </w:r>
      <w:r>
        <w:lastRenderedPageBreak/>
        <w:t>triángulos. Inicie el tema presentando varias parejas de triángulos que sean iguales y algunos que no lo sean y pregunte que tienen en común y que tienen de diferente cada pareja de triángulos, cuales parejas de triángulos son iguales y esto a que se debe.</w:t>
      </w:r>
    </w:p>
    <w:p w:rsidR="00E719FA" w:rsidRDefault="00E719FA" w:rsidP="005C2749">
      <w:pPr>
        <w:jc w:val="both"/>
      </w:pPr>
      <w:r>
        <w:t>Luego introduzca el concepto de congruencia mediante un ejemplo y establezca cada criterio mostrando los elementos que hacen que dos triángulos sean congruentes de acuerdo a cada criterio.</w:t>
      </w:r>
    </w:p>
    <w:p w:rsidR="00E719FA" w:rsidRDefault="00E719FA" w:rsidP="005C2749">
      <w:pPr>
        <w:jc w:val="both"/>
      </w:pPr>
      <w:r>
        <w:t>Para estudiar cada criterio proponga a cada estudiante el desarrollo de cada recurso con los problemas que propone para demostrar la congruencia de triángulos.</w:t>
      </w:r>
    </w:p>
    <w:p w:rsidR="00E719FA" w:rsidRDefault="00724029" w:rsidP="005C2749">
      <w:pPr>
        <w:jc w:val="both"/>
      </w:pPr>
      <w:r>
        <w:t>El tema</w:t>
      </w:r>
      <w:r w:rsidR="00E719FA">
        <w:t xml:space="preserve"> de cuadriláteros se debe iniciar con la observación de varios cuadriláteros para que el estudiante haga una clasificación inicial y justifique porque hace esa clasificación, el profesor debe orientar la justificación de cada estudiante hacia el concepto de paralelismo entre sus lados.</w:t>
      </w:r>
    </w:p>
    <w:p w:rsidR="005C2749" w:rsidRDefault="00E719FA" w:rsidP="005C2749">
      <w:pPr>
        <w:jc w:val="both"/>
      </w:pPr>
      <w:r>
        <w:t xml:space="preserve">Una estrategia valida es realizar un mapa mental que muestre como se clasifican los cuadriláteros y realizar el recurso que le ayuda al estudiante a comunicar </w:t>
      </w:r>
      <w:r w:rsidR="005C2749">
        <w:t>esta idea.</w:t>
      </w:r>
    </w:p>
    <w:p w:rsidR="005C2749" w:rsidRDefault="005C2749" w:rsidP="005C2749">
      <w:pPr>
        <w:jc w:val="both"/>
      </w:pPr>
      <w:r>
        <w:t>Por último se estudian las propiedades de los paralelogramos que se deben verificar mediante construcciones geométricas para poder ser argumentadas.</w:t>
      </w:r>
      <w:bookmarkStart w:id="0" w:name="_GoBack"/>
      <w:bookmarkEnd w:id="0"/>
    </w:p>
    <w:sectPr w:rsidR="005C27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 Light">
    <w:panose1 w:val="020B0304030504040204"/>
    <w:charset w:val="80"/>
    <w:family w:val="swiss"/>
    <w:pitch w:val="variable"/>
    <w:sig w:usb0="A0000AEF" w:usb1="29CFFCFB" w:usb2="00000016" w:usb3="00000000" w:csb0="003E01B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F403A"/>
    <w:multiLevelType w:val="hybridMultilevel"/>
    <w:tmpl w:val="573AAE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EA06B6"/>
    <w:multiLevelType w:val="hybridMultilevel"/>
    <w:tmpl w:val="5F085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2A"/>
    <w:rsid w:val="00123120"/>
    <w:rsid w:val="0014349E"/>
    <w:rsid w:val="001B302A"/>
    <w:rsid w:val="005C2749"/>
    <w:rsid w:val="005D2232"/>
    <w:rsid w:val="0065315D"/>
    <w:rsid w:val="00724029"/>
    <w:rsid w:val="007C1202"/>
    <w:rsid w:val="00B71AFD"/>
    <w:rsid w:val="00B76A2F"/>
    <w:rsid w:val="00C462FF"/>
    <w:rsid w:val="00E7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BAEC2B-40CA-4DCA-A27B-AAB3557F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0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302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muñoz vera</dc:creator>
  <cp:keywords/>
  <dc:description/>
  <cp:lastModifiedBy>Edgar Josué Malagón Montaña</cp:lastModifiedBy>
  <cp:revision>5</cp:revision>
  <dcterms:created xsi:type="dcterms:W3CDTF">2016-01-08T01:11:00Z</dcterms:created>
  <dcterms:modified xsi:type="dcterms:W3CDTF">2016-01-08T15:31:00Z</dcterms:modified>
</cp:coreProperties>
</file>