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C7" w:rsidRPr="000438A9" w:rsidRDefault="003A19C7" w:rsidP="006F374C">
      <w:pPr>
        <w:jc w:val="center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 xml:space="preserve">Interactivo F13: </w:t>
      </w:r>
      <w:proofErr w:type="spellStart"/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Webquest</w:t>
      </w:r>
      <w:proofErr w:type="spellEnd"/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76D50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Nombre del guión a que corresponde el ejercicio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376D50" w:rsidRDefault="00376D50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76D50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MA_09_03_CO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DATOS DEL RECURSO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6F374C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Título del recurso (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green"/>
          <w:lang w:val="es-ES_tradnl"/>
        </w:rPr>
        <w:t>65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 xml:space="preserve"> caracteres máx.)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6F374C" w:rsidRDefault="006F374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A19C7" w:rsidRPr="00AC3F94" w:rsidRDefault="00AC3F94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AC3F94">
        <w:rPr>
          <w:rFonts w:ascii="Arial" w:hAnsi="Arial" w:cs="Arial"/>
          <w:color w:val="000000" w:themeColor="text1"/>
          <w:sz w:val="18"/>
          <w:szCs w:val="18"/>
          <w:lang w:val="es-ES"/>
        </w:rPr>
        <w:t>Los números imaginarios y los números complejos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AC3F94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Descripción del recurso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AC3F94" w:rsidRDefault="00AC3F94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A19C7" w:rsidRPr="00AC3F94" w:rsidRDefault="00644F85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AC3F94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Interactivo que  </w:t>
      </w:r>
      <w:r w:rsidR="00AC3F94" w:rsidRPr="00AC3F94">
        <w:rPr>
          <w:rFonts w:ascii="Arial" w:hAnsi="Arial" w:cs="Arial"/>
          <w:color w:val="000000" w:themeColor="text1"/>
          <w:sz w:val="18"/>
          <w:szCs w:val="18"/>
          <w:lang w:val="es-ES"/>
        </w:rPr>
        <w:t>explica</w:t>
      </w:r>
      <w:r w:rsidRPr="00AC3F94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2C2DAE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conjunto de </w:t>
      </w:r>
      <w:r w:rsidRPr="00AC3F94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los números complejos </w:t>
      </w:r>
      <w:r w:rsidR="00AC3F94" w:rsidRPr="00AC3F94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y </w:t>
      </w:r>
      <w:r w:rsidR="002C2DAE">
        <w:rPr>
          <w:rFonts w:ascii="Arial" w:hAnsi="Arial" w:cs="Arial"/>
          <w:color w:val="000000" w:themeColor="text1"/>
          <w:sz w:val="18"/>
          <w:szCs w:val="18"/>
          <w:lang w:val="es-ES"/>
        </w:rPr>
        <w:t>sus subconjuntos</w:t>
      </w:r>
    </w:p>
    <w:p w:rsidR="00644F85" w:rsidRPr="000438A9" w:rsidRDefault="00644F85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6F374C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Palabras clave del recurso (separadas por comas ",")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6F374C" w:rsidRDefault="006F374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6F374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números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proofErr w:type="spellStart"/>
      <w:r w:rsidR="00CD00B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complejos,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números</w:t>
      </w:r>
      <w:proofErr w:type="spellEnd"/>
      <w:r w:rsidR="000546FC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imaginarios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Tiempo estimado (minutos)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20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401"/>
        <w:gridCol w:w="1354"/>
        <w:gridCol w:w="362"/>
        <w:gridCol w:w="2462"/>
        <w:gridCol w:w="418"/>
        <w:gridCol w:w="2235"/>
        <w:gridCol w:w="418"/>
      </w:tblGrid>
      <w:tr w:rsidR="003A19C7" w:rsidRPr="000438A9" w:rsidTr="001079E1">
        <w:tc>
          <w:tcPr>
            <w:tcW w:w="1248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3A19C7" w:rsidRPr="000438A9" w:rsidTr="001079E1">
        <w:tc>
          <w:tcPr>
            <w:tcW w:w="1248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A19C7" w:rsidRPr="000438A9" w:rsidTr="001079E1">
        <w:tc>
          <w:tcPr>
            <w:tcW w:w="453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x</w:t>
            </w:r>
          </w:p>
        </w:tc>
      </w:tr>
      <w:tr w:rsidR="003A19C7" w:rsidRPr="00376D50" w:rsidTr="001079E1">
        <w:tc>
          <w:tcPr>
            <w:tcW w:w="453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3A19C7" w:rsidRPr="000438A9" w:rsidTr="001079E1">
        <w:tc>
          <w:tcPr>
            <w:tcW w:w="453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3A19C7" w:rsidRPr="000438A9" w:rsidTr="001079E1">
        <w:tc>
          <w:tcPr>
            <w:tcW w:w="453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A19C7" w:rsidRPr="000438A9" w:rsidTr="001079E1">
        <w:tc>
          <w:tcPr>
            <w:tcW w:w="212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559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3A19C7" w:rsidRPr="000438A9" w:rsidTr="001079E1">
        <w:tc>
          <w:tcPr>
            <w:tcW w:w="212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3A19C7" w:rsidRPr="000438A9" w:rsidTr="001079E1">
        <w:tc>
          <w:tcPr>
            <w:tcW w:w="212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Nivel del ejercicio, 1-Fácil, 2-Medio ó 3-Difícil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2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546FC" w:rsidRDefault="003A19C7" w:rsidP="000438A9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 DEL PROFESOR</w:t>
      </w:r>
    </w:p>
    <w:p w:rsidR="000438A9" w:rsidRPr="000546FC" w:rsidRDefault="000438A9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Objetivo</w:t>
      </w:r>
    </w:p>
    <w:p w:rsidR="000438A9" w:rsidRPr="000546FC" w:rsidRDefault="000438A9" w:rsidP="000438A9">
      <w:pPr>
        <w:tabs>
          <w:tab w:val="left" w:pos="1005"/>
        </w:tabs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ab/>
      </w:r>
    </w:p>
    <w:p w:rsidR="000438A9" w:rsidRPr="000546FC" w:rsidRDefault="000438A9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Con este interactivo  se pretende q</w:t>
      </w:r>
      <w:r w:rsid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ue los estudiantes reconozcan 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los números complejos como una extensión de los números real</w:t>
      </w:r>
      <w:r w:rsid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es  y de la unidad imaginaria </w:t>
      </w:r>
      <w:r w:rsidR="000546FC" w:rsidRPr="000546FC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, y algunas de sus características.</w:t>
      </w:r>
    </w:p>
    <w:p w:rsidR="000438A9" w:rsidRPr="000546FC" w:rsidRDefault="000438A9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0438A9" w:rsidRPr="000546FC" w:rsidRDefault="000438A9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Propuesta.</w:t>
      </w:r>
    </w:p>
    <w:p w:rsidR="000438A9" w:rsidRPr="000546FC" w:rsidRDefault="000438A9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0438A9" w:rsidRPr="000546FC" w:rsidRDefault="000438A9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Durante la presentación </w:t>
      </w:r>
    </w:p>
    <w:p w:rsidR="000438A9" w:rsidRPr="000546FC" w:rsidRDefault="000438A9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26538" w:rsidRPr="000546FC" w:rsidRDefault="000438A9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El estudiante encontrara dos pestañas</w:t>
      </w:r>
      <w:r w:rsidR="00B8343A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y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se le pedirá que comience por </w:t>
      </w:r>
      <w:r w:rsidR="00B8343A">
        <w:rPr>
          <w:rFonts w:ascii="Arial" w:hAnsi="Arial" w:cs="Arial"/>
          <w:color w:val="000000" w:themeColor="text1"/>
          <w:sz w:val="18"/>
          <w:szCs w:val="18"/>
          <w:lang w:val="es-ES_tradnl"/>
        </w:rPr>
        <w:t>la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que lleva como 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título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887477" w:rsidRPr="00B8343A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N</w:t>
      </w:r>
      <w:r w:rsidRPr="00B8343A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úmeros</w:t>
      </w:r>
      <w:r w:rsidR="00D26538" w:rsidRPr="00B8343A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 imaginarios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en ella </w:t>
      </w:r>
      <w:r w:rsidR="00B8343A">
        <w:rPr>
          <w:rFonts w:ascii="Arial" w:hAnsi="Arial" w:cs="Arial"/>
          <w:color w:val="000000" w:themeColor="text1"/>
          <w:sz w:val="18"/>
          <w:szCs w:val="18"/>
          <w:lang w:val="es-ES_tradnl"/>
        </w:rPr>
        <w:t>se presenta de dó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nde </w:t>
      </w:r>
      <w:r w:rsidR="00B8343A">
        <w:rPr>
          <w:rFonts w:ascii="Arial" w:hAnsi="Arial" w:cs="Arial"/>
          <w:color w:val="000000" w:themeColor="text1"/>
          <w:sz w:val="18"/>
          <w:szCs w:val="18"/>
          <w:lang w:val="es-ES_tradnl"/>
        </w:rPr>
        <w:t>surgió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unidad i</w:t>
      </w:r>
      <w:r w:rsidR="00B8343A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maginaria </w:t>
      </w:r>
      <w:r w:rsidR="00B8343A" w:rsidRPr="00B8343A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="00CD2189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a qué es igual </w:t>
      </w:r>
      <w:r w:rsidR="00CD2189" w:rsidRPr="00CD2189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="00CD2189">
        <w:rPr>
          <w:rFonts w:ascii="Arial" w:hAnsi="Arial" w:cs="Arial"/>
          <w:color w:val="000000" w:themeColor="text1"/>
          <w:sz w:val="18"/>
          <w:szCs w:val="18"/>
          <w:lang w:val="es-ES_tradnl"/>
        </w:rPr>
        <w:t>, qué son los números imaginarios y có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mo  se comportan las poten</w:t>
      </w:r>
      <w:r w:rsidR="00644F85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cias de </w:t>
      </w:r>
      <w:r w:rsidR="00644F85" w:rsidRPr="00CD2189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="00CD2189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  <w:r w:rsidR="00644F85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CD2189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El contenido que despliega esta </w:t>
      </w:r>
      <w:r w:rsidR="00644F85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pestaña tiene la 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finalidad </w:t>
      </w:r>
      <w:r w:rsidR="00CD2189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de 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que el estudiante se apropie de</w:t>
      </w:r>
      <w:r w:rsidR="00644F85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los conceptos 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unidad</w:t>
      </w:r>
      <w:r w:rsidR="00CD2189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imaginaria  </w:t>
      </w:r>
      <w:r w:rsidR="00CD2189" w:rsidRPr="00CD2189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="00644F85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números imaginarios, </w:t>
      </w:r>
      <w:r w:rsidR="00CD2189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números complejos.</w:t>
      </w:r>
    </w:p>
    <w:p w:rsidR="00DD757E" w:rsidRPr="000546FC" w:rsidRDefault="00D26538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lastRenderedPageBreak/>
        <w:t xml:space="preserve">Posteriormente el estudiante deberá dar clic en la segunda pestaña que lleva como título  </w:t>
      </w:r>
      <w:r w:rsidR="0062080B" w:rsidRPr="0062080B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N</w:t>
      </w:r>
      <w:r w:rsidRPr="0062080B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úmeros </w:t>
      </w:r>
      <w:r w:rsidR="0062080B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complejos. 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62080B">
        <w:rPr>
          <w:rFonts w:ascii="Arial" w:hAnsi="Arial" w:cs="Arial"/>
          <w:color w:val="000000" w:themeColor="text1"/>
          <w:sz w:val="18"/>
          <w:szCs w:val="18"/>
          <w:lang w:val="es-ES_tradnl"/>
        </w:rPr>
        <w:t>E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n ella el estudiante encontrar</w:t>
      </w:r>
      <w:r w:rsidR="0062080B">
        <w:rPr>
          <w:rFonts w:ascii="Arial" w:hAnsi="Arial" w:cs="Arial"/>
          <w:color w:val="000000" w:themeColor="text1"/>
          <w:sz w:val="18"/>
          <w:szCs w:val="18"/>
          <w:lang w:val="es-ES_tradnl"/>
        </w:rPr>
        <w:t>á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una presentación de los números</w:t>
      </w:r>
      <w:r w:rsidR="0037420B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imaginarios y los números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complejos la cual es muy </w:t>
      </w:r>
      <w:r w:rsidR="0037420B">
        <w:rPr>
          <w:rFonts w:ascii="Arial" w:hAnsi="Arial" w:cs="Arial"/>
          <w:color w:val="000000" w:themeColor="text1"/>
          <w:sz w:val="18"/>
          <w:szCs w:val="18"/>
          <w:lang w:val="es-ES_tradnl"/>
        </w:rPr>
        <w:t>clara, s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encilla </w:t>
      </w:r>
      <w:r w:rsidR="0037420B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y dinámica 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para que los estudiantes logren conceptualizar</w:t>
      </w:r>
      <w:r w:rsidR="0037420B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los; y por </w:t>
      </w:r>
      <w:r w:rsidR="00644F85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otra parte se muestra </w:t>
      </w:r>
      <w:r w:rsidR="00DD757E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que</w:t>
      </w:r>
      <w:r w:rsidR="00226EE1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los números naturales, enteros</w:t>
      </w:r>
      <w:r w:rsidR="00DD757E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, racionales, irracionales, reales y los imaginarios son subconjuntos de los números complejos.</w:t>
      </w:r>
    </w:p>
    <w:p w:rsidR="00DD757E" w:rsidRPr="000546FC" w:rsidRDefault="00DD757E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D757E" w:rsidRPr="000546FC" w:rsidRDefault="00DD757E" w:rsidP="00DD757E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Después de la presentación:</w:t>
      </w:r>
    </w:p>
    <w:p w:rsidR="00DD757E" w:rsidRPr="000546FC" w:rsidRDefault="00DD757E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3A19C7" w:rsidRPr="000546FC" w:rsidRDefault="00DD757E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 puede realizar preguntas como ¿Qué es la unidad imaginaria? , ¿Qué son los números imaginarios? ¿Qué se puede decir de las potencias de </w:t>
      </w:r>
      <w:r w:rsidRPr="00226EE1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?, ¿Qué son los números complejos? 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, ¿De qué forma se relacionan los números imaginarios con los complejos?</w:t>
      </w:r>
      <w:r w:rsidR="00D26538"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¿Cómo se relacionan los reales con los </w:t>
      </w:r>
      <w:r w:rsidR="00226EE1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números complejos?</w:t>
      </w:r>
    </w:p>
    <w:p w:rsidR="00DD757E" w:rsidRPr="000546FC" w:rsidRDefault="00DD757E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D757E" w:rsidRPr="000546FC" w:rsidRDefault="00DD757E" w:rsidP="000438A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>Estas preguntas buscan medir el nivel de conceptualización que los estudiantes lograron c</w:t>
      </w:r>
      <w:r w:rsidR="00226EE1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on el interactivo, además </w:t>
      </w:r>
      <w:r w:rsidRPr="000546F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observar el nivel de expresividad matemática que tiene cada uno de los estudiantes.  </w:t>
      </w:r>
    </w:p>
    <w:p w:rsidR="000438A9" w:rsidRPr="000546FC" w:rsidRDefault="000438A9" w:rsidP="000438A9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</w:p>
    <w:p w:rsidR="0015771D" w:rsidRDefault="000438A9" w:rsidP="000438A9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0546FC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 DEL ALUMNO</w:t>
      </w:r>
      <w:r w:rsidR="0015771D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</w:t>
      </w:r>
    </w:p>
    <w:p w:rsidR="0015771D" w:rsidRDefault="0015771D" w:rsidP="000438A9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</w:p>
    <w:p w:rsidR="000438A9" w:rsidRPr="000546FC" w:rsidRDefault="0015771D" w:rsidP="0015771D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</w:pPr>
      <w: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El número imaginario </w:t>
      </w:r>
      <w:r w:rsidRPr="0015771D">
        <w:rPr>
          <w:rFonts w:ascii="Arial" w:hAnsi="Arial" w:cs="Arial"/>
          <w:b/>
          <w:i/>
          <w:color w:val="000000" w:themeColor="text1"/>
          <w:sz w:val="18"/>
          <w:szCs w:val="18"/>
          <w:lang w:val="es-ES_tradnl"/>
        </w:rPr>
        <w:t>i</w:t>
      </w:r>
    </w:p>
    <w:p w:rsidR="0015771D" w:rsidRDefault="0015771D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</w:pPr>
    </w:p>
    <w:p w:rsidR="000438A9" w:rsidRPr="000546FC" w:rsidRDefault="000438A9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El concepto de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número imaginario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se introdujo con la intención de nombrar un número cuyo cuadrado fuese</w:t>
      </w:r>
      <w:r w:rsidR="000B2E4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 xml:space="preserve"> igual a 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−1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, es decir,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vertAlign w:val="superscript"/>
          <w:lang w:val="es-ES" w:eastAsia="es-ES"/>
        </w:rPr>
        <w:t>2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= −1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, ya que no existe ningún número real cuyo cuadrado sea un número negativo.</w:t>
      </w:r>
    </w:p>
    <w:p w:rsidR="0015771D" w:rsidRDefault="000438A9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</w:pP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El número complejo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funciona, respecto a las operaciones de suma y producto, de la misma forma que lo hacen los números reales. Esto es, dados los números reales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,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y el número imaginario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, existe el producto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proofErr w:type="spellStart"/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, y la suma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proofErr w:type="spellStart"/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. De este modo, la expresión formada por la suma de un número real y el producto de un número real por el número imaginario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se denomina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número complejo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. En general, cualquier raíz de un número negativo puede expresarse como el producto de un número real por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.</w:t>
      </w:r>
      <w:r w:rsidR="001577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 xml:space="preserve"> </w:t>
      </w:r>
    </w:p>
    <w:p w:rsidR="0015771D" w:rsidRDefault="0015771D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</w:pPr>
    </w:p>
    <w:p w:rsidR="000438A9" w:rsidRPr="0015771D" w:rsidRDefault="0015771D" w:rsidP="000438A9">
      <w:pPr>
        <w:spacing w:line="285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val="es-ES" w:eastAsia="es-ES"/>
        </w:rPr>
      </w:pPr>
      <w:r w:rsidRPr="0015771D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val="es-ES" w:eastAsia="es-ES"/>
        </w:rPr>
        <w:t>Los números complejos</w:t>
      </w:r>
    </w:p>
    <w:p w:rsidR="000438A9" w:rsidRPr="000546FC" w:rsidRDefault="000438A9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bookmarkStart w:id="0" w:name="IDA0ID2F"/>
      <w:bookmarkStart w:id="1" w:name="IDAFMD2F"/>
      <w:bookmarkEnd w:id="0"/>
      <w:bookmarkEnd w:id="1"/>
    </w:p>
    <w:p w:rsidR="000438A9" w:rsidRDefault="000438A9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</w:pP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El conjunto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 xml:space="preserve">de los números complejos está formado por expresiones </w:t>
      </w:r>
      <w:r w:rsidR="000B2E4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 xml:space="preserve">de la </w:t>
      </w:r>
      <w:proofErr w:type="spellStart"/>
      <w:r w:rsidR="000B2E4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foma</w:t>
      </w:r>
      <w:proofErr w:type="spellEnd"/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: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proofErr w:type="spellStart"/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que contienen un par ordenado de números reales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(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,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, en el que,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es la parte real, y la parte imaginaria está compuesta por el número real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y el número imaginario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que cumple la condición: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vertAlign w:val="superscript"/>
          <w:lang w:val="es-ES" w:eastAsia="es-ES"/>
        </w:rPr>
        <w:t>2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= −1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.</w:t>
      </w:r>
    </w:p>
    <w:p w:rsidR="00C16E8D" w:rsidRPr="000546FC" w:rsidRDefault="00C16E8D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</w:p>
    <w:p w:rsidR="000438A9" w:rsidRDefault="000438A9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</w:pP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De esta forma, los números reales pueden considerarse números con la parte imaginaria nula</w:t>
      </w:r>
      <w:r w:rsidR="00C16E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 xml:space="preserve"> 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(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+ 0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=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. En caso de que sea cero la parte real,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(0 + </w:t>
      </w:r>
      <w:proofErr w:type="spellStart"/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= </w:t>
      </w:r>
      <w:proofErr w:type="spellStart"/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, los números complejos se denominan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Pr="000546F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imaginarios puros</w:t>
      </w:r>
      <w:r w:rsidRPr="000546FC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  <w:t>.</w:t>
      </w:r>
    </w:p>
    <w:p w:rsidR="00C16E8D" w:rsidRPr="000546FC" w:rsidRDefault="00C16E8D" w:rsidP="000438A9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val="es-ES" w:eastAsia="es-ES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bookmarkStart w:id="2" w:name="IDAJUD2F"/>
      <w:bookmarkEnd w:id="2"/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DATOS DEL INTERACTIVO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shd w:val="clear" w:color="auto" w:fill="E0E0E0"/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INTERACTIVO</w:t>
      </w:r>
    </w:p>
    <w:p w:rsidR="003A19C7" w:rsidRPr="000438A9" w:rsidRDefault="003A19C7" w:rsidP="000438A9">
      <w:pPr>
        <w:ind w:left="142" w:hanging="142"/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Número de pestañas del interactivo (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green"/>
          <w:lang w:val="es-ES_tradnl"/>
        </w:rPr>
        <w:t>1, 2, 4, 6 u 8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PARA CADA PESTAÑA DE ESTE INCISO COPIA EL SIGUIENTE BLOQUE </w:t>
      </w:r>
      <w:r w:rsidRPr="000438A9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PESTAÑA #...  4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C16E8D" w:rsidRDefault="003A19C7" w:rsidP="000438A9">
      <w:pPr>
        <w:ind w:left="142" w:hanging="142"/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Título (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green"/>
          <w:lang w:val="es-ES_tradnl"/>
        </w:rPr>
        <w:t>65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 xml:space="preserve"> caracteres máx.)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3A19C7" w:rsidRPr="000438A9" w:rsidRDefault="00C16E8D" w:rsidP="000438A9">
      <w:pPr>
        <w:ind w:left="142" w:hanging="142"/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¿Qué son los números imaginarios y los números complejos</w:t>
      </w:r>
      <w:r w:rsidR="003A19C7" w:rsidRPr="000438A9">
        <w:rPr>
          <w:rFonts w:ascii="Arial" w:hAnsi="Arial" w:cs="Arial"/>
          <w:color w:val="000000" w:themeColor="text1"/>
          <w:sz w:val="22"/>
          <w:szCs w:val="22"/>
          <w:lang w:val="es-ES"/>
        </w:rPr>
        <w:t>?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C16E8D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Instrucción (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green"/>
          <w:lang w:val="es-ES_tradnl"/>
        </w:rPr>
        <w:t>68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 xml:space="preserve"> caracteres máx.)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3A19C7" w:rsidRPr="000438A9" w:rsidRDefault="00C16E8D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Selecciona una imagen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bookmarkStart w:id="3" w:name="_GoBack"/>
      <w:bookmarkEnd w:id="3"/>
    </w:p>
    <w:p w:rsidR="003A19C7" w:rsidRPr="000438A9" w:rsidRDefault="003A19C7" w:rsidP="000438A9">
      <w:pPr>
        <w:shd w:val="clear" w:color="auto" w:fill="99CCFF"/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PESTAÑA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1</w:t>
      </w:r>
    </w:p>
    <w:p w:rsidR="00887477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Título de pestaña (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green"/>
          <w:lang w:val="es-ES_tradnl"/>
        </w:rPr>
        <w:t>20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 xml:space="preserve"> caracteres máximo)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887477" w:rsidRDefault="0088747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88747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N</w:t>
      </w:r>
      <w:r w:rsidR="002B65D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úmeros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imaginarios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3A19C7" w:rsidRPr="000438A9" w:rsidTr="001079E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3A19C7" w:rsidRPr="00376D50" w:rsidTr="001079E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Imagen 1 (borrar si no se ocupa):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>Shutterstock</w:t>
      </w:r>
      <w:proofErr w:type="spellEnd"/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 xml:space="preserve"> o descripción de ilustración a crear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>Nombre de archivo codificado (ejemplo, CI_S3_G1_REC10_F1.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yellow"/>
          <w:lang w:val="es-ES_tradnl"/>
        </w:rPr>
        <w:t>PNG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>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9C1F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MA_S1_03_IMG04_F1</w:t>
      </w:r>
    </w:p>
    <w:p w:rsidR="001F5DC1" w:rsidRPr="000438A9" w:rsidRDefault="001F5DC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1F5DC1" w:rsidRPr="000438A9" w:rsidRDefault="004823E8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noProof/>
          <w:color w:val="000000" w:themeColor="text1"/>
          <w:sz w:val="22"/>
          <w:szCs w:val="22"/>
          <w:lang w:val="es-ES" w:eastAsia="es-ES"/>
        </w:rPr>
        <w:drawing>
          <wp:inline distT="0" distB="0" distL="0" distR="0">
            <wp:extent cx="2362200" cy="2495550"/>
            <wp:effectExtent l="19050" t="0" r="0" b="0"/>
            <wp:docPr id="4" name="Imagen 2" descr="H:\planeta\guion 3\imagenes 3\MA_S1_03_IMG04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3\imagenes 3\MA_S1_03_IMG04_F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C16E8D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>OPCIONAL Pie de imagen 1 (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yellow"/>
          <w:lang w:val="es-ES_tradnl"/>
        </w:rPr>
        <w:t>130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 xml:space="preserve"> caracteres máx., se puede usar cursivas)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9C1F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3A19C7" w:rsidRPr="000438A9" w:rsidRDefault="00C16E8D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Representación de la</w:t>
      </w:r>
      <w:r w:rsidR="009C1F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unidad imaginaria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  <w:r w:rsidR="009C1F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Texto</w:t>
      </w:r>
      <w:r w:rsidR="009C1F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           </w:t>
      </w:r>
    </w:p>
    <w:p w:rsidR="009C1F3C" w:rsidRPr="000438A9" w:rsidRDefault="009C1F3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2B65D5" w:rsidRPr="000438A9" w:rsidRDefault="002B65D5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 xml:space="preserve">Números imaginarios </w:t>
      </w:r>
    </w:p>
    <w:p w:rsidR="002B65D5" w:rsidRPr="000438A9" w:rsidRDefault="002B65D5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</w:p>
    <w:p w:rsidR="00BF4289" w:rsidRPr="000438A9" w:rsidRDefault="00BF4289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7862F1" w:rsidRPr="000438A9" w:rsidRDefault="007862F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¿Existe algún número  real que elevado al cuadrado de cómo resultado un número negativo?</w:t>
      </w:r>
    </w:p>
    <w:p w:rsidR="007862F1" w:rsidRPr="000438A9" w:rsidRDefault="007862F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165168" w:rsidRDefault="00BF4289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Siempre que se quiera elevar un número real  a su cuadrado el resultado siempre será positivo no importa si el número 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que se tome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es positivo o negativo</w:t>
      </w:r>
      <w:r w:rsidR="00165168">
        <w:rPr>
          <w:rFonts w:ascii="Arial" w:hAnsi="Arial" w:cs="Arial"/>
          <w:color w:val="000000" w:themeColor="text1"/>
          <w:sz w:val="22"/>
          <w:szCs w:val="22"/>
          <w:lang w:val="es-ES_tradnl"/>
        </w:rPr>
        <w:t>, por ejemplo, ¿cuál es el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número que ele</w:t>
      </w:r>
      <w:r w:rsidR="00165168">
        <w:rPr>
          <w:rFonts w:ascii="Arial" w:hAnsi="Arial" w:cs="Arial"/>
          <w:color w:val="000000" w:themeColor="text1"/>
          <w:sz w:val="22"/>
          <w:szCs w:val="22"/>
          <w:lang w:val="es-ES_tradnl"/>
        </w:rPr>
        <w:t>vado al cuadrado es igual a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-1</w:t>
      </w:r>
      <w:r w:rsidR="00165168">
        <w:rPr>
          <w:rFonts w:ascii="Arial" w:hAnsi="Arial" w:cs="Arial"/>
          <w:color w:val="000000" w:themeColor="text1"/>
          <w:sz w:val="22"/>
          <w:szCs w:val="22"/>
          <w:lang w:val="es-ES_tradnl"/>
        </w:rPr>
        <w:t>? E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n los números reales </w:t>
      </w:r>
      <w:r w:rsidR="00165168">
        <w:rPr>
          <w:rFonts w:ascii="Arial" w:hAnsi="Arial" w:cs="Arial"/>
          <w:color w:val="000000" w:themeColor="text1"/>
          <w:sz w:val="22"/>
          <w:szCs w:val="22"/>
          <w:lang w:val="es-ES_tradnl"/>
        </w:rPr>
        <w:t>existen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dos posibilidades</w:t>
      </w:r>
      <w:r w:rsidR="00165168">
        <w:rPr>
          <w:rFonts w:ascii="Arial" w:hAnsi="Arial" w:cs="Arial"/>
          <w:color w:val="000000" w:themeColor="text1"/>
          <w:sz w:val="22"/>
          <w:szCs w:val="22"/>
          <w:lang w:val="es-ES_tradnl"/>
        </w:rPr>
        <w:t>:</w:t>
      </w:r>
    </w:p>
    <w:p w:rsidR="00165168" w:rsidRDefault="00165168" w:rsidP="00165168">
      <w:pPr>
        <w:jc w:val="center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1 × 1 o  (-1) × (-1)</w:t>
      </w:r>
    </w:p>
    <w:p w:rsidR="00BF4289" w:rsidRPr="000438A9" w:rsidRDefault="00165168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E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n los dos casos el resultado es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igual a 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1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. E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n conclusión no existe ningún número real que elevado al cuadrado de como resultado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-1;</w:t>
      </w:r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es decir que en los números reales no existe  la raíz cuadrada de -1</w:t>
      </w:r>
      <w:proofErr w:type="gramStart"/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</w:t>
      </w:r>
      <w:r w:rsidR="00BF4289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m:oMath>
        <m:rad>
          <m:ra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g>
          <m:e>
            <m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m:t>-</m:t>
            </m:r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1</m:t>
            </m:r>
          </m:e>
        </m:rad>
      </m:oMath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,</w:t>
      </w:r>
      <w:proofErr w:type="gramEnd"/>
      <w:r w:rsidR="007862F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ni mucho menos la raíz cuadrada de ningún número negativo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. Luego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si  </w:t>
      </w:r>
      <w:r w:rsidR="00E31EA5" w:rsidRPr="00165168">
        <w:rPr>
          <w:rFonts w:ascii="Arial" w:hAnsi="Arial" w:cs="Arial"/>
          <w:color w:val="000000" w:themeColor="text1"/>
          <w:position w:val="-6"/>
          <w:sz w:val="22"/>
          <w:szCs w:val="22"/>
          <w:lang w:val="es-ES_tradnl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5.75pt" o:ole="">
            <v:imagedata r:id="rId6" o:title=""/>
          </v:shape>
          <o:OLEObject Type="Embed" ProgID="Equation.DSMT4" ShapeID="_x0000_i1025" DrawAspect="Content" ObjectID="_1495433474" r:id="rId7"/>
        </w:objec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no existe </w:t>
      </w:r>
      <m:oMath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 xml:space="preserve"> 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g>
          <m:e>
            <m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m:t>-</m:t>
            </m:r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lang w:val="es-ES_tradnl"/>
              </w:rPr>
              <m:t>a</m:t>
            </m:r>
          </m:e>
        </m:rad>
      </m:oMath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 en los números reales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;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por esta razón se ve la necesidad de ampliar el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conjunto de los números reales con 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los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números imaginarios.</w:t>
      </w:r>
    </w:p>
    <w:p w:rsidR="007862F1" w:rsidRPr="000438A9" w:rsidRDefault="007862F1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</w:p>
    <w:p w:rsidR="009C1F3C" w:rsidRPr="000438A9" w:rsidRDefault="009C1F3C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La unidad imaginaria</w:t>
      </w:r>
      <w:r w:rsidR="002B65D5"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</w:p>
    <w:p w:rsidR="009C1F3C" w:rsidRPr="000438A9" w:rsidRDefault="009C1F3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9C1F3C" w:rsidRPr="000438A9" w:rsidRDefault="009C1F3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lastRenderedPageBreak/>
        <w:t xml:space="preserve">Cuando se habla de la unidad imaginaria </w:t>
      </w:r>
      <w:r w:rsidR="002B65D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se hace referencia a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  <w:r w:rsidR="002B65D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 definida como la raíz cuadrada de -1, 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es decir que </w:t>
      </w:r>
      <w:r w:rsidR="002B65D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g>
          <m:e>
            <m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m:t>-</m:t>
            </m:r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1</m:t>
            </m:r>
          </m:e>
        </m:rad>
      </m:oMath>
      <w:r w:rsidR="002B65D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,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visto de otro modo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.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=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-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1</m:t>
        </m:r>
      </m:oMath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</w:t>
      </w:r>
      <w:r w:rsidR="002B65D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este nuevo número no pertenece al conjunto de los  número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>s</w:t>
      </w:r>
      <w:r w:rsidR="002B65D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real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>es</w:t>
      </w:r>
      <w:r w:rsidR="002B65D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si no que hace parte de los números imaginarios, reciben este nombre de imaginarios por que no existen en el mundo real, sino que es una invención de la imaginación </w:t>
      </w:r>
      <w:r w:rsidR="0077350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del hombre.</w:t>
      </w:r>
    </w:p>
    <w:p w:rsidR="00773501" w:rsidRPr="000438A9" w:rsidRDefault="0077350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05D5E" w:rsidRPr="000438A9" w:rsidRDefault="00305D5E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773501" w:rsidRPr="000438A9" w:rsidRDefault="00773501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Los números imaginarios</w:t>
      </w:r>
    </w:p>
    <w:p w:rsidR="00773501" w:rsidRPr="000438A9" w:rsidRDefault="00773501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</w:p>
    <w:p w:rsidR="00AA37CC" w:rsidRPr="000438A9" w:rsidRDefault="00773501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Partiendo de la unidad imaginaria</w:t>
      </w:r>
      <m:oMath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 xml:space="preserve">  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  <w:r w:rsidR="00AA37C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se puede crear un nuevo conjun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>to de números el cual se llamará el conjunto de los</w:t>
      </w:r>
      <w:r w:rsidR="00AA37C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E31EA5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 xml:space="preserve">números imaginarios. 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>Es</w:t>
      </w:r>
      <w:r w:rsidR="00AA37C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te conjunto se define como todos los números reales multiplicado por la unidad imaginaria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es decir los </w:t>
      </w:r>
      <w:r w:rsidR="00AA37C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números imaginarios son todos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los p tal que </w:t>
      </w:r>
      <w:r w:rsidR="00E31EA5" w:rsidRPr="00E31EA5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 xml:space="preserve">p = </w:t>
      </w:r>
      <w:proofErr w:type="spellStart"/>
      <w:r w:rsidR="00E31EA5" w:rsidRPr="00E31EA5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ai</w:t>
      </w:r>
      <w:proofErr w:type="spellEnd"/>
      <w:r w:rsidR="00E31EA5" w:rsidRPr="00E31EA5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,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AA37C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para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todo </w:t>
      </w:r>
      <w:r w:rsidR="00E31EA5" w:rsidRPr="00E31EA5">
        <w:rPr>
          <w:rFonts w:ascii="Arial" w:hAnsi="Arial" w:cs="Arial"/>
          <w:color w:val="000000" w:themeColor="text1"/>
          <w:position w:val="-10"/>
          <w:sz w:val="22"/>
          <w:szCs w:val="22"/>
          <w:lang w:val="es-ES_tradnl"/>
        </w:rPr>
        <w:object w:dxaOrig="1460" w:dyaOrig="380">
          <v:shape id="_x0000_i1026" type="#_x0000_t75" style="width:81.75pt;height:21pt" o:ole="">
            <v:imagedata r:id="rId8" o:title=""/>
          </v:shape>
          <o:OLEObject Type="Embed" ProgID="Equation.DSMT4" ShapeID="_x0000_i1026" DrawAspect="Content" ObjectID="_1495433475" r:id="rId9"/>
        </w:object>
      </w:r>
      <w:r w:rsidR="00AA37C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</w:p>
    <w:p w:rsidR="00305D5E" w:rsidRPr="000438A9" w:rsidRDefault="00AA37C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Estos nuevos números</w:t>
      </w:r>
      <w:r w:rsidR="00387A14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imaginarios son utilizados para darle sentido a las raíces con índice par </w:t>
      </w:r>
      <w:r w:rsidR="00305D5E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y radical negativo</w: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por ejemplo, </w:t>
      </w:r>
      <w:r w:rsidR="00E31EA5" w:rsidRPr="00E31EA5">
        <w:rPr>
          <w:rFonts w:ascii="Arial" w:hAnsi="Arial" w:cs="Arial"/>
          <w:color w:val="000000" w:themeColor="text1"/>
          <w:position w:val="-6"/>
          <w:sz w:val="22"/>
          <w:szCs w:val="22"/>
          <w:lang w:val="es-ES_tradnl"/>
        </w:rPr>
        <w:object w:dxaOrig="520" w:dyaOrig="340">
          <v:shape id="_x0000_i1027" type="#_x0000_t75" style="width:29.25pt;height:18.75pt" o:ole="">
            <v:imagedata r:id="rId10" o:title=""/>
          </v:shape>
          <o:OLEObject Type="Embed" ProgID="Equation.DSMT4" ShapeID="_x0000_i1027" DrawAspect="Content" ObjectID="_1495433476" r:id="rId11"/>
        </w:object>
      </w:r>
      <w:r w:rsidR="00E31EA5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es igual a </w:t>
      </w:r>
      <w:r w:rsidR="008B1EAF" w:rsidRPr="00E31EA5">
        <w:rPr>
          <w:rFonts w:ascii="Arial" w:hAnsi="Arial" w:cs="Arial"/>
          <w:color w:val="000000" w:themeColor="text1"/>
          <w:position w:val="-6"/>
          <w:sz w:val="22"/>
          <w:szCs w:val="22"/>
          <w:lang w:val="es-ES_tradnl"/>
        </w:rPr>
        <w:object w:dxaOrig="3140" w:dyaOrig="340">
          <v:shape id="_x0000_i1028" type="#_x0000_t75" style="width:175.5pt;height:18.75pt" o:ole="">
            <v:imagedata r:id="rId12" o:title=""/>
          </v:shape>
          <o:OLEObject Type="Embed" ProgID="Equation.DSMT4" ShapeID="_x0000_i1028" DrawAspect="Content" ObjectID="_1495433477" r:id="rId13"/>
        </w:object>
      </w:r>
      <w:r w:rsidR="00387A14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8B1EAF">
        <w:rPr>
          <w:rFonts w:ascii="Arial" w:hAnsi="Arial" w:cs="Arial"/>
          <w:color w:val="000000" w:themeColor="text1"/>
          <w:sz w:val="22"/>
          <w:szCs w:val="22"/>
          <w:lang w:val="es-ES_tradnl"/>
        </w:rPr>
        <w:t>y 2</w:t>
      </w:r>
      <w:r w:rsidR="008B1EAF" w:rsidRPr="008B1EAF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i</w:t>
      </w:r>
      <w:r w:rsidR="008B1EAF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387A14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es un numero imaginario</w:t>
      </w:r>
      <w:r w:rsidR="00305D5E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</w:p>
    <w:p w:rsidR="00305D5E" w:rsidRPr="000438A9" w:rsidRDefault="00305D5E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</w:p>
    <w:p w:rsidR="00773501" w:rsidRPr="000438A9" w:rsidRDefault="00305D5E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 xml:space="preserve">Potencias de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</w:p>
    <w:p w:rsidR="00773501" w:rsidRPr="000438A9" w:rsidRDefault="0077350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1309BF" w:rsidRDefault="00AF08D6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Para definir </w:t>
      </w: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lang w:val="es-ES_tradnl"/>
              </w:rPr>
              <m:t>i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lang w:val="es-ES_tradnl"/>
              </w:rPr>
              <m:t>n</m:t>
            </m:r>
          </m:sup>
        </m:sSup>
      </m:oMath>
      <w:r w:rsidR="00305D5E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cuando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305D5E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∈N</m:t>
        </m:r>
      </m:oMath>
      <w:r w:rsidR="00305D5E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se debe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>n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tener en cuenta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estas definiciones</w:t>
      </w:r>
      <w:r w:rsidR="001309BF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:</w:t>
      </w:r>
    </w:p>
    <w:p w:rsidR="00AF08D6" w:rsidRDefault="00AF08D6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AF08D6" w:rsidRDefault="00AF08D6" w:rsidP="00AF08D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Cualquier número elevado a la cero es igual a 1.</w:t>
      </w:r>
    </w:p>
    <w:p w:rsidR="001309BF" w:rsidRPr="00AF08D6" w:rsidRDefault="00AF08D6" w:rsidP="0061711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AF08D6">
        <w:rPr>
          <w:rFonts w:ascii="Arial" w:hAnsi="Arial" w:cs="Arial"/>
          <w:color w:val="000000" w:themeColor="text1"/>
          <w:sz w:val="22"/>
          <w:szCs w:val="22"/>
          <w:lang w:val="es-ES_tradnl"/>
        </w:rPr>
        <w:t>Cualqu</w:t>
      </w:r>
      <w:r w:rsidR="00305D5E" w:rsidRPr="00AF08D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ier número elevado a la 1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es igual al</w:t>
      </w:r>
      <w:r w:rsidR="00305D5E" w:rsidRPr="00AF08D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mismo </w:t>
      </w:r>
      <w:r w:rsidR="001309BF" w:rsidRPr="00AF08D6">
        <w:rPr>
          <w:rFonts w:ascii="Arial" w:hAnsi="Arial" w:cs="Arial"/>
          <w:color w:val="000000" w:themeColor="text1"/>
          <w:sz w:val="22"/>
          <w:szCs w:val="22"/>
          <w:lang w:val="es-ES_tradnl"/>
        </w:rPr>
        <w:t>número.</w:t>
      </w:r>
    </w:p>
    <w:p w:rsidR="001309BF" w:rsidRPr="000438A9" w:rsidRDefault="00A27685" w:rsidP="000438A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lang w:val="es-ES_tradnl"/>
              </w:rPr>
              <m:t>i</m:t>
            </m:r>
          </m:e>
          <m:sup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sup>
        </m:sSup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=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.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=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-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1</m:t>
        </m:r>
      </m:oMath>
      <w:r w:rsidR="001309BF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</w:p>
    <w:p w:rsidR="001309BF" w:rsidRPr="000438A9" w:rsidRDefault="001309BF" w:rsidP="007279D2">
      <w:pPr>
        <w:pStyle w:val="Prrafodelista"/>
        <w:ind w:left="405"/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05D5E" w:rsidRPr="000438A9" w:rsidRDefault="000D0ADA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Las</w:t>
      </w:r>
      <w:r w:rsidR="001309BF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siguientes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son las</w:t>
      </w:r>
      <w:r w:rsidR="001309BF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potencias de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  <w:r w:rsidR="001309BF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:</w:t>
      </w:r>
    </w:p>
    <w:p w:rsidR="001309BF" w:rsidRPr="000438A9" w:rsidRDefault="001309BF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305D5E" w:rsidRPr="000438A9" w:rsidTr="00305D5E">
        <w:tc>
          <w:tcPr>
            <w:tcW w:w="4886" w:type="dxa"/>
          </w:tcPr>
          <w:p w:rsidR="00305D5E" w:rsidRPr="000438A9" w:rsidRDefault="00305D5E" w:rsidP="000438A9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Potencia</w:t>
            </w:r>
            <w:r w:rsidR="00934A3F" w:rsidRPr="000438A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s</w:t>
            </w:r>
            <m:oMath>
              <m:r>
                <m:rPr>
                  <m:sty m:val="bi"/>
                </m:rPr>
                <w:rPr>
                  <w:rFonts w:ascii="Cambria Math" w:hAnsi="Arial" w:cs="Arial"/>
                  <w:color w:val="000000" w:themeColor="text1"/>
                  <w:sz w:val="22"/>
                  <w:szCs w:val="22"/>
                  <w:lang w:val="es-ES_tradnl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es-ES_tradnl"/>
                </w:rPr>
                <m:t>i</m:t>
              </m:r>
            </m:oMath>
          </w:p>
        </w:tc>
        <w:tc>
          <w:tcPr>
            <w:tcW w:w="4886" w:type="dxa"/>
          </w:tcPr>
          <w:p w:rsidR="00305D5E" w:rsidRPr="000438A9" w:rsidRDefault="00934A3F" w:rsidP="000438A9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Justificación</w:t>
            </w:r>
          </w:p>
        </w:tc>
      </w:tr>
      <w:tr w:rsidR="00305D5E" w:rsidRPr="000438A9" w:rsidTr="00305D5E"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0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=1</m:t>
                </m:r>
              </m:oMath>
            </m:oMathPara>
          </w:p>
        </w:tc>
        <w:tc>
          <w:tcPr>
            <w:tcW w:w="4886" w:type="dxa"/>
          </w:tcPr>
          <w:p w:rsidR="00305D5E" w:rsidRPr="000438A9" w:rsidRDefault="00934A3F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Por definición 1  </w:t>
            </w:r>
          </w:p>
        </w:tc>
      </w:tr>
      <w:tr w:rsidR="00305D5E" w:rsidRPr="000438A9" w:rsidTr="00305D5E"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1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i</m:t>
                </m:r>
              </m:oMath>
            </m:oMathPara>
          </w:p>
        </w:tc>
        <w:tc>
          <w:tcPr>
            <w:tcW w:w="4886" w:type="dxa"/>
          </w:tcPr>
          <w:p w:rsidR="00305D5E" w:rsidRPr="000438A9" w:rsidRDefault="00934A3F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Por definición 2.</w:t>
            </w:r>
          </w:p>
        </w:tc>
      </w:tr>
      <w:tr w:rsidR="00305D5E" w:rsidRPr="000438A9" w:rsidTr="00305D5E"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=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4886" w:type="dxa"/>
          </w:tcPr>
          <w:p w:rsidR="00305D5E" w:rsidRPr="000438A9" w:rsidRDefault="00934A3F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Por definición 3.</w:t>
            </w:r>
          </w:p>
        </w:tc>
      </w:tr>
      <w:tr w:rsidR="00305D5E" w:rsidRPr="000438A9" w:rsidTr="00305D5E"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i</m:t>
                </m:r>
              </m:oMath>
            </m:oMathPara>
          </w:p>
        </w:tc>
        <w:tc>
          <w:tcPr>
            <w:tcW w:w="4886" w:type="dxa"/>
          </w:tcPr>
          <w:p w:rsidR="00305D5E" w:rsidRPr="000438A9" w:rsidRDefault="00934A3F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es-ES"/>
                    </w:rPr>
                    <m:t>i</m:t>
                  </m:r>
                </m:e>
                <m:sup>
                  <m:r>
                    <w:rPr>
                      <w:rFonts w:ascii="Cambria Math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color w:val="000000" w:themeColor="text1"/>
                  <w:sz w:val="22"/>
                  <w:szCs w:val="22"/>
                  <w:lang w:val="es-ES"/>
                </w:rPr>
                <m:t>.</m:t>
              </m:r>
              <m:sSup>
                <m:sSupPr>
                  <m:ctrlPr>
                    <w:rPr>
                      <w:rFonts w:ascii="Cambria Math" w:hAnsi="Arial" w:cs="Arial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es-ES"/>
                    </w:rPr>
                    <m:t>i</m:t>
                  </m:r>
                </m:e>
                <m:sup>
                  <m:r>
                    <w:rPr>
                      <w:rFonts w:ascii="Cambria Math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color w:val="000000" w:themeColor="text1"/>
                  <w:sz w:val="22"/>
                  <w:szCs w:val="22"/>
                  <w:lang w:val="es-ES"/>
                </w:rPr>
                <m:t>=</m:t>
              </m:r>
              <m:r>
                <w:rPr>
                  <w:rFonts w:ascii="Cambria Math" w:hAnsi="Arial" w:cs="Arial"/>
                  <w:color w:val="000000" w:themeColor="text1"/>
                  <w:sz w:val="22"/>
                  <w:szCs w:val="22"/>
                  <w:lang w:val="es-ES"/>
                </w:rPr>
                <m:t>-</m:t>
              </m:r>
              <m:r>
                <w:rPr>
                  <w:rFonts w:ascii="Cambria Math" w:hAnsi="Arial" w:cs="Arial"/>
                  <w:color w:val="000000" w:themeColor="text1"/>
                  <w:sz w:val="22"/>
                  <w:szCs w:val="22"/>
                  <w:lang w:val="es-ES"/>
                </w:rPr>
                <m:t>1.</m:t>
              </m:r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es-ES"/>
                </w:rPr>
                <m:t>i</m:t>
              </m:r>
              <m:r>
                <w:rPr>
                  <w:rFonts w:ascii="Cambria Math" w:hAnsi="Arial" w:cs="Arial"/>
                  <w:color w:val="000000" w:themeColor="text1"/>
                  <w:sz w:val="22"/>
                  <w:szCs w:val="22"/>
                  <w:lang w:val="es-ES"/>
                </w:rPr>
                <m:t>=</m:t>
              </m:r>
              <m:r>
                <w:rPr>
                  <w:rFonts w:ascii="Cambria Math" w:hAnsi="Arial" w:cs="Arial"/>
                  <w:color w:val="000000" w:themeColor="text1"/>
                  <w:sz w:val="22"/>
                  <w:szCs w:val="22"/>
                  <w:lang w:val="es-ES"/>
                </w:rPr>
                <m:t>-</m:t>
              </m:r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es-ES"/>
                </w:rPr>
                <m:t>i</m:t>
              </m:r>
            </m:oMath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</w:t>
            </w:r>
          </w:p>
        </w:tc>
      </w:tr>
      <w:tr w:rsidR="00305D5E" w:rsidRPr="000438A9" w:rsidTr="00305D5E"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=1</m:t>
                </m:r>
              </m:oMath>
            </m:oMathPara>
          </w:p>
        </w:tc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.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1.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1=1</m:t>
                </m:r>
              </m:oMath>
            </m:oMathPara>
          </w:p>
        </w:tc>
      </w:tr>
      <w:tr w:rsidR="00305D5E" w:rsidRPr="000438A9" w:rsidTr="00305D5E"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5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i</m:t>
                </m:r>
              </m:oMath>
            </m:oMathPara>
          </w:p>
        </w:tc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.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1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=1.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lang w:val="es-ES"/>
                  </w:rPr>
                  <m:t>i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lang w:val="es-ES"/>
                  </w:rPr>
                  <m:t>i</m:t>
                </m:r>
              </m:oMath>
            </m:oMathPara>
          </w:p>
        </w:tc>
      </w:tr>
      <w:tr w:rsidR="00305D5E" w:rsidRPr="000438A9" w:rsidTr="00305D5E"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6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1</m:t>
                </m:r>
              </m:oMath>
            </m:oMathPara>
          </w:p>
        </w:tc>
        <w:tc>
          <w:tcPr>
            <w:tcW w:w="4886" w:type="dxa"/>
          </w:tcPr>
          <w:p w:rsidR="00305D5E" w:rsidRPr="000438A9" w:rsidRDefault="00A27685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5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.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1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lang w:val="es-ES"/>
                  </w:rPr>
                  <m:t>i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.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lang w:val="es-ES"/>
                  </w:rPr>
                  <m:t>i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1</m:t>
                </m:r>
              </m:oMath>
            </m:oMathPara>
          </w:p>
        </w:tc>
      </w:tr>
      <w:tr w:rsidR="000771C4" w:rsidRPr="000438A9" w:rsidTr="00305D5E">
        <w:tc>
          <w:tcPr>
            <w:tcW w:w="4886" w:type="dxa"/>
          </w:tcPr>
          <w:p w:rsidR="000771C4" w:rsidRPr="000438A9" w:rsidRDefault="00A27685" w:rsidP="000438A9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7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lang w:val="es-ES"/>
                  </w:rPr>
                  <m:t>i</m:t>
                </m:r>
              </m:oMath>
            </m:oMathPara>
          </w:p>
        </w:tc>
        <w:tc>
          <w:tcPr>
            <w:tcW w:w="4886" w:type="dxa"/>
          </w:tcPr>
          <w:p w:rsidR="000771C4" w:rsidRPr="000438A9" w:rsidRDefault="00A27685" w:rsidP="000438A9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6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.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i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  <w:lang w:val="es-ES"/>
                      </w:rPr>
                      <m:t>1</m:t>
                    </m:r>
                  </m:sup>
                </m:sSup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1.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lang w:val="es-ES"/>
                  </w:rPr>
                  <m:t>i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=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  <w:lang w:val="es-ES"/>
                  </w:rPr>
                  <m:t>-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lang w:val="es-ES"/>
                  </w:rPr>
                  <m:t>i</m:t>
                </m:r>
              </m:oMath>
            </m:oMathPara>
          </w:p>
        </w:tc>
      </w:tr>
    </w:tbl>
    <w:p w:rsidR="00934A3F" w:rsidRPr="000438A9" w:rsidRDefault="00305D5E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 </w:t>
      </w:r>
    </w:p>
    <w:p w:rsidR="000771C4" w:rsidRPr="000438A9" w:rsidRDefault="000771C4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Como las potencias </w:t>
      </w:r>
      <w:r w:rsidR="004500D1">
        <w:rPr>
          <w:rFonts w:ascii="Arial" w:hAnsi="Arial" w:cs="Arial"/>
          <w:color w:val="000000" w:themeColor="text1"/>
          <w:sz w:val="22"/>
          <w:szCs w:val="22"/>
          <w:lang w:val="es-ES_tradnl"/>
        </w:rPr>
        <w:t>de</w:t>
      </w:r>
      <w:r w:rsidR="004500D1" w:rsidRPr="004500D1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 xml:space="preserve"> i</w:t>
      </w:r>
      <w:r w:rsidR="004500D1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se 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repiten cada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ciclo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1, </w:t>
      </w:r>
      <w:r w:rsidR="000D0ADA" w:rsidRPr="000D0ADA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i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>, -1, -</w:t>
      </w:r>
      <w:r w:rsidR="000D0ADA" w:rsidRPr="000D0ADA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i</w:t>
      </w:r>
      <w:r w:rsidR="004500D1">
        <w:rPr>
          <w:rFonts w:ascii="Arial" w:hAnsi="Arial" w:cs="Arial"/>
          <w:color w:val="000000" w:themeColor="text1"/>
          <w:sz w:val="22"/>
          <w:szCs w:val="22"/>
          <w:lang w:val="es-ES_tradnl"/>
        </w:rPr>
        <w:t>, p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ara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determinar cuál es el resultado de  </w:t>
      </w: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lang w:val="es-ES_tradnl"/>
              </w:rPr>
              <m:t>i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lang w:val="es-ES_tradnl"/>
              </w:rPr>
              <m:t>n</m:t>
            </m:r>
          </m:sup>
        </m:sSup>
      </m:oMath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se </w:t>
      </w:r>
      <w:r w:rsidR="004500D1">
        <w:rPr>
          <w:rFonts w:ascii="Arial" w:hAnsi="Arial" w:cs="Arial"/>
          <w:color w:val="000000" w:themeColor="text1"/>
          <w:sz w:val="22"/>
          <w:szCs w:val="22"/>
          <w:lang w:val="es-ES_tradnl"/>
        </w:rPr>
        <w:t>divide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a </w:t>
      </w:r>
      <w:r w:rsidR="000D0ADA" w:rsidRPr="000D0ADA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n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entre 4 y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dependiendo </w:t>
      </w:r>
      <w:r w:rsidR="004500D1">
        <w:rPr>
          <w:rFonts w:ascii="Arial" w:hAnsi="Arial" w:cs="Arial"/>
          <w:color w:val="000000" w:themeColor="text1"/>
          <w:sz w:val="22"/>
          <w:szCs w:val="22"/>
          <w:lang w:val="es-ES_tradnl"/>
        </w:rPr>
        <w:t>del</w:t>
      </w:r>
      <w:r w:rsidR="000D0AD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residuo </w:t>
      </w:r>
      <w:r w:rsidR="004500D1">
        <w:rPr>
          <w:rFonts w:ascii="Arial" w:hAnsi="Arial" w:cs="Arial"/>
          <w:color w:val="000000" w:themeColor="text1"/>
          <w:sz w:val="22"/>
          <w:szCs w:val="22"/>
          <w:lang w:val="es-ES_tradnl"/>
        </w:rPr>
        <w:t>se determina</w:t>
      </w:r>
      <w:r w:rsidR="00C703DB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el resultado de la potencia. A</w:t>
      </w:r>
      <w:r w:rsidR="004500D1">
        <w:rPr>
          <w:rFonts w:ascii="Arial" w:hAnsi="Arial" w:cs="Arial"/>
          <w:color w:val="000000" w:themeColor="text1"/>
          <w:sz w:val="22"/>
          <w:szCs w:val="22"/>
          <w:lang w:val="es-ES_tradnl"/>
        </w:rPr>
        <w:t>sí:</w:t>
      </w:r>
    </w:p>
    <w:p w:rsidR="000771C4" w:rsidRPr="000438A9" w:rsidRDefault="000771C4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71C4" w:rsidRPr="000438A9" w:rsidTr="001079E1">
        <w:tc>
          <w:tcPr>
            <w:tcW w:w="4489" w:type="dxa"/>
          </w:tcPr>
          <w:p w:rsidR="000771C4" w:rsidRPr="000438A9" w:rsidRDefault="000771C4" w:rsidP="004500D1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</w:rPr>
              <w:t>Residuo</w:t>
            </w:r>
            <w:proofErr w:type="spellEnd"/>
          </w:p>
        </w:tc>
        <w:tc>
          <w:tcPr>
            <w:tcW w:w="4489" w:type="dxa"/>
          </w:tcPr>
          <w:p w:rsidR="000771C4" w:rsidRPr="000438A9" w:rsidRDefault="004500D1" w:rsidP="004500D1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Po</w:t>
            </w:r>
            <w:r w:rsidR="000771C4" w:rsidRPr="000438A9">
              <w:rPr>
                <w:rFonts w:ascii="Arial" w:hAnsi="Arial" w:cs="Arial"/>
                <w:color w:val="000000" w:themeColor="text1"/>
                <w:sz w:val="22"/>
                <w:szCs w:val="22"/>
              </w:rPr>
              <w:t>tencia</w:t>
            </w:r>
            <w:proofErr w:type="spellEnd"/>
          </w:p>
        </w:tc>
      </w:tr>
      <w:tr w:rsidR="000771C4" w:rsidRPr="000438A9" w:rsidTr="001079E1">
        <w:tc>
          <w:tcPr>
            <w:tcW w:w="4489" w:type="dxa"/>
          </w:tcPr>
          <w:p w:rsidR="000771C4" w:rsidRPr="000438A9" w:rsidRDefault="000771C4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:rsidR="000771C4" w:rsidRPr="000438A9" w:rsidRDefault="000771C4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0771C4" w:rsidRPr="000438A9" w:rsidTr="001079E1">
        <w:tc>
          <w:tcPr>
            <w:tcW w:w="4489" w:type="dxa"/>
          </w:tcPr>
          <w:p w:rsidR="000771C4" w:rsidRPr="000438A9" w:rsidRDefault="000771C4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:rsidR="000771C4" w:rsidRPr="000438A9" w:rsidRDefault="000771C4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i</m:t>
                </m:r>
              </m:oMath>
            </m:oMathPara>
          </w:p>
        </w:tc>
      </w:tr>
      <w:tr w:rsidR="000771C4" w:rsidRPr="000438A9" w:rsidTr="001079E1">
        <w:tc>
          <w:tcPr>
            <w:tcW w:w="4489" w:type="dxa"/>
          </w:tcPr>
          <w:p w:rsidR="000771C4" w:rsidRPr="000438A9" w:rsidRDefault="000771C4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:rsidR="000771C4" w:rsidRPr="000438A9" w:rsidRDefault="000771C4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0771C4" w:rsidRPr="000438A9" w:rsidTr="001079E1">
        <w:tc>
          <w:tcPr>
            <w:tcW w:w="4489" w:type="dxa"/>
          </w:tcPr>
          <w:p w:rsidR="000771C4" w:rsidRPr="000438A9" w:rsidRDefault="000771C4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:rsidR="000771C4" w:rsidRPr="000438A9" w:rsidRDefault="000771C4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i</m:t>
                </m:r>
              </m:oMath>
            </m:oMathPara>
          </w:p>
        </w:tc>
      </w:tr>
    </w:tbl>
    <w:p w:rsidR="000771C4" w:rsidRPr="000438A9" w:rsidRDefault="000771C4" w:rsidP="000438A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773501" w:rsidRPr="000438A9" w:rsidRDefault="000771C4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  </w:t>
      </w:r>
      <w:r w:rsidR="00C703DB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Por ejemplo para calcular a qué es igual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lang w:val="es-ES_tradnl"/>
              </w:rPr>
              <m:t>i</m:t>
            </m:r>
          </m:e>
          <m:sup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45</m:t>
            </m:r>
          </m:sup>
        </m:sSup>
      </m:oMath>
      <w:r w:rsidR="00C703DB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se divide 45 entre 4. En este caso, como 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el residuo es 1 </w:t>
      </w:r>
      <w:r w:rsidR="00C703DB">
        <w:rPr>
          <w:rFonts w:ascii="Arial" w:hAnsi="Arial" w:cs="Arial"/>
          <w:color w:val="000000" w:themeColor="text1"/>
          <w:sz w:val="22"/>
          <w:szCs w:val="22"/>
          <w:lang w:val="es-ES_tradnl"/>
        </w:rPr>
        <w:t>entonces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lang w:val="es-ES_tradnl"/>
              </w:rPr>
              <m:t>i</m:t>
            </m:r>
          </m:e>
          <m:sup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45</m:t>
            </m:r>
          </m:sup>
        </m:sSup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=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. 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shd w:val="clear" w:color="auto" w:fill="99CCFF"/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PESTAÑA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 2</w:t>
      </w:r>
    </w:p>
    <w:p w:rsidR="00887477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Título de pestaña (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green"/>
          <w:lang w:val="es-ES_tradnl"/>
        </w:rPr>
        <w:t>20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 xml:space="preserve"> caracteres máximo) </w:t>
      </w:r>
      <w:r w:rsidR="001079E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3A19C7" w:rsidRPr="000438A9" w:rsidRDefault="0088747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N</w:t>
      </w:r>
      <w:r w:rsidR="001079E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úmeros 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complejos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3A19C7" w:rsidRPr="000438A9" w:rsidTr="001079E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3A19C7" w:rsidRPr="00376D50" w:rsidTr="001079E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0438A9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3A19C7" w:rsidRPr="000438A9" w:rsidRDefault="003A19C7" w:rsidP="000438A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Imagen PORTADA (borrar si no se ocupa):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>Shutterstock</w:t>
      </w:r>
      <w:proofErr w:type="spellEnd"/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 xml:space="preserve"> o descripción de ilustración a crear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>Nombre de archivo codificado (ejemplo, CI_S3_G1_REC10_F1.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yellow"/>
          <w:lang w:val="es-ES_tradnl"/>
        </w:rPr>
        <w:t>PNG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>)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1079E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MA_S1_03_IMG05_F1</w:t>
      </w:r>
    </w:p>
    <w:p w:rsidR="001F5DC1" w:rsidRPr="000438A9" w:rsidRDefault="004823E8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noProof/>
          <w:color w:val="000000" w:themeColor="text1"/>
          <w:sz w:val="22"/>
          <w:szCs w:val="22"/>
          <w:lang w:val="es-ES" w:eastAsia="es-ES"/>
        </w:rPr>
        <w:drawing>
          <wp:inline distT="0" distB="0" distL="0" distR="0">
            <wp:extent cx="2695575" cy="2676525"/>
            <wp:effectExtent l="19050" t="0" r="9525" b="0"/>
            <wp:docPr id="5" name="Imagen 3" descr="H:\planeta\guion 3\imagenes 3\MA_S1_03_IMG0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laneta\guion 3\imagenes 3\MA_S1_03_IMG05_F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DC1" w:rsidRPr="000438A9" w:rsidRDefault="001F5DC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1F5DC1" w:rsidRPr="000438A9" w:rsidRDefault="001F5DC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1F5DC1" w:rsidRPr="000438A9" w:rsidRDefault="001F5DC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1F5DC1" w:rsidRPr="000438A9" w:rsidRDefault="001F5DC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B00B0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>OPCIONAL Pie de imagen 1 (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highlight w:val="yellow"/>
          <w:lang w:val="es-ES_tradnl"/>
        </w:rPr>
        <w:t>130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yellow"/>
          <w:lang w:val="es-ES_tradnl"/>
        </w:rPr>
        <w:t xml:space="preserve"> caracteres máx., se puede usar cursivas)</w:t>
      </w:r>
      <w:r w:rsidR="001079E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3A19C7" w:rsidRPr="000438A9" w:rsidRDefault="003B00B0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Representación del conjunto de los</w:t>
      </w:r>
      <w:r w:rsidR="001079E1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números complejos </w:t>
      </w: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3A19C7" w:rsidRPr="000438A9" w:rsidRDefault="003A19C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*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color w:val="000000" w:themeColor="text1"/>
          <w:sz w:val="22"/>
          <w:szCs w:val="22"/>
          <w:highlight w:val="green"/>
          <w:lang w:val="es-ES_tradnl"/>
        </w:rPr>
        <w:t>Texto</w:t>
      </w:r>
    </w:p>
    <w:p w:rsidR="001079E1" w:rsidRPr="000438A9" w:rsidRDefault="001079E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1079E1" w:rsidRPr="000438A9" w:rsidRDefault="001079E1" w:rsidP="000438A9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Conjunto de los números complejos</w:t>
      </w:r>
      <w:r w:rsidR="00B04C3C"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 xml:space="preserve"> </w:t>
      </w:r>
      <m:oMath>
        <m:r>
          <m:rPr>
            <m:scr m:val="double-struck"/>
            <m:sty m:val="bi"/>
          </m:rPr>
          <w:rPr>
            <w:rFonts w:ascii="Arial" w:hAnsi="Cambria Math" w:cs="Arial"/>
            <w:color w:val="000000" w:themeColor="text1"/>
            <w:sz w:val="22"/>
            <w:szCs w:val="22"/>
            <w:lang w:val="es-ES_tradnl"/>
          </w:rPr>
          <m:t>C</m:t>
        </m:r>
      </m:oMath>
    </w:p>
    <w:p w:rsidR="001079E1" w:rsidRPr="000438A9" w:rsidRDefault="001079E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7E308F" w:rsidRDefault="001079E1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El conjunto de los números complejos </w:t>
      </w:r>
      <w:r w:rsidR="00061B7A">
        <w:rPr>
          <w:rFonts w:ascii="Arial" w:hAnsi="Arial" w:cs="Arial"/>
          <w:color w:val="000000" w:themeColor="text1"/>
          <w:sz w:val="22"/>
          <w:szCs w:val="22"/>
          <w:lang w:val="es-ES_tradnl"/>
        </w:rPr>
        <w:t>contiene a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todos los números de la forma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a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+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bi</m:t>
        </m:r>
      </m:oMath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donde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a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,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b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∈R</m:t>
        </m:r>
      </m:oMath>
      <w:r w:rsidR="00B04C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g>
          <m:e>
            <m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m:t>-</m:t>
            </m:r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1</m:t>
            </m:r>
          </m:e>
        </m:rad>
      </m:oMath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061B7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. Todo número complejo tiene </w:t>
      </w:r>
      <w:r w:rsidR="00B04C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una</w:t>
      </w:r>
      <w:r w:rsidR="00061B7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parte real </w:t>
      </w:r>
      <w:proofErr w:type="gramStart"/>
      <w:r w:rsidR="00061B7A" w:rsidRPr="00061B7A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a</w:t>
      </w:r>
      <w:proofErr w:type="gramEnd"/>
      <w:r w:rsidR="00061B7A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y una parte imaginaria, </w:t>
      </w:r>
      <w:r w:rsidR="00061B7A" w:rsidRPr="00061B7A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b</w:t>
      </w:r>
      <w:r w:rsidR="00061B7A">
        <w:rPr>
          <w:rFonts w:ascii="Arial" w:hAnsi="Arial" w:cs="Arial"/>
          <w:i/>
          <w:color w:val="000000" w:themeColor="text1"/>
          <w:sz w:val="22"/>
          <w:szCs w:val="22"/>
          <w:lang w:val="es-ES_tradnl"/>
        </w:rPr>
        <w:t>.</w:t>
      </w:r>
      <w:r w:rsidR="00B04C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061B7A">
        <w:rPr>
          <w:rFonts w:ascii="Arial" w:hAnsi="Arial" w:cs="Arial"/>
          <w:color w:val="000000" w:themeColor="text1"/>
          <w:sz w:val="22"/>
          <w:szCs w:val="22"/>
          <w:lang w:val="es-ES_tradnl"/>
        </w:rPr>
        <w:t>El conjunto de l</w:t>
      </w:r>
      <w:r w:rsidR="00B04C3C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os números complejos se </w:t>
      </w:r>
      <w:r w:rsidR="00061B7A">
        <w:rPr>
          <w:rFonts w:ascii="Arial" w:hAnsi="Arial" w:cs="Arial"/>
          <w:color w:val="000000" w:themeColor="text1"/>
          <w:sz w:val="22"/>
          <w:szCs w:val="22"/>
          <w:lang w:val="es-ES_tradnl"/>
        </w:rPr>
        <w:t>definen como:</w:t>
      </w:r>
    </w:p>
    <w:p w:rsidR="00B04C3C" w:rsidRPr="000438A9" w:rsidRDefault="007E308F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Cambria Math" w:cs="Arial"/>
          <w:lang w:val="es-ES"/>
        </w:rPr>
        <w:br/>
      </w:r>
      <m:oMathPara>
        <m:oMath>
          <m:r>
            <m:rPr>
              <m:scr m:val="double-struck"/>
              <m:sty m:val="bi"/>
            </m:rPr>
            <w:rPr>
              <w:rFonts w:ascii="Arial" w:hAnsi="Cambria Math" w:cs="Arial"/>
              <w:lang w:val="es-ES"/>
            </w:rPr>
            <m:t>C</m:t>
          </m:r>
          <m:r>
            <m:rPr>
              <m:sty m:val="bi"/>
            </m:rPr>
            <w:rPr>
              <w:rFonts w:ascii="Cambria Math" w:hAnsi="Arial" w:cs="Arial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Arial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  <m:r>
                <m:rPr>
                  <m:sty m:val="bi"/>
                </m:rPr>
                <w:rPr>
                  <w:rFonts w:ascii="Cambria Math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bi</m:t>
              </m:r>
              <m:r>
                <m:rPr>
                  <m:sty m:val="bi"/>
                </m:rPr>
                <w:rPr>
                  <w:rFonts w:ascii="Cambria Math" w:hAnsi="Arial" w:cs="Arial"/>
                  <w:lang w:val="es-ES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  <m:r>
                <m:rPr>
                  <m:sty m:val="bi"/>
                </m:rPr>
                <w:rPr>
                  <w:rFonts w:ascii="Cambria Math" w:hAnsi="Arial" w:cs="Arial"/>
                  <w:lang w:val="es-E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Arial"/>
                  <w:lang w:val="es-ES"/>
                </w:rPr>
                <m:t>∈R,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e>
              </m:rad>
            </m:e>
          </m:d>
        </m:oMath>
      </m:oMathPara>
    </w:p>
    <w:p w:rsidR="00B04C3C" w:rsidRPr="000438A9" w:rsidRDefault="00B04C3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B04C3C" w:rsidRPr="000438A9" w:rsidRDefault="00B04C3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Ejemplo:</w:t>
      </w:r>
    </w:p>
    <w:p w:rsidR="00B04C3C" w:rsidRPr="000438A9" w:rsidRDefault="00B04C3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B04C3C" w:rsidRPr="000438A9" w:rsidRDefault="00B04C3C" w:rsidP="000438A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m:oMath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3+23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</w:p>
    <w:p w:rsidR="00B04C3C" w:rsidRPr="000438A9" w:rsidRDefault="00A27685" w:rsidP="000438A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m:oMath>
        <m:rad>
          <m:ra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11</m:t>
            </m:r>
          </m:e>
        </m:rad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+7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</w:p>
    <w:p w:rsidR="001079E1" w:rsidRPr="000438A9" w:rsidRDefault="00B04C3C" w:rsidP="000438A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m:oMath>
        <m:f>
          <m:f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+(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-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6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)</m:t>
        </m:r>
      </m:oMath>
    </w:p>
    <w:p w:rsidR="00B04C3C" w:rsidRPr="000438A9" w:rsidRDefault="00B04C3C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2F0895" w:rsidRPr="000438A9" w:rsidRDefault="00F10158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Los números</w:t>
      </w:r>
      <w:r w:rsidR="002F0895"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 xml:space="preserve"> imaginarios</w:t>
      </w:r>
      <w:r w:rsidR="002F089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son un subconjunto de los </w:t>
      </w:r>
      <w:r w:rsidR="002F0895"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 xml:space="preserve">números complejos, </w:t>
      </w:r>
      <w:r w:rsidR="002F089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son todos los números complejos cuya parte real es</w:t>
      </w:r>
      <w:r w:rsidR="008A0458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igual a</w:t>
      </w:r>
      <w:r w:rsidR="002F0895"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0.</w:t>
      </w:r>
    </w:p>
    <w:p w:rsidR="002F0895" w:rsidRPr="000438A9" w:rsidRDefault="002F0895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2F0895" w:rsidRPr="000438A9" w:rsidRDefault="002F0895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Ejemplo:</w:t>
      </w:r>
    </w:p>
    <w:p w:rsidR="002F0895" w:rsidRPr="000438A9" w:rsidRDefault="002F0895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2F0895" w:rsidRPr="000438A9" w:rsidRDefault="002F0895" w:rsidP="000438A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m:oMath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0+3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=3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</w:p>
    <w:p w:rsidR="002F0895" w:rsidRPr="000438A9" w:rsidRDefault="002F0895" w:rsidP="000438A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m:oMath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0+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7</m:t>
            </m:r>
          </m:e>
        </m:rad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=</w:t>
      </w:r>
      <m:oMath>
        <m:rad>
          <m:ra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7</m:t>
            </m:r>
          </m:e>
        </m:rad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</w:p>
    <w:p w:rsidR="002F0895" w:rsidRPr="000438A9" w:rsidRDefault="002F0895" w:rsidP="000438A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m:oMath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0+</m:t>
        </m:r>
        <m:f>
          <m:f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  <w:sz w:val="22"/>
                <w:szCs w:val="22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</w:p>
    <w:p w:rsidR="002F0895" w:rsidRPr="000438A9" w:rsidRDefault="002F0895" w:rsidP="000438A9">
      <w:pPr>
        <w:pStyle w:val="Prrafodelista"/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B04C3C" w:rsidRPr="000438A9" w:rsidRDefault="002F0895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Los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438A9"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t>números reales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son un subconjunto de los números complejos, son todos los números complejos cuya parte imaginaria es </w:t>
      </w:r>
      <m:oMath>
        <m:r>
          <w:rPr>
            <w:rFonts w:ascii="Cambria Math" w:hAnsi="Arial" w:cs="Arial"/>
            <w:color w:val="000000" w:themeColor="text1"/>
            <w:sz w:val="22"/>
            <w:szCs w:val="22"/>
            <w:lang w:val="es-ES_tradnl"/>
          </w:rPr>
          <m:t>0</m:t>
        </m:r>
        <m: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</w:p>
    <w:p w:rsidR="002F0895" w:rsidRPr="000438A9" w:rsidRDefault="002F0895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F37FFE" w:rsidRPr="00F37FFE" w:rsidRDefault="00F37FFE" w:rsidP="00F37FFE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Sean los conjuntos numéricos de números </w:t>
      </w:r>
      <w:proofErr w:type="gramStart"/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naturales </w:t>
      </w:r>
      <w:proofErr w:type="gramEnd"/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N</m:t>
        </m:r>
      </m:oMath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números enteros </w:t>
      </w: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Z</m:t>
        </m:r>
      </m:oMath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números racionales </w:t>
      </w: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Q</m:t>
        </m:r>
      </m:oMath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números irracionales </w:t>
      </w: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</m:t>
        </m:r>
      </m:oMath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números reales </w:t>
      </w: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R</m:t>
        </m:r>
      </m:oMath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números complejos </w:t>
      </w: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C</m:t>
        </m:r>
      </m:oMath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y el conjunto de los números imaginarios, se definen las proposiciones:</w:t>
      </w:r>
    </w:p>
    <w:p w:rsidR="002F0895" w:rsidRPr="000438A9" w:rsidRDefault="002F0895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B05157" w:rsidRPr="000438A9" w:rsidRDefault="002F0895" w:rsidP="000438A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m:oMath>
        <m:r>
          <m:rPr>
            <m:scr m:val="double-struck"/>
          </m:rPr>
          <w:rPr>
            <w:rFonts w:ascii="Arial" w:hAnsi="Cambria Math" w:cs="Arial"/>
            <w:color w:val="000000" w:themeColor="text1"/>
            <w:sz w:val="22"/>
            <w:szCs w:val="22"/>
            <w:lang w:val="es-ES_tradnl"/>
          </w:rPr>
          <m:t>N⊆Z⊆Q⊆R⊆C</m:t>
        </m:r>
      </m:oMath>
    </w:p>
    <w:p w:rsidR="002F0895" w:rsidRPr="00F37FFE" w:rsidRDefault="002F0895" w:rsidP="00F37FFE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2F0895" w:rsidRPr="000438A9" w:rsidRDefault="00B05157" w:rsidP="000438A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sz w:val="22"/>
            <w:szCs w:val="22"/>
            <w:lang w:val="es-ES_tradnl"/>
          </w:rPr>
          <m:t>I⊆R⊆C</m:t>
        </m:r>
      </m:oMath>
    </w:p>
    <w:p w:rsidR="00B05157" w:rsidRPr="000438A9" w:rsidRDefault="00B05157" w:rsidP="00F37FFE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B05157" w:rsidRPr="00F37FFE" w:rsidRDefault="00B05157" w:rsidP="00F37FF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Los </w:t>
      </w:r>
      <w:r w:rsidR="0070657B"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números imaginarios están contenidos en </w:t>
      </w:r>
      <w:r w:rsidR="0025041B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el conjunto de los </w:t>
      </w:r>
      <w:r w:rsidR="0070657B" w:rsidRPr="00F37FFE">
        <w:rPr>
          <w:rFonts w:ascii="Arial" w:hAnsi="Arial" w:cs="Arial"/>
          <w:color w:val="000000" w:themeColor="text1"/>
          <w:sz w:val="22"/>
          <w:szCs w:val="22"/>
          <w:lang w:val="es-ES_tradnl"/>
        </w:rPr>
        <w:t>números complejos.</w:t>
      </w:r>
    </w:p>
    <w:p w:rsidR="00B05157" w:rsidRPr="000438A9" w:rsidRDefault="00B0515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B05157" w:rsidRPr="000438A9" w:rsidRDefault="00B05157" w:rsidP="000438A9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sectPr w:rsidR="00B05157" w:rsidRPr="000438A9" w:rsidSect="001079E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6B6"/>
    <w:multiLevelType w:val="multilevel"/>
    <w:tmpl w:val="D12ACE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E15CA9"/>
    <w:multiLevelType w:val="hybridMultilevel"/>
    <w:tmpl w:val="2814C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7C9E"/>
    <w:multiLevelType w:val="hybridMultilevel"/>
    <w:tmpl w:val="68D4FC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10050"/>
    <w:multiLevelType w:val="multilevel"/>
    <w:tmpl w:val="5D6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26411"/>
    <w:multiLevelType w:val="hybridMultilevel"/>
    <w:tmpl w:val="32D4764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2E053B3F"/>
    <w:multiLevelType w:val="hybridMultilevel"/>
    <w:tmpl w:val="25F0D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71B49"/>
    <w:multiLevelType w:val="hybridMultilevel"/>
    <w:tmpl w:val="84E4ABB4"/>
    <w:lvl w:ilvl="0" w:tplc="468AACB0">
      <w:start w:val="1"/>
      <w:numFmt w:val="decimal"/>
      <w:lvlText w:val="%1."/>
      <w:lvlJc w:val="left"/>
      <w:pPr>
        <w:ind w:left="1080" w:hanging="360"/>
      </w:pPr>
      <w:rPr>
        <w:rFonts w:ascii="Times" w:hAnsi="Times" w:cstheme="minorBid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7E4A27"/>
    <w:multiLevelType w:val="hybridMultilevel"/>
    <w:tmpl w:val="E5B85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21C5C"/>
    <w:multiLevelType w:val="hybridMultilevel"/>
    <w:tmpl w:val="9FF0533E"/>
    <w:lvl w:ilvl="0" w:tplc="621AF2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4E964EA"/>
    <w:multiLevelType w:val="hybridMultilevel"/>
    <w:tmpl w:val="5016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B1A"/>
    <w:multiLevelType w:val="hybridMultilevel"/>
    <w:tmpl w:val="B1F44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83A1B"/>
    <w:multiLevelType w:val="hybridMultilevel"/>
    <w:tmpl w:val="CD34E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91147"/>
    <w:multiLevelType w:val="hybridMultilevel"/>
    <w:tmpl w:val="2728764A"/>
    <w:lvl w:ilvl="0" w:tplc="C430E3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56A37B27"/>
    <w:multiLevelType w:val="hybridMultilevel"/>
    <w:tmpl w:val="CF125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10284"/>
    <w:multiLevelType w:val="hybridMultilevel"/>
    <w:tmpl w:val="81AADD1E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83034"/>
    <w:multiLevelType w:val="hybridMultilevel"/>
    <w:tmpl w:val="B2A85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C40A9"/>
    <w:multiLevelType w:val="hybridMultilevel"/>
    <w:tmpl w:val="C80896CA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18"/>
  </w:num>
  <w:num w:numId="5">
    <w:abstractNumId w:val="16"/>
  </w:num>
  <w:num w:numId="6">
    <w:abstractNumId w:val="0"/>
  </w:num>
  <w:num w:numId="7">
    <w:abstractNumId w:val="6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8"/>
  </w:num>
  <w:num w:numId="13">
    <w:abstractNumId w:val="1"/>
  </w:num>
  <w:num w:numId="14">
    <w:abstractNumId w:val="12"/>
  </w:num>
  <w:num w:numId="15">
    <w:abstractNumId w:val="7"/>
  </w:num>
  <w:num w:numId="16">
    <w:abstractNumId w:val="5"/>
  </w:num>
  <w:num w:numId="17">
    <w:abstractNumId w:val="10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19C7"/>
    <w:rsid w:val="000438A9"/>
    <w:rsid w:val="000546FC"/>
    <w:rsid w:val="00061B7A"/>
    <w:rsid w:val="000771C4"/>
    <w:rsid w:val="0008484C"/>
    <w:rsid w:val="000B2E49"/>
    <w:rsid w:val="000D0ADA"/>
    <w:rsid w:val="001079E1"/>
    <w:rsid w:val="001309BF"/>
    <w:rsid w:val="0015771D"/>
    <w:rsid w:val="001614F0"/>
    <w:rsid w:val="00165168"/>
    <w:rsid w:val="00193662"/>
    <w:rsid w:val="001F5DC1"/>
    <w:rsid w:val="00226EE1"/>
    <w:rsid w:val="0025041B"/>
    <w:rsid w:val="002B65D5"/>
    <w:rsid w:val="002C2DAE"/>
    <w:rsid w:val="002F0895"/>
    <w:rsid w:val="00305D5E"/>
    <w:rsid w:val="00333FA5"/>
    <w:rsid w:val="0037420B"/>
    <w:rsid w:val="00376D50"/>
    <w:rsid w:val="00387A14"/>
    <w:rsid w:val="003A19C7"/>
    <w:rsid w:val="003B00B0"/>
    <w:rsid w:val="003D7872"/>
    <w:rsid w:val="003E34D8"/>
    <w:rsid w:val="004500D1"/>
    <w:rsid w:val="004823E8"/>
    <w:rsid w:val="0048511E"/>
    <w:rsid w:val="005E6B29"/>
    <w:rsid w:val="00617234"/>
    <w:rsid w:val="0062080B"/>
    <w:rsid w:val="00644F85"/>
    <w:rsid w:val="006F374C"/>
    <w:rsid w:val="0070657B"/>
    <w:rsid w:val="007279D2"/>
    <w:rsid w:val="00773501"/>
    <w:rsid w:val="007862F1"/>
    <w:rsid w:val="007E308F"/>
    <w:rsid w:val="00887477"/>
    <w:rsid w:val="008A0458"/>
    <w:rsid w:val="008B1EAF"/>
    <w:rsid w:val="00934A3F"/>
    <w:rsid w:val="009C1F3C"/>
    <w:rsid w:val="00A16C49"/>
    <w:rsid w:val="00A27685"/>
    <w:rsid w:val="00A437A0"/>
    <w:rsid w:val="00A64FF7"/>
    <w:rsid w:val="00AA37CC"/>
    <w:rsid w:val="00AC3F94"/>
    <w:rsid w:val="00AF08D6"/>
    <w:rsid w:val="00B04C3C"/>
    <w:rsid w:val="00B05157"/>
    <w:rsid w:val="00B8343A"/>
    <w:rsid w:val="00BE603C"/>
    <w:rsid w:val="00BF4289"/>
    <w:rsid w:val="00C159AE"/>
    <w:rsid w:val="00C16E8D"/>
    <w:rsid w:val="00C703DB"/>
    <w:rsid w:val="00CD00BC"/>
    <w:rsid w:val="00CD2189"/>
    <w:rsid w:val="00D26538"/>
    <w:rsid w:val="00DD757E"/>
    <w:rsid w:val="00DE4EFF"/>
    <w:rsid w:val="00E31EA5"/>
    <w:rsid w:val="00F10158"/>
    <w:rsid w:val="00F133E7"/>
    <w:rsid w:val="00F37FFE"/>
    <w:rsid w:val="00F7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39AC10-6F66-4C72-AD55-2CCA977D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9C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A19C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A19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19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C7"/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apple-converted-space">
    <w:name w:val="apple-converted-space"/>
    <w:basedOn w:val="Fuentedeprrafopredeter"/>
    <w:rsid w:val="003A19C7"/>
  </w:style>
  <w:style w:type="paragraph" w:styleId="NormalWeb">
    <w:name w:val="Normal (Web)"/>
    <w:basedOn w:val="Normal"/>
    <w:uiPriority w:val="99"/>
    <w:semiHidden/>
    <w:unhideWhenUsed/>
    <w:rsid w:val="003A19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3A19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3A19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3A19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3A19C7"/>
  </w:style>
  <w:style w:type="paragraph" w:customStyle="1" w:styleId="tab1">
    <w:name w:val="tab1"/>
    <w:basedOn w:val="Normal"/>
    <w:rsid w:val="003A19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3A19C7"/>
  </w:style>
  <w:style w:type="character" w:styleId="Hipervnculo">
    <w:name w:val="Hyperlink"/>
    <w:basedOn w:val="Fuentedeprrafopredeter"/>
    <w:uiPriority w:val="99"/>
    <w:unhideWhenUsed/>
    <w:rsid w:val="003A19C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A19C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05D5E"/>
    <w:pPr>
      <w:tabs>
        <w:tab w:val="center" w:pos="4252"/>
        <w:tab w:val="right" w:pos="8504"/>
      </w:tabs>
    </w:pPr>
    <w:rPr>
      <w:rFonts w:eastAsiaTheme="minorHAnsi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305D5E"/>
    <w:rPr>
      <w:sz w:val="24"/>
      <w:szCs w:val="24"/>
      <w:lang w:val="es-ES_tradnl"/>
    </w:rPr>
  </w:style>
  <w:style w:type="character" w:customStyle="1" w:styleId="lemmavariantref">
    <w:name w:val="lemmavariantref"/>
    <w:basedOn w:val="Fuentedeprrafopredeter"/>
    <w:rsid w:val="000438A9"/>
  </w:style>
  <w:style w:type="character" w:customStyle="1" w:styleId="titencemm-1">
    <w:name w:val="titencemm-1"/>
    <w:basedOn w:val="Fuentedeprrafopredeter"/>
    <w:rsid w:val="000438A9"/>
  </w:style>
  <w:style w:type="character" w:customStyle="1" w:styleId="formula-texto">
    <w:name w:val="formula-texto"/>
    <w:basedOn w:val="Fuentedeprrafopredeter"/>
    <w:rsid w:val="000438A9"/>
  </w:style>
  <w:style w:type="character" w:customStyle="1" w:styleId="sup">
    <w:name w:val="sup"/>
    <w:basedOn w:val="Fuentedeprrafopredeter"/>
    <w:rsid w:val="000438A9"/>
  </w:style>
  <w:style w:type="character" w:customStyle="1" w:styleId="titencemm-2">
    <w:name w:val="titencemm-2"/>
    <w:basedOn w:val="Fuentedeprrafopredeter"/>
    <w:rsid w:val="000438A9"/>
  </w:style>
  <w:style w:type="character" w:customStyle="1" w:styleId="verde">
    <w:name w:val="verde"/>
    <w:basedOn w:val="Fuentedeprrafopredeter"/>
    <w:rsid w:val="000438A9"/>
  </w:style>
  <w:style w:type="paragraph" w:customStyle="1" w:styleId="photo">
    <w:name w:val="photo"/>
    <w:basedOn w:val="Normal"/>
    <w:rsid w:val="000438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redondilla">
    <w:name w:val="redondilla"/>
    <w:basedOn w:val="Fuentedeprrafopredeter"/>
    <w:rsid w:val="000438A9"/>
  </w:style>
  <w:style w:type="paragraph" w:customStyle="1" w:styleId="textogat">
    <w:name w:val="textogat"/>
    <w:basedOn w:val="Normal"/>
    <w:rsid w:val="000438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1486">
              <w:marLeft w:val="0"/>
              <w:marRight w:val="0"/>
              <w:marTop w:val="72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944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81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69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39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2022389773">
              <w:marLeft w:val="0"/>
              <w:marRight w:val="0"/>
              <w:marTop w:val="72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54">
              <w:marLeft w:val="0"/>
              <w:marRight w:val="0"/>
              <w:marTop w:val="72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96">
              <w:marLeft w:val="0"/>
              <w:marRight w:val="0"/>
              <w:marTop w:val="72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47">
              <w:marLeft w:val="0"/>
              <w:marRight w:val="0"/>
              <w:marTop w:val="72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1543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Samary</dc:creator>
  <cp:lastModifiedBy>usuario</cp:lastModifiedBy>
  <cp:revision>31</cp:revision>
  <dcterms:created xsi:type="dcterms:W3CDTF">2015-04-15T20:57:00Z</dcterms:created>
  <dcterms:modified xsi:type="dcterms:W3CDTF">2015-06-10T14:23:00Z</dcterms:modified>
</cp:coreProperties>
</file>