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412C0" w14:textId="77777777" w:rsidR="00453D49" w:rsidRPr="009221E4" w:rsidRDefault="00A3417F">
      <w:pPr>
        <w:rPr>
          <w:rFonts w:ascii="Arial" w:hAnsi="Arial" w:cs="Arial"/>
          <w:sz w:val="20"/>
          <w:szCs w:val="20"/>
        </w:rPr>
      </w:pPr>
      <w:r w:rsidRPr="009221E4">
        <w:rPr>
          <w:rFonts w:ascii="Arial" w:hAnsi="Arial" w:cs="Arial"/>
          <w:sz w:val="20"/>
          <w:szCs w:val="20"/>
        </w:rPr>
        <w:t>Guía didáctica Mat 10 tema 4</w:t>
      </w:r>
    </w:p>
    <w:p w14:paraId="7A200C37" w14:textId="77777777" w:rsidR="00A3417F" w:rsidRPr="009221E4" w:rsidRDefault="00A3417F">
      <w:pPr>
        <w:rPr>
          <w:rFonts w:ascii="Arial" w:hAnsi="Arial" w:cs="Arial"/>
          <w:b/>
          <w:sz w:val="20"/>
          <w:szCs w:val="20"/>
        </w:rPr>
      </w:pPr>
      <w:r w:rsidRPr="009221E4">
        <w:rPr>
          <w:rFonts w:ascii="Arial" w:hAnsi="Arial" w:cs="Arial"/>
          <w:b/>
          <w:sz w:val="20"/>
          <w:szCs w:val="20"/>
        </w:rPr>
        <w:t>Pensamiento numérico</w:t>
      </w:r>
    </w:p>
    <w:p w14:paraId="3A818A3A"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Establezco relaciones y diferencias entre diferentes notaciones de números reales para decidir sobre su uso en una situación dada.</w:t>
      </w:r>
    </w:p>
    <w:p w14:paraId="16A095D6" w14:textId="77777777" w:rsidR="00A3417F" w:rsidRPr="009221E4" w:rsidRDefault="00A3417F" w:rsidP="00A3417F">
      <w:pPr>
        <w:rPr>
          <w:rFonts w:ascii="Arial" w:hAnsi="Arial" w:cs="Arial"/>
          <w:b/>
          <w:sz w:val="20"/>
          <w:szCs w:val="20"/>
        </w:rPr>
      </w:pPr>
      <w:r w:rsidRPr="009221E4">
        <w:rPr>
          <w:rFonts w:ascii="Arial" w:hAnsi="Arial" w:cs="Arial"/>
          <w:b/>
          <w:sz w:val="20"/>
          <w:szCs w:val="20"/>
        </w:rPr>
        <w:t>Pensamiento variacional</w:t>
      </w:r>
    </w:p>
    <w:p w14:paraId="29A0E027"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Utilizo las técnicas de aproximación en procesos infinitos numéricos.</w:t>
      </w:r>
    </w:p>
    <w:p w14:paraId="1BC3EE7E" w14:textId="77777777" w:rsidR="00A3417F" w:rsidRPr="009221E4" w:rsidRDefault="00A3417F" w:rsidP="00A3417F">
      <w:pPr>
        <w:autoSpaceDE w:val="0"/>
        <w:autoSpaceDN w:val="0"/>
        <w:adjustRightInd w:val="0"/>
        <w:spacing w:after="0" w:line="240" w:lineRule="auto"/>
        <w:rPr>
          <w:rFonts w:ascii="Arial" w:hAnsi="Arial" w:cs="Arial"/>
          <w:sz w:val="20"/>
          <w:szCs w:val="20"/>
        </w:rPr>
      </w:pPr>
    </w:p>
    <w:p w14:paraId="46A125B3" w14:textId="77777777" w:rsidR="00A3417F" w:rsidRPr="009221E4" w:rsidRDefault="00A3417F" w:rsidP="00A3417F">
      <w:pPr>
        <w:autoSpaceDE w:val="0"/>
        <w:autoSpaceDN w:val="0"/>
        <w:adjustRightInd w:val="0"/>
        <w:spacing w:after="0" w:line="240" w:lineRule="auto"/>
        <w:rPr>
          <w:rFonts w:ascii="Arial" w:hAnsi="Arial" w:cs="Arial"/>
          <w:b/>
          <w:sz w:val="20"/>
          <w:szCs w:val="20"/>
        </w:rPr>
      </w:pPr>
      <w:r w:rsidRPr="009221E4">
        <w:rPr>
          <w:rFonts w:ascii="Arial" w:hAnsi="Arial" w:cs="Arial"/>
          <w:b/>
          <w:sz w:val="20"/>
          <w:szCs w:val="20"/>
        </w:rPr>
        <w:t>Competencias</w:t>
      </w:r>
    </w:p>
    <w:p w14:paraId="2F301A45"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Reconocer las identidades trigonométricas fundamentales.</w:t>
      </w:r>
    </w:p>
    <w:p w14:paraId="636CA587"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Diferenciar los conceptos de identidad y ecuación trigonométrica.</w:t>
      </w:r>
    </w:p>
    <w:p w14:paraId="5A170B6D"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Utilizar los teoremas del seno y del coseno como estrategia de resolución de problemas en los que se involucren datos de triángulos.</w:t>
      </w:r>
    </w:p>
    <w:p w14:paraId="411E3734" w14:textId="77777777" w:rsidR="00A3417F" w:rsidRPr="009221E4" w:rsidRDefault="00A3417F" w:rsidP="00A3417F">
      <w:pPr>
        <w:autoSpaceDE w:val="0"/>
        <w:autoSpaceDN w:val="0"/>
        <w:adjustRightInd w:val="0"/>
        <w:spacing w:after="0" w:line="240" w:lineRule="auto"/>
        <w:rPr>
          <w:rFonts w:ascii="Arial" w:hAnsi="Arial" w:cs="Arial"/>
          <w:sz w:val="20"/>
          <w:szCs w:val="20"/>
        </w:rPr>
      </w:pPr>
    </w:p>
    <w:p w14:paraId="3F38A13B" w14:textId="77777777" w:rsidR="00A3417F" w:rsidRPr="009221E4" w:rsidRDefault="00A3417F" w:rsidP="00A3417F">
      <w:pPr>
        <w:autoSpaceDE w:val="0"/>
        <w:autoSpaceDN w:val="0"/>
        <w:adjustRightInd w:val="0"/>
        <w:spacing w:after="0" w:line="240" w:lineRule="auto"/>
        <w:rPr>
          <w:rFonts w:ascii="Arial" w:hAnsi="Arial" w:cs="Arial"/>
          <w:b/>
          <w:sz w:val="20"/>
          <w:szCs w:val="20"/>
        </w:rPr>
      </w:pPr>
      <w:r w:rsidRPr="009221E4">
        <w:rPr>
          <w:rFonts w:ascii="Arial" w:hAnsi="Arial" w:cs="Arial"/>
          <w:b/>
          <w:sz w:val="20"/>
          <w:szCs w:val="20"/>
        </w:rPr>
        <w:t>Estrategia didáctica</w:t>
      </w:r>
    </w:p>
    <w:p w14:paraId="7A8E1804"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Antes de introducir el tema, cuénteles a los estudiantes que desde la aparición de la tr</w:t>
      </w:r>
      <w:r w:rsidR="007034FE">
        <w:rPr>
          <w:rFonts w:ascii="Arial" w:hAnsi="Arial" w:cs="Arial"/>
          <w:sz w:val="20"/>
          <w:szCs w:val="20"/>
        </w:rPr>
        <w:t xml:space="preserve">igonometría surgieron fórmulas e </w:t>
      </w:r>
      <w:bookmarkStart w:id="0" w:name="_GoBack"/>
      <w:bookmarkEnd w:id="0"/>
      <w:r w:rsidRPr="009221E4">
        <w:rPr>
          <w:rFonts w:ascii="Arial" w:hAnsi="Arial" w:cs="Arial"/>
          <w:sz w:val="20"/>
          <w:szCs w:val="20"/>
        </w:rPr>
        <w:t>identidades para expresar otros ángulos en función de los ángulos conocidos.</w:t>
      </w:r>
    </w:p>
    <w:p w14:paraId="383C4B83"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Explíqueles como conceptos del pensamiento espacial, numérico, métrico y variacional permiten la comprensión de esta temática particular. Por ejemplo, las razones básicas seno </w:t>
      </w:r>
      <w:r w:rsidRPr="009221E4">
        <w:rPr>
          <w:rFonts w:ascii="Arial" w:hAnsi="Arial" w:cs="Arial"/>
          <w:i/>
          <w:sz w:val="20"/>
          <w:szCs w:val="20"/>
        </w:rPr>
        <w:t>A</w:t>
      </w:r>
      <w:r w:rsidRPr="009221E4">
        <w:rPr>
          <w:rFonts w:ascii="Arial" w:hAnsi="Arial" w:cs="Arial"/>
          <w:sz w:val="20"/>
          <w:szCs w:val="20"/>
        </w:rPr>
        <w:t xml:space="preserve">, coseno </w:t>
      </w:r>
      <w:r w:rsidRPr="009221E4">
        <w:rPr>
          <w:rFonts w:ascii="Arial" w:hAnsi="Arial" w:cs="Arial"/>
          <w:i/>
          <w:sz w:val="20"/>
          <w:szCs w:val="20"/>
        </w:rPr>
        <w:t>A</w:t>
      </w:r>
      <w:r w:rsidRPr="009221E4">
        <w:rPr>
          <w:rFonts w:ascii="Arial" w:hAnsi="Arial" w:cs="Arial"/>
          <w:sz w:val="20"/>
          <w:szCs w:val="20"/>
        </w:rPr>
        <w:t xml:space="preserve"> y tangente </w:t>
      </w:r>
      <w:r w:rsidRPr="009221E4">
        <w:rPr>
          <w:rFonts w:ascii="Arial" w:hAnsi="Arial" w:cs="Arial"/>
          <w:i/>
          <w:sz w:val="20"/>
          <w:szCs w:val="20"/>
        </w:rPr>
        <w:t>A</w:t>
      </w:r>
      <w:r w:rsidRPr="009221E4">
        <w:rPr>
          <w:rFonts w:ascii="Arial" w:hAnsi="Arial" w:cs="Arial"/>
          <w:sz w:val="20"/>
          <w:szCs w:val="20"/>
        </w:rPr>
        <w:t>, se definen a partir del planteamiento de razones entre los lados de un triángulo rectángulo y cómo estas son la base para definir, las razones, inversas, las identidades y realizar algunas demostraciones.</w:t>
      </w:r>
    </w:p>
    <w:p w14:paraId="7C29B661" w14:textId="77777777" w:rsidR="00A3417F" w:rsidRPr="009221E4" w:rsidRDefault="00A3417F" w:rsidP="00A3417F">
      <w:pPr>
        <w:autoSpaceDE w:val="0"/>
        <w:autoSpaceDN w:val="0"/>
        <w:adjustRightInd w:val="0"/>
        <w:spacing w:after="0" w:line="240" w:lineRule="auto"/>
        <w:rPr>
          <w:rFonts w:ascii="Arial" w:hAnsi="Arial" w:cs="Arial"/>
          <w:sz w:val="20"/>
          <w:szCs w:val="20"/>
        </w:rPr>
      </w:pPr>
    </w:p>
    <w:p w14:paraId="6746A69D" w14:textId="77777777" w:rsidR="00A3417F" w:rsidRPr="009221E4" w:rsidRDefault="00A3417F"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Defínales que es una identidad trigonométrica y presénteles las identidades fundamentales. Apóyese en el recurso </w:t>
      </w:r>
      <w:r w:rsidRPr="009221E4">
        <w:rPr>
          <w:rFonts w:ascii="Arial" w:hAnsi="Arial" w:cs="Arial"/>
          <w:b/>
          <w:sz w:val="20"/>
          <w:szCs w:val="20"/>
        </w:rPr>
        <w:t xml:space="preserve">Las identidades trigonométricas. </w:t>
      </w:r>
      <w:r w:rsidRPr="009221E4">
        <w:rPr>
          <w:rFonts w:ascii="Arial" w:hAnsi="Arial" w:cs="Arial"/>
          <w:sz w:val="20"/>
          <w:szCs w:val="20"/>
        </w:rPr>
        <w:t>Explíqueles la diferencia entre identidad y ecuación haciendo énfasis en que una identidad es una igualdad que contiene varias funciones trigonométricas y que toma un valor verdadero para todos y cada uno de los valores que tome el ángulo. Mientras que una ecuación trigonométrica es una comparación de una expresión trigonométrica con un valor determinado y por tanto puede ser verdadera para algunos valores y falsa para otros. Sin embargo para su resolución se aplican las mismas estrategias de una ecuación algebraica.</w:t>
      </w:r>
    </w:p>
    <w:p w14:paraId="1C72CD26" w14:textId="77777777" w:rsidR="00A3417F" w:rsidRPr="009221E4" w:rsidRDefault="00A3417F" w:rsidP="00A3417F">
      <w:pPr>
        <w:autoSpaceDE w:val="0"/>
        <w:autoSpaceDN w:val="0"/>
        <w:adjustRightInd w:val="0"/>
        <w:spacing w:after="0" w:line="240" w:lineRule="auto"/>
        <w:rPr>
          <w:rFonts w:ascii="Arial" w:hAnsi="Arial" w:cs="Arial"/>
          <w:sz w:val="20"/>
          <w:szCs w:val="20"/>
        </w:rPr>
      </w:pPr>
    </w:p>
    <w:p w14:paraId="7B34E4CC" w14:textId="77777777" w:rsidR="00CB2E20" w:rsidRPr="009221E4" w:rsidRDefault="00CB2E20"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Es importante el manejo de las identidades fundamentales. Proponga los recursos </w:t>
      </w:r>
      <w:r w:rsidRPr="009221E4">
        <w:rPr>
          <w:rFonts w:ascii="Arial" w:hAnsi="Arial" w:cs="Arial"/>
          <w:b/>
          <w:sz w:val="20"/>
          <w:szCs w:val="20"/>
        </w:rPr>
        <w:t xml:space="preserve">Clasifica identidades trigonométricas </w:t>
      </w:r>
      <w:r w:rsidRPr="009221E4">
        <w:rPr>
          <w:rFonts w:ascii="Arial" w:hAnsi="Arial" w:cs="Arial"/>
          <w:sz w:val="20"/>
          <w:szCs w:val="20"/>
        </w:rPr>
        <w:t xml:space="preserve">y </w:t>
      </w:r>
      <w:r w:rsidRPr="009221E4">
        <w:rPr>
          <w:rFonts w:ascii="Arial" w:hAnsi="Arial" w:cs="Arial"/>
          <w:b/>
          <w:sz w:val="20"/>
          <w:szCs w:val="20"/>
        </w:rPr>
        <w:t xml:space="preserve">Comprueba identidades </w:t>
      </w:r>
      <w:r w:rsidRPr="009221E4">
        <w:rPr>
          <w:rFonts w:ascii="Arial" w:hAnsi="Arial" w:cs="Arial"/>
          <w:sz w:val="20"/>
          <w:szCs w:val="20"/>
        </w:rPr>
        <w:t>para apoyar este objetivo. Haga que comprueben ciertas identidades dando valores a la expresión de la izquierda y verificando que el resultado a la derecha es el mismo. Utilice este procedimiento para que los estudiantes noten que una identidad no se resuelve como una ecuación.</w:t>
      </w:r>
    </w:p>
    <w:p w14:paraId="373A5694"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541837F8" w14:textId="77777777" w:rsidR="00CB2E20" w:rsidRPr="009221E4" w:rsidRDefault="00CB2E20"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Es preciso que los estudiantes recuerden o tengan a la mano el valor seno, coseno y tangente de ángulos de 30°, 45°, 60° y 90°. Recuérdeles las relaciones que se establecen con el círculo trigonométrico para las medidas precisas de los ángulos.</w:t>
      </w:r>
    </w:p>
    <w:p w14:paraId="4027F485"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57DC5A79"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3B87AAB9" w14:textId="77777777" w:rsidR="00CB2E20" w:rsidRPr="009221E4" w:rsidRDefault="00CB2E20" w:rsidP="00CB2E20">
      <w:pPr>
        <w:autoSpaceDE w:val="0"/>
        <w:autoSpaceDN w:val="0"/>
        <w:adjustRightInd w:val="0"/>
        <w:spacing w:after="0" w:line="240" w:lineRule="auto"/>
        <w:jc w:val="center"/>
        <w:rPr>
          <w:rFonts w:ascii="Arial" w:hAnsi="Arial" w:cs="Arial"/>
          <w:sz w:val="20"/>
          <w:szCs w:val="20"/>
        </w:rPr>
      </w:pPr>
      <w:r w:rsidRPr="009221E4">
        <w:rPr>
          <w:rFonts w:ascii="Arial" w:hAnsi="Arial" w:cs="Arial"/>
          <w:noProof/>
          <w:sz w:val="20"/>
          <w:szCs w:val="20"/>
          <w:lang w:val="es-ES" w:eastAsia="es-ES"/>
        </w:rPr>
        <w:drawing>
          <wp:inline distT="0" distB="0" distL="0" distR="0" wp14:anchorId="782B11BF" wp14:editId="2754C519">
            <wp:extent cx="1746250" cy="149520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3091" cy="1501062"/>
                    </a:xfrm>
                    <a:prstGeom prst="rect">
                      <a:avLst/>
                    </a:prstGeom>
                  </pic:spPr>
                </pic:pic>
              </a:graphicData>
            </a:graphic>
          </wp:inline>
        </w:drawing>
      </w:r>
    </w:p>
    <w:p w14:paraId="5EAD6215"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3C98A887" w14:textId="77777777" w:rsidR="00CB2E20" w:rsidRPr="009221E4" w:rsidRDefault="00CB2E20" w:rsidP="00A3417F">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lastRenderedPageBreak/>
        <w:t>Así como el valor que toman las funciones trigonométricas de acuerdo con el cuadrante con el que estén relacionadas.</w:t>
      </w:r>
    </w:p>
    <w:p w14:paraId="47862845" w14:textId="77777777" w:rsidR="00CB2E20" w:rsidRPr="009221E4" w:rsidRDefault="00CB2E20" w:rsidP="00A3417F">
      <w:pPr>
        <w:autoSpaceDE w:val="0"/>
        <w:autoSpaceDN w:val="0"/>
        <w:adjustRightInd w:val="0"/>
        <w:spacing w:after="0" w:line="240" w:lineRule="auto"/>
        <w:rPr>
          <w:rFonts w:ascii="Arial" w:hAnsi="Arial" w:cs="Arial"/>
          <w:sz w:val="20"/>
          <w:szCs w:val="20"/>
        </w:rPr>
      </w:pPr>
    </w:p>
    <w:tbl>
      <w:tblPr>
        <w:tblStyle w:val="Tablaconcuadrcula"/>
        <w:tblW w:w="0" w:type="auto"/>
        <w:tblLook w:val="04A0" w:firstRow="1" w:lastRow="0" w:firstColumn="1" w:lastColumn="0" w:noHBand="0" w:noVBand="1"/>
      </w:tblPr>
      <w:tblGrid>
        <w:gridCol w:w="1304"/>
        <w:gridCol w:w="818"/>
        <w:gridCol w:w="850"/>
        <w:gridCol w:w="851"/>
        <w:gridCol w:w="850"/>
        <w:gridCol w:w="851"/>
        <w:gridCol w:w="708"/>
      </w:tblGrid>
      <w:tr w:rsidR="00CB2E20" w:rsidRPr="009221E4" w14:paraId="6E3D9EA6" w14:textId="77777777" w:rsidTr="00CB2E20">
        <w:tc>
          <w:tcPr>
            <w:tcW w:w="1304" w:type="dxa"/>
          </w:tcPr>
          <w:p w14:paraId="00C3C81F" w14:textId="77777777"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Cuadrante</w:t>
            </w:r>
          </w:p>
        </w:tc>
        <w:tc>
          <w:tcPr>
            <w:tcW w:w="818" w:type="dxa"/>
          </w:tcPr>
          <w:p w14:paraId="71E0F3B2" w14:textId="77777777"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Sen</w:t>
            </w:r>
          </w:p>
        </w:tc>
        <w:tc>
          <w:tcPr>
            <w:tcW w:w="850" w:type="dxa"/>
          </w:tcPr>
          <w:p w14:paraId="5DF1FAD6" w14:textId="77777777"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Cos</w:t>
            </w:r>
          </w:p>
        </w:tc>
        <w:tc>
          <w:tcPr>
            <w:tcW w:w="851" w:type="dxa"/>
          </w:tcPr>
          <w:p w14:paraId="2730BCD5" w14:textId="77777777"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Tan</w:t>
            </w:r>
          </w:p>
        </w:tc>
        <w:tc>
          <w:tcPr>
            <w:tcW w:w="850" w:type="dxa"/>
          </w:tcPr>
          <w:p w14:paraId="13C91019" w14:textId="77777777"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Ctg</w:t>
            </w:r>
          </w:p>
        </w:tc>
        <w:tc>
          <w:tcPr>
            <w:tcW w:w="851" w:type="dxa"/>
          </w:tcPr>
          <w:p w14:paraId="237B44F5" w14:textId="77777777"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Sec</w:t>
            </w:r>
          </w:p>
        </w:tc>
        <w:tc>
          <w:tcPr>
            <w:tcW w:w="708" w:type="dxa"/>
          </w:tcPr>
          <w:p w14:paraId="4B11357B" w14:textId="77777777" w:rsidR="00CB2E20" w:rsidRPr="009221E4" w:rsidRDefault="00CB2E20" w:rsidP="00CB2E20">
            <w:pPr>
              <w:autoSpaceDE w:val="0"/>
              <w:autoSpaceDN w:val="0"/>
              <w:adjustRightInd w:val="0"/>
              <w:jc w:val="center"/>
              <w:rPr>
                <w:rFonts w:ascii="Arial" w:hAnsi="Arial" w:cs="Arial"/>
                <w:b/>
                <w:sz w:val="20"/>
                <w:szCs w:val="20"/>
              </w:rPr>
            </w:pPr>
            <w:r w:rsidRPr="009221E4">
              <w:rPr>
                <w:rFonts w:ascii="Arial" w:hAnsi="Arial" w:cs="Arial"/>
                <w:b/>
                <w:sz w:val="20"/>
                <w:szCs w:val="20"/>
              </w:rPr>
              <w:t>Csc</w:t>
            </w:r>
          </w:p>
        </w:tc>
      </w:tr>
      <w:tr w:rsidR="00CB2E20" w:rsidRPr="009221E4" w14:paraId="0EB274B0" w14:textId="77777777" w:rsidTr="00CB2E20">
        <w:tc>
          <w:tcPr>
            <w:tcW w:w="1304" w:type="dxa"/>
          </w:tcPr>
          <w:p w14:paraId="4CFC46E2"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w:t>
            </w:r>
          </w:p>
        </w:tc>
        <w:tc>
          <w:tcPr>
            <w:tcW w:w="818" w:type="dxa"/>
          </w:tcPr>
          <w:p w14:paraId="05381A41"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14:paraId="5453F466"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33D3BD27"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14:paraId="5D0C61AD"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3F0C01E4"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14:paraId="4AB14BB6"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r w:rsidR="00CB2E20" w:rsidRPr="009221E4" w14:paraId="42BF6930" w14:textId="77777777" w:rsidTr="00CB2E20">
        <w:tc>
          <w:tcPr>
            <w:tcW w:w="1304" w:type="dxa"/>
          </w:tcPr>
          <w:p w14:paraId="6F33492B"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II</w:t>
            </w:r>
          </w:p>
        </w:tc>
        <w:tc>
          <w:tcPr>
            <w:tcW w:w="818" w:type="dxa"/>
          </w:tcPr>
          <w:p w14:paraId="1D8AF088"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14:paraId="763A5942"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377F4099"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14:paraId="27DDFEBB"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0A821AE9"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14:paraId="3C4F215B"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r w:rsidR="00CB2E20" w:rsidRPr="009221E4" w14:paraId="7FFE0865" w14:textId="77777777" w:rsidTr="00CB2E20">
        <w:tc>
          <w:tcPr>
            <w:tcW w:w="1304" w:type="dxa"/>
          </w:tcPr>
          <w:p w14:paraId="44333B11"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III</w:t>
            </w:r>
          </w:p>
        </w:tc>
        <w:tc>
          <w:tcPr>
            <w:tcW w:w="818" w:type="dxa"/>
          </w:tcPr>
          <w:p w14:paraId="7C6DD2D7"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14:paraId="1C3E6FE1"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2256C243"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14:paraId="75674EAA"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1741D728"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14:paraId="53E7D5B3"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r w:rsidR="00CB2E20" w:rsidRPr="009221E4" w14:paraId="054A05F5" w14:textId="77777777" w:rsidTr="00CB2E20">
        <w:tc>
          <w:tcPr>
            <w:tcW w:w="1304" w:type="dxa"/>
          </w:tcPr>
          <w:p w14:paraId="4F94F8C3"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IV</w:t>
            </w:r>
          </w:p>
        </w:tc>
        <w:tc>
          <w:tcPr>
            <w:tcW w:w="818" w:type="dxa"/>
          </w:tcPr>
          <w:p w14:paraId="2118243D" w14:textId="77777777" w:rsidR="00CB2E20" w:rsidRPr="009221E4" w:rsidRDefault="00CB2E20" w:rsidP="00CB2E20">
            <w:pPr>
              <w:autoSpaceDE w:val="0"/>
              <w:autoSpaceDN w:val="0"/>
              <w:adjustRightInd w:val="0"/>
              <w:jc w:val="center"/>
              <w:rPr>
                <w:rFonts w:ascii="Arial" w:hAnsi="Arial" w:cs="Arial"/>
                <w:sz w:val="20"/>
                <w:szCs w:val="20"/>
              </w:rPr>
            </w:pPr>
            <w:r w:rsidRPr="009221E4">
              <w:rPr>
                <w:rFonts w:ascii="Arial" w:hAnsi="Arial" w:cs="Arial"/>
                <w:sz w:val="20"/>
                <w:szCs w:val="20"/>
              </w:rPr>
              <w:t>–</w:t>
            </w:r>
          </w:p>
        </w:tc>
        <w:tc>
          <w:tcPr>
            <w:tcW w:w="850" w:type="dxa"/>
          </w:tcPr>
          <w:p w14:paraId="3632F201"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5B7AF2E5"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0" w:type="dxa"/>
          </w:tcPr>
          <w:p w14:paraId="16C50F90"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851" w:type="dxa"/>
          </w:tcPr>
          <w:p w14:paraId="20F2CF05"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c>
          <w:tcPr>
            <w:tcW w:w="708" w:type="dxa"/>
          </w:tcPr>
          <w:p w14:paraId="1DFCC624" w14:textId="77777777" w:rsidR="00CB2E20" w:rsidRPr="009221E4" w:rsidRDefault="00CB2E20" w:rsidP="00CB2E20">
            <w:pPr>
              <w:jc w:val="center"/>
              <w:rPr>
                <w:rFonts w:ascii="Arial" w:hAnsi="Arial" w:cs="Arial"/>
                <w:sz w:val="20"/>
                <w:szCs w:val="20"/>
              </w:rPr>
            </w:pPr>
            <w:r w:rsidRPr="009221E4">
              <w:rPr>
                <w:rFonts w:ascii="Arial" w:hAnsi="Arial" w:cs="Arial"/>
                <w:sz w:val="20"/>
                <w:szCs w:val="20"/>
              </w:rPr>
              <w:t>–</w:t>
            </w:r>
          </w:p>
        </w:tc>
      </w:tr>
    </w:tbl>
    <w:p w14:paraId="03D3484C" w14:textId="77777777" w:rsidR="00CB2E20" w:rsidRPr="009221E4" w:rsidRDefault="00CB2E20" w:rsidP="00A3417F">
      <w:pPr>
        <w:autoSpaceDE w:val="0"/>
        <w:autoSpaceDN w:val="0"/>
        <w:adjustRightInd w:val="0"/>
        <w:spacing w:after="0" w:line="240" w:lineRule="auto"/>
        <w:rPr>
          <w:rFonts w:ascii="Arial" w:hAnsi="Arial" w:cs="Arial"/>
          <w:sz w:val="20"/>
          <w:szCs w:val="20"/>
        </w:rPr>
      </w:pPr>
    </w:p>
    <w:p w14:paraId="5B89393D" w14:textId="77777777"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Haga un repaso de las igualdades que se dan entre las funciones y a través del cálculo de algunos valores llévelos a determinar si son o no identidades de ángulos complementarios. Por ejemplo: </w:t>
      </w:r>
    </w:p>
    <w:p w14:paraId="3A65CAC1" w14:textId="77777777"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–cos(90° – α) = sen α</w:t>
      </w:r>
    </w:p>
    <w:p w14:paraId="6E200FAC" w14:textId="77777777"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–cot(90° – α) = tan α</w:t>
      </w:r>
    </w:p>
    <w:p w14:paraId="5F063736" w14:textId="77777777"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–csc(90° – α) = sec α</w:t>
      </w:r>
    </w:p>
    <w:p w14:paraId="0C810B08"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4D90E169" w14:textId="77777777" w:rsidR="00CB2E20" w:rsidRPr="009221E4" w:rsidRDefault="00CB2E20" w:rsidP="00CB2E20">
      <w:pPr>
        <w:autoSpaceDE w:val="0"/>
        <w:autoSpaceDN w:val="0"/>
        <w:adjustRightInd w:val="0"/>
        <w:spacing w:after="0" w:line="240" w:lineRule="auto"/>
        <w:rPr>
          <w:rFonts w:ascii="Arial" w:hAnsi="Arial" w:cs="Arial"/>
          <w:sz w:val="20"/>
          <w:szCs w:val="20"/>
        </w:rPr>
      </w:pPr>
      <w:r w:rsidRPr="009221E4">
        <w:rPr>
          <w:rFonts w:ascii="Arial" w:hAnsi="Arial" w:cs="Arial"/>
          <w:sz w:val="20"/>
          <w:szCs w:val="20"/>
        </w:rPr>
        <w:t xml:space="preserve">Proponga la demostración de algunas identidades para ser discutidas mediante una puesta en común. Acepte las distintas alternativas propuestas siempre y cuando se fundamenten en razonamientos lógicos, con el fin de concluir que no existe un método único en la demostración de las identidades. Utilice estos procedimientos posteriormente en la deducción de las identidades para la suma de ángulos y explíqueles que aunque la demostración se realiza para ángulos entre 0° y 90° es posible realizar la generalización para cualquier ángulo. Pídales realizar las actividades del recurso </w:t>
      </w:r>
      <w:r w:rsidRPr="009221E4">
        <w:rPr>
          <w:rFonts w:ascii="Arial" w:hAnsi="Arial" w:cs="Arial"/>
          <w:b/>
          <w:sz w:val="20"/>
          <w:szCs w:val="20"/>
        </w:rPr>
        <w:t>Demuestra identidades</w:t>
      </w:r>
      <w:r w:rsidRPr="009221E4">
        <w:rPr>
          <w:rFonts w:ascii="Arial" w:hAnsi="Arial" w:cs="Arial"/>
          <w:sz w:val="20"/>
          <w:szCs w:val="20"/>
        </w:rPr>
        <w:t>. No olvide pedir las justificaciones a los procedimientos.</w:t>
      </w:r>
    </w:p>
    <w:p w14:paraId="4A245921"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6F7C149D" w14:textId="77777777" w:rsidR="00721ED2" w:rsidRPr="009221E4" w:rsidRDefault="00CB2E20" w:rsidP="00CB2E20">
      <w:pPr>
        <w:rPr>
          <w:rFonts w:ascii="Arial" w:hAnsi="Arial" w:cs="Arial"/>
          <w:sz w:val="20"/>
          <w:szCs w:val="20"/>
        </w:rPr>
      </w:pPr>
      <w:r w:rsidRPr="009221E4">
        <w:rPr>
          <w:rFonts w:ascii="Arial" w:hAnsi="Arial" w:cs="Arial"/>
          <w:sz w:val="20"/>
          <w:szCs w:val="20"/>
        </w:rPr>
        <w:t xml:space="preserve">Haga énfasis en que a partir de las identidades de seno, coseno y tangente ya sea de la suma o de la diferencia de ángulos, se pueden realizar las demostraciones de las identidades correspondientes a la cotangente, la secante y la cosecante. </w:t>
      </w:r>
    </w:p>
    <w:p w14:paraId="062FABC5" w14:textId="77777777" w:rsidR="00721ED2" w:rsidRPr="009221E4" w:rsidRDefault="00721ED2" w:rsidP="00721ED2">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En el caso de las identidades para ángulos dobles haga notar que estas se pueden deducir a partir de las identidades para la suma de ángulos expresándolas como sen 2</w:t>
      </w:r>
      <w:r w:rsidRPr="009221E4">
        <w:rPr>
          <w:rFonts w:ascii="Arial" w:hAnsi="Arial" w:cs="Arial"/>
          <w:sz w:val="20"/>
          <w:szCs w:val="20"/>
        </w:rPr>
        <w:t xml:space="preserve">α = </w:t>
      </w:r>
      <w:r w:rsidRPr="009221E4">
        <w:rPr>
          <w:rFonts w:ascii="Arial" w:eastAsia="Times New Roman" w:hAnsi="Arial" w:cs="Arial"/>
          <w:color w:val="000000"/>
          <w:sz w:val="20"/>
          <w:szCs w:val="20"/>
          <w:lang w:eastAsia="es-CO"/>
        </w:rPr>
        <w:t>sen</w:t>
      </w:r>
      <w:r w:rsidRPr="009221E4">
        <w:rPr>
          <w:rFonts w:ascii="Arial" w:hAnsi="Arial" w:cs="Arial"/>
          <w:sz w:val="20"/>
          <w:szCs w:val="20"/>
        </w:rPr>
        <w:t xml:space="preserve"> (α + α), </w:t>
      </w:r>
      <w:r w:rsidRPr="009221E4">
        <w:rPr>
          <w:rFonts w:ascii="Arial" w:eastAsia="Times New Roman" w:hAnsi="Arial" w:cs="Arial"/>
          <w:color w:val="000000"/>
          <w:sz w:val="20"/>
          <w:szCs w:val="20"/>
          <w:lang w:eastAsia="es-CO"/>
        </w:rPr>
        <w:t>igual sucede para cos</w:t>
      </w:r>
      <w:r w:rsidRPr="009221E4">
        <w:rPr>
          <w:rFonts w:ascii="Arial" w:hAnsi="Arial" w:cs="Arial"/>
          <w:sz w:val="20"/>
          <w:szCs w:val="20"/>
        </w:rPr>
        <w:t xml:space="preserve"> </w:t>
      </w:r>
      <w:r w:rsidRPr="009221E4">
        <w:rPr>
          <w:rFonts w:ascii="Arial" w:eastAsia="Times New Roman" w:hAnsi="Arial" w:cs="Arial"/>
          <w:color w:val="000000"/>
          <w:sz w:val="20"/>
          <w:szCs w:val="20"/>
          <w:lang w:eastAsia="es-CO"/>
        </w:rPr>
        <w:t>2</w:t>
      </w:r>
      <w:r w:rsidRPr="009221E4">
        <w:rPr>
          <w:rFonts w:ascii="Arial" w:hAnsi="Arial" w:cs="Arial"/>
          <w:sz w:val="20"/>
          <w:szCs w:val="20"/>
        </w:rPr>
        <w:t xml:space="preserve">α </w:t>
      </w:r>
      <w:r w:rsidRPr="009221E4">
        <w:rPr>
          <w:rFonts w:ascii="Arial" w:eastAsia="Times New Roman" w:hAnsi="Arial" w:cs="Arial"/>
          <w:color w:val="000000"/>
          <w:sz w:val="20"/>
          <w:szCs w:val="20"/>
          <w:lang w:eastAsia="es-CO"/>
        </w:rPr>
        <w:t>y tan 2</w:t>
      </w:r>
      <w:r w:rsidRPr="009221E4">
        <w:rPr>
          <w:rFonts w:ascii="Arial" w:hAnsi="Arial" w:cs="Arial"/>
          <w:sz w:val="20"/>
          <w:szCs w:val="20"/>
        </w:rPr>
        <w:t xml:space="preserve">α, </w:t>
      </w:r>
      <w:r w:rsidRPr="009221E4">
        <w:rPr>
          <w:rFonts w:ascii="Arial" w:eastAsia="Times New Roman" w:hAnsi="Arial" w:cs="Arial"/>
          <w:color w:val="000000"/>
          <w:sz w:val="20"/>
          <w:szCs w:val="20"/>
          <w:lang w:eastAsia="es-CO"/>
        </w:rPr>
        <w:t xml:space="preserve">comente el proceso de deducción de cada fórmula y sugiera el trabajo con los recursos </w:t>
      </w:r>
      <w:r w:rsidRPr="009221E4">
        <w:rPr>
          <w:rFonts w:ascii="Arial" w:eastAsia="Times New Roman" w:hAnsi="Arial" w:cs="Arial"/>
          <w:b/>
          <w:color w:val="000000"/>
          <w:sz w:val="20"/>
          <w:szCs w:val="20"/>
          <w:lang w:eastAsia="es-CO"/>
        </w:rPr>
        <w:t>Practica con identidades de suma y diferencia de ángulos</w:t>
      </w:r>
      <w:r w:rsidRPr="009221E4">
        <w:rPr>
          <w:rFonts w:ascii="Arial" w:eastAsia="Times New Roman" w:hAnsi="Arial" w:cs="Arial"/>
          <w:color w:val="000000"/>
          <w:sz w:val="20"/>
          <w:szCs w:val="20"/>
          <w:lang w:eastAsia="es-CO"/>
        </w:rPr>
        <w:t xml:space="preserve"> y,</w:t>
      </w:r>
      <w:r w:rsidRPr="009221E4">
        <w:rPr>
          <w:rFonts w:ascii="Arial" w:eastAsia="Times New Roman" w:hAnsi="Arial" w:cs="Arial"/>
          <w:b/>
          <w:color w:val="000000"/>
          <w:sz w:val="20"/>
          <w:szCs w:val="20"/>
          <w:lang w:eastAsia="es-CO"/>
        </w:rPr>
        <w:t xml:space="preserve"> Practica las identidades para ángulos dobles y medios</w:t>
      </w:r>
      <w:r w:rsidRPr="009221E4">
        <w:rPr>
          <w:rFonts w:ascii="Arial" w:eastAsia="Times New Roman" w:hAnsi="Arial" w:cs="Arial"/>
          <w:color w:val="000000"/>
          <w:sz w:val="20"/>
          <w:szCs w:val="20"/>
          <w:lang w:eastAsia="es-CO"/>
        </w:rPr>
        <w:t>.</w:t>
      </w:r>
    </w:p>
    <w:p w14:paraId="6DDD6B39" w14:textId="77777777" w:rsidR="00961CA3" w:rsidRPr="009221E4" w:rsidRDefault="00961CA3"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 xml:space="preserve">Para trabajar las ecuaciones trigonométricas es importante que recuerden las funciones inversas y las identidades que se han deducido hasta el momento, pues probablemente se utilizarán en la resolución de ecuaciones. Además recalque el hecho de que en este caso se trata de encontrar que valores satisfacen la ecuación dada y que este valor se puede dar como real, empleando el sistema sexagesimal o en radianes. </w:t>
      </w:r>
    </w:p>
    <w:p w14:paraId="62674E8F" w14:textId="77777777" w:rsidR="00961CA3" w:rsidRPr="009221E4" w:rsidRDefault="00961CA3"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Por ejemplo la expresión sen</w:t>
      </w:r>
      <w:r w:rsidRPr="009221E4">
        <w:rPr>
          <w:rFonts w:ascii="Arial" w:eastAsia="Times New Roman" w:hAnsi="Arial" w:cs="Arial"/>
          <w:color w:val="000000"/>
          <w:sz w:val="20"/>
          <w:szCs w:val="20"/>
          <w:vertAlign w:val="superscript"/>
          <w:lang w:eastAsia="es-CO"/>
        </w:rPr>
        <w:t>2</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1 – cos</w:t>
      </w:r>
      <w:r w:rsidRPr="009221E4">
        <w:rPr>
          <w:rFonts w:ascii="Arial" w:eastAsia="Times New Roman" w:hAnsi="Arial" w:cs="Arial"/>
          <w:color w:val="000000"/>
          <w:sz w:val="20"/>
          <w:szCs w:val="20"/>
          <w:vertAlign w:val="superscript"/>
          <w:lang w:eastAsia="es-CO"/>
        </w:rPr>
        <w:t>2</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es una identidad, ya que se cumple para todo valor que tome el ángulo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mientras que la igualdad sen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1 = 0, es válida solo para algunos valores de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por ejemplo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π/2, 5π/2, 9π/2, etc., pero no es válida para valores como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0, </w:t>
      </w:r>
      <w:r w:rsidRPr="009221E4">
        <w:rPr>
          <w:rFonts w:ascii="Arial" w:eastAsia="Times New Roman" w:hAnsi="Arial" w:cs="Arial"/>
          <w:i/>
          <w:color w:val="000000"/>
          <w:sz w:val="20"/>
          <w:szCs w:val="20"/>
          <w:lang w:eastAsia="es-CO"/>
        </w:rPr>
        <w:t>x</w:t>
      </w:r>
      <w:r w:rsidRPr="009221E4">
        <w:rPr>
          <w:rFonts w:ascii="Arial" w:eastAsia="Times New Roman" w:hAnsi="Arial" w:cs="Arial"/>
          <w:color w:val="000000"/>
          <w:sz w:val="20"/>
          <w:szCs w:val="20"/>
          <w:lang w:eastAsia="es-CO"/>
        </w:rPr>
        <w:t xml:space="preserve"> = π/3, entre otros. </w:t>
      </w:r>
    </w:p>
    <w:p w14:paraId="303DB0AC" w14:textId="77777777" w:rsidR="00961CA3" w:rsidRPr="009221E4" w:rsidRDefault="00961CA3"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Es importante aclararles a los estudiantes que mientras una ecuación algebraica como -2x</w:t>
      </w:r>
      <w:r w:rsidRPr="009221E4">
        <w:rPr>
          <w:rFonts w:ascii="Arial" w:eastAsia="Times New Roman" w:hAnsi="Arial" w:cs="Arial"/>
          <w:color w:val="000000"/>
          <w:sz w:val="20"/>
          <w:szCs w:val="20"/>
          <w:vertAlign w:val="superscript"/>
          <w:lang w:eastAsia="es-CO"/>
        </w:rPr>
        <w:t>3</w:t>
      </w:r>
      <w:r w:rsidRPr="009221E4">
        <w:rPr>
          <w:rFonts w:ascii="Arial" w:eastAsia="Times New Roman" w:hAnsi="Arial" w:cs="Arial"/>
          <w:color w:val="000000"/>
          <w:sz w:val="20"/>
          <w:szCs w:val="20"/>
          <w:lang w:eastAsia="es-CO"/>
        </w:rPr>
        <w:t xml:space="preserve"> + x</w:t>
      </w:r>
      <w:r w:rsidRPr="009221E4">
        <w:rPr>
          <w:rFonts w:ascii="Arial" w:eastAsia="Times New Roman" w:hAnsi="Arial" w:cs="Arial"/>
          <w:color w:val="000000"/>
          <w:sz w:val="20"/>
          <w:szCs w:val="20"/>
          <w:vertAlign w:val="superscript"/>
          <w:lang w:eastAsia="es-CO"/>
        </w:rPr>
        <w:t>2</w:t>
      </w:r>
      <w:r w:rsidRPr="009221E4">
        <w:rPr>
          <w:rFonts w:ascii="Arial" w:eastAsia="Times New Roman" w:hAnsi="Arial" w:cs="Arial"/>
          <w:color w:val="000000"/>
          <w:sz w:val="20"/>
          <w:szCs w:val="20"/>
          <w:lang w:eastAsia="es-CO"/>
        </w:rPr>
        <w:t xml:space="preserve"> – 5x – 6 = 0, puede tener tres soluciones reales, una ecuación trigonométrica simple como sen x = 1/2, tiene </w:t>
      </w:r>
      <w:r w:rsidR="004E2397" w:rsidRPr="009221E4">
        <w:rPr>
          <w:rFonts w:ascii="Arial" w:eastAsia="Times New Roman" w:hAnsi="Arial" w:cs="Arial"/>
          <w:color w:val="000000"/>
          <w:sz w:val="20"/>
          <w:szCs w:val="20"/>
          <w:lang w:eastAsia="es-CO"/>
        </w:rPr>
        <w:t xml:space="preserve">infinitas soluciones, ya que por ser una función periódica interseca al eje </w:t>
      </w:r>
      <w:r w:rsidR="004E2397" w:rsidRPr="009221E4">
        <w:rPr>
          <w:rFonts w:ascii="Arial" w:eastAsia="Times New Roman" w:hAnsi="Arial" w:cs="Arial"/>
          <w:i/>
          <w:color w:val="000000"/>
          <w:sz w:val="20"/>
          <w:szCs w:val="20"/>
          <w:lang w:eastAsia="es-CO"/>
        </w:rPr>
        <w:t>X</w:t>
      </w:r>
      <w:r w:rsidR="004E2397" w:rsidRPr="009221E4">
        <w:rPr>
          <w:rFonts w:ascii="Arial" w:eastAsia="Times New Roman" w:hAnsi="Arial" w:cs="Arial"/>
          <w:color w:val="000000"/>
          <w:sz w:val="20"/>
          <w:szCs w:val="20"/>
          <w:lang w:eastAsia="es-CO"/>
        </w:rPr>
        <w:t xml:space="preserve"> en infinitos puntos, aunque usualmente por razones prácticas se consideran aquellas en el intervalo (0, 2π).</w:t>
      </w:r>
      <w:r w:rsidR="00FF6005" w:rsidRPr="009221E4">
        <w:rPr>
          <w:rFonts w:ascii="Arial" w:eastAsia="Times New Roman" w:hAnsi="Arial" w:cs="Arial"/>
          <w:color w:val="000000"/>
          <w:sz w:val="20"/>
          <w:szCs w:val="20"/>
          <w:lang w:eastAsia="es-CO"/>
        </w:rPr>
        <w:t xml:space="preserve"> Distribuya los recursos correspondientes al tema de manera que se realicen todos en clase para resolver o aclarar dudas.</w:t>
      </w:r>
    </w:p>
    <w:p w14:paraId="49AF7F77" w14:textId="77777777" w:rsidR="00FF6005" w:rsidRDefault="009221E4"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Finalmente, tenga en cuenta los siguientes recursos que apuntan a la descripción dada en los Derechos Básicos de Aprendizaje correspondientes al grado.</w:t>
      </w:r>
    </w:p>
    <w:p w14:paraId="6CB9CEEC" w14:textId="77777777" w:rsidR="009221E4" w:rsidRPr="009221E4" w:rsidRDefault="009221E4" w:rsidP="00961CA3">
      <w:pPr>
        <w:rPr>
          <w:rFonts w:ascii="Arial" w:eastAsia="Times New Roman" w:hAnsi="Arial" w:cs="Arial"/>
          <w:color w:val="000000"/>
          <w:sz w:val="20"/>
          <w:szCs w:val="20"/>
          <w:lang w:eastAsia="es-CO"/>
        </w:rPr>
      </w:pPr>
    </w:p>
    <w:tbl>
      <w:tblPr>
        <w:tblStyle w:val="Tablaconcuadrcula"/>
        <w:tblW w:w="9634" w:type="dxa"/>
        <w:tblLook w:val="04A0" w:firstRow="1" w:lastRow="0" w:firstColumn="1" w:lastColumn="0" w:noHBand="0" w:noVBand="1"/>
      </w:tblPr>
      <w:tblGrid>
        <w:gridCol w:w="4390"/>
        <w:gridCol w:w="2693"/>
        <w:gridCol w:w="2551"/>
      </w:tblGrid>
      <w:tr w:rsidR="009221E4" w:rsidRPr="009221E4" w14:paraId="61B26799" w14:textId="77777777" w:rsidTr="009221E4">
        <w:tc>
          <w:tcPr>
            <w:tcW w:w="9634" w:type="dxa"/>
            <w:gridSpan w:val="3"/>
          </w:tcPr>
          <w:p w14:paraId="2F4413A5" w14:textId="77777777"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lastRenderedPageBreak/>
              <w:t>DERECHOS BÁSICOS DE APRENDIZAJE AULAPLANETA</w:t>
            </w:r>
          </w:p>
        </w:tc>
      </w:tr>
      <w:tr w:rsidR="009221E4" w:rsidRPr="009221E4" w14:paraId="0E99A585" w14:textId="77777777" w:rsidTr="009221E4">
        <w:tc>
          <w:tcPr>
            <w:tcW w:w="4390" w:type="dxa"/>
          </w:tcPr>
          <w:p w14:paraId="143D3D70" w14:textId="77777777"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Derechos básicos de aprendizaje grado 10</w:t>
            </w:r>
          </w:p>
        </w:tc>
        <w:tc>
          <w:tcPr>
            <w:tcW w:w="2693" w:type="dxa"/>
          </w:tcPr>
          <w:p w14:paraId="0C6AB7E6" w14:textId="77777777"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Recurso</w:t>
            </w:r>
          </w:p>
        </w:tc>
        <w:tc>
          <w:tcPr>
            <w:tcW w:w="2551" w:type="dxa"/>
          </w:tcPr>
          <w:p w14:paraId="751DAD98" w14:textId="77777777" w:rsidR="009221E4" w:rsidRPr="009221E4" w:rsidRDefault="009221E4" w:rsidP="00961CA3">
            <w:pPr>
              <w:rPr>
                <w:rFonts w:ascii="Arial" w:eastAsia="Times New Roman" w:hAnsi="Arial" w:cs="Arial"/>
                <w:b/>
                <w:color w:val="000000"/>
                <w:sz w:val="20"/>
                <w:szCs w:val="20"/>
                <w:lang w:eastAsia="es-CO"/>
              </w:rPr>
            </w:pPr>
            <w:r w:rsidRPr="009221E4">
              <w:rPr>
                <w:rFonts w:ascii="Arial" w:eastAsia="Times New Roman" w:hAnsi="Arial" w:cs="Arial"/>
                <w:b/>
                <w:color w:val="000000"/>
                <w:sz w:val="20"/>
                <w:szCs w:val="20"/>
                <w:lang w:eastAsia="es-CO"/>
              </w:rPr>
              <w:t>Descripción</w:t>
            </w:r>
          </w:p>
        </w:tc>
      </w:tr>
      <w:tr w:rsidR="009221E4" w:rsidRPr="009221E4" w14:paraId="6A9765FE" w14:textId="77777777" w:rsidTr="009221E4">
        <w:tc>
          <w:tcPr>
            <w:tcW w:w="4390" w:type="dxa"/>
            <w:vMerge w:val="restart"/>
          </w:tcPr>
          <w:p w14:paraId="376F9830" w14:textId="77777777" w:rsidR="009221E4" w:rsidRPr="009221E4" w:rsidRDefault="009221E4" w:rsidP="009221E4">
            <w:pPr>
              <w:autoSpaceDE w:val="0"/>
              <w:autoSpaceDN w:val="0"/>
              <w:adjustRightInd w:val="0"/>
              <w:rPr>
                <w:rFonts w:ascii="Arial" w:hAnsi="Arial" w:cs="Arial"/>
                <w:bCs/>
                <w:sz w:val="20"/>
                <w:szCs w:val="20"/>
              </w:rPr>
            </w:pPr>
            <w:r w:rsidRPr="009221E4">
              <w:rPr>
                <w:rFonts w:ascii="Arial" w:hAnsi="Arial" w:cs="Arial"/>
                <w:b/>
                <w:bCs/>
                <w:sz w:val="20"/>
                <w:szCs w:val="20"/>
              </w:rPr>
              <w:t>Derecho 12</w:t>
            </w:r>
            <w:r w:rsidRPr="009221E4">
              <w:rPr>
                <w:rFonts w:ascii="Arial" w:hAnsi="Arial" w:cs="Arial"/>
                <w:bCs/>
                <w:sz w:val="20"/>
                <w:szCs w:val="20"/>
              </w:rPr>
              <w:t xml:space="preserve">. </w:t>
            </w:r>
          </w:p>
          <w:p w14:paraId="4F2E3E1B" w14:textId="77777777" w:rsidR="009221E4" w:rsidRPr="009221E4" w:rsidRDefault="009221E4" w:rsidP="009221E4">
            <w:pPr>
              <w:autoSpaceDE w:val="0"/>
              <w:autoSpaceDN w:val="0"/>
              <w:adjustRightInd w:val="0"/>
              <w:rPr>
                <w:rFonts w:ascii="Arial" w:eastAsia="Times New Roman" w:hAnsi="Arial" w:cs="Arial"/>
                <w:color w:val="000000"/>
                <w:sz w:val="20"/>
                <w:szCs w:val="20"/>
                <w:lang w:eastAsia="es-CO"/>
              </w:rPr>
            </w:pPr>
            <w:r w:rsidRPr="009221E4">
              <w:rPr>
                <w:rFonts w:ascii="Arial" w:hAnsi="Arial" w:cs="Arial"/>
                <w:bCs/>
                <w:sz w:val="20"/>
                <w:szCs w:val="20"/>
              </w:rPr>
              <w:t>Comprende y utiliza la ley del seno y el coseno para resolver problemas de matemáticas y otras disciplinas que involucren triángulos no rectángulos.</w:t>
            </w:r>
          </w:p>
        </w:tc>
        <w:tc>
          <w:tcPr>
            <w:tcW w:w="2693" w:type="dxa"/>
          </w:tcPr>
          <w:p w14:paraId="3C117564" w14:textId="77777777" w:rsidR="009221E4" w:rsidRPr="009221E4" w:rsidRDefault="009221E4" w:rsidP="00961CA3">
            <w:pPr>
              <w:rPr>
                <w:rFonts w:ascii="Arial" w:eastAsia="Times New Roman" w:hAnsi="Arial" w:cs="Arial"/>
                <w:color w:val="000000"/>
                <w:sz w:val="20"/>
                <w:szCs w:val="20"/>
                <w:lang w:eastAsia="es-CO"/>
              </w:rPr>
            </w:pPr>
            <w:r w:rsidRPr="009221E4">
              <w:rPr>
                <w:rFonts w:ascii="Arial" w:eastAsia="Times New Roman" w:hAnsi="Arial" w:cs="Arial"/>
                <w:color w:val="000000"/>
                <w:sz w:val="20"/>
                <w:szCs w:val="20"/>
                <w:lang w:eastAsia="es-CO"/>
              </w:rPr>
              <w:t>La resolución de triángulos no rectángulos</w:t>
            </w:r>
          </w:p>
        </w:tc>
        <w:tc>
          <w:tcPr>
            <w:tcW w:w="2551" w:type="dxa"/>
          </w:tcPr>
          <w:p w14:paraId="04D1402B" w14:textId="77777777" w:rsidR="009221E4" w:rsidRPr="009221E4" w:rsidRDefault="009221E4" w:rsidP="009221E4">
            <w:pPr>
              <w:rPr>
                <w:rFonts w:ascii="Arial" w:eastAsia="Times New Roman" w:hAnsi="Arial" w:cs="Arial"/>
                <w:color w:val="000000"/>
                <w:sz w:val="20"/>
                <w:szCs w:val="20"/>
                <w:lang w:eastAsia="es-CO"/>
              </w:rPr>
            </w:pPr>
            <w:r w:rsidRPr="009221E4">
              <w:rPr>
                <w:rFonts w:ascii="Arial" w:hAnsi="Arial" w:cs="Arial"/>
                <w:color w:val="000000"/>
                <w:sz w:val="20"/>
                <w:szCs w:val="20"/>
              </w:rPr>
              <w:t>Interactivo que expone a partir de la solución de situaciones problema, la resolución de triángulos no rectángulos</w:t>
            </w:r>
          </w:p>
        </w:tc>
      </w:tr>
      <w:tr w:rsidR="009221E4" w:rsidRPr="009221E4" w14:paraId="2E8C0C07" w14:textId="77777777" w:rsidTr="009221E4">
        <w:tc>
          <w:tcPr>
            <w:tcW w:w="4390" w:type="dxa"/>
            <w:vMerge/>
          </w:tcPr>
          <w:p w14:paraId="4D30C034"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624A5930"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Aplica la ley de seno</w:t>
            </w:r>
          </w:p>
          <w:p w14:paraId="594C7F85" w14:textId="77777777" w:rsidR="009221E4" w:rsidRPr="009221E4" w:rsidRDefault="009221E4" w:rsidP="009221E4">
            <w:pPr>
              <w:rPr>
                <w:rFonts w:ascii="Arial" w:eastAsia="Times New Roman" w:hAnsi="Arial" w:cs="Arial"/>
                <w:color w:val="000000"/>
                <w:sz w:val="20"/>
                <w:szCs w:val="20"/>
                <w:lang w:eastAsia="es-CO"/>
              </w:rPr>
            </w:pPr>
          </w:p>
        </w:tc>
        <w:tc>
          <w:tcPr>
            <w:tcW w:w="2551" w:type="dxa"/>
          </w:tcPr>
          <w:p w14:paraId="66C4FF89"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resolver triángulos oblicuángulos</w:t>
            </w:r>
          </w:p>
        </w:tc>
      </w:tr>
      <w:tr w:rsidR="009221E4" w:rsidRPr="009221E4" w14:paraId="08321F97" w14:textId="77777777" w:rsidTr="009221E4">
        <w:tc>
          <w:tcPr>
            <w:tcW w:w="4390" w:type="dxa"/>
            <w:vMerge/>
          </w:tcPr>
          <w:p w14:paraId="4DB6398A"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62CA4A88" w14:textId="77777777" w:rsidR="009221E4" w:rsidRPr="009221E4" w:rsidRDefault="009221E4" w:rsidP="009221E4">
            <w:pPr>
              <w:rPr>
                <w:rFonts w:ascii="Arial" w:eastAsia="Times New Roman" w:hAnsi="Arial" w:cs="Arial"/>
                <w:color w:val="000000"/>
                <w:sz w:val="20"/>
                <w:szCs w:val="20"/>
                <w:lang w:eastAsia="es-CO"/>
              </w:rPr>
            </w:pPr>
            <w:r w:rsidRPr="009221E4">
              <w:rPr>
                <w:rFonts w:ascii="Arial" w:hAnsi="Arial" w:cs="Arial"/>
                <w:color w:val="000000"/>
                <w:sz w:val="20"/>
                <w:szCs w:val="20"/>
              </w:rPr>
              <w:t>Practica la ley de coseno</w:t>
            </w:r>
          </w:p>
        </w:tc>
        <w:tc>
          <w:tcPr>
            <w:tcW w:w="2551" w:type="dxa"/>
          </w:tcPr>
          <w:p w14:paraId="059A36BA"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resolver situaciones problema que involucran triángulos oblicuángulos</w:t>
            </w:r>
          </w:p>
        </w:tc>
      </w:tr>
      <w:tr w:rsidR="009221E4" w:rsidRPr="009221E4" w14:paraId="42262885" w14:textId="77777777" w:rsidTr="009221E4">
        <w:tc>
          <w:tcPr>
            <w:tcW w:w="4390" w:type="dxa"/>
            <w:vMerge/>
          </w:tcPr>
          <w:p w14:paraId="05F2A92B"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49508AC5"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Resuelve triángulos oblicuángulos</w:t>
            </w:r>
          </w:p>
        </w:tc>
        <w:tc>
          <w:tcPr>
            <w:tcW w:w="2551" w:type="dxa"/>
          </w:tcPr>
          <w:p w14:paraId="31E89197"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Interactivo que propone la aplicación de los teoremas del seno y del coseno para la resolución de triángulos oblicuángulos</w:t>
            </w:r>
          </w:p>
        </w:tc>
      </w:tr>
      <w:tr w:rsidR="009221E4" w:rsidRPr="009221E4" w14:paraId="439C9614" w14:textId="77777777" w:rsidTr="009221E4">
        <w:tc>
          <w:tcPr>
            <w:tcW w:w="4390" w:type="dxa"/>
            <w:vMerge/>
          </w:tcPr>
          <w:p w14:paraId="4CED47EA"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45ECAE6E"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Resuelve situaciones problema que involucran triángulos oblicuángulos</w:t>
            </w:r>
          </w:p>
        </w:tc>
        <w:tc>
          <w:tcPr>
            <w:tcW w:w="2551" w:type="dxa"/>
          </w:tcPr>
          <w:p w14:paraId="23EC844F"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Actividades sobre La resolución de triángulos oblicuángulos</w:t>
            </w:r>
          </w:p>
        </w:tc>
      </w:tr>
      <w:tr w:rsidR="009221E4" w:rsidRPr="009221E4" w14:paraId="2067CB26" w14:textId="77777777" w:rsidTr="009221E4">
        <w:tc>
          <w:tcPr>
            <w:tcW w:w="4390" w:type="dxa"/>
            <w:vMerge/>
          </w:tcPr>
          <w:p w14:paraId="69364CC3"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632BCA53"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Aplica la ley del seno y del coseno en la resolución de triángulos oblicuángulos</w:t>
            </w:r>
          </w:p>
        </w:tc>
        <w:tc>
          <w:tcPr>
            <w:tcW w:w="2551" w:type="dxa"/>
          </w:tcPr>
          <w:p w14:paraId="21FDCB2A"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analizar diferentes aplicaciones de las identidades trigonométricas</w:t>
            </w:r>
          </w:p>
        </w:tc>
      </w:tr>
      <w:tr w:rsidR="009221E4" w:rsidRPr="009221E4" w14:paraId="2A53703C" w14:textId="77777777" w:rsidTr="009221E4">
        <w:tc>
          <w:tcPr>
            <w:tcW w:w="4390" w:type="dxa"/>
            <w:vMerge/>
          </w:tcPr>
          <w:p w14:paraId="48E92FD2" w14:textId="77777777" w:rsidR="009221E4" w:rsidRPr="009221E4" w:rsidRDefault="009221E4" w:rsidP="009221E4">
            <w:pPr>
              <w:rPr>
                <w:rFonts w:ascii="Arial" w:eastAsia="Times New Roman" w:hAnsi="Arial" w:cs="Arial"/>
                <w:color w:val="000000"/>
                <w:sz w:val="20"/>
                <w:szCs w:val="20"/>
                <w:lang w:eastAsia="es-CO"/>
              </w:rPr>
            </w:pPr>
          </w:p>
        </w:tc>
        <w:tc>
          <w:tcPr>
            <w:tcW w:w="2693" w:type="dxa"/>
          </w:tcPr>
          <w:p w14:paraId="34DC5BEA"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Refuerza tu aprendizaje: La resolución de triángulos no rectángulos</w:t>
            </w:r>
          </w:p>
        </w:tc>
        <w:tc>
          <w:tcPr>
            <w:tcW w:w="2551" w:type="dxa"/>
          </w:tcPr>
          <w:p w14:paraId="04BEE492"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resolver triángulos oblicuángulos</w:t>
            </w:r>
          </w:p>
        </w:tc>
      </w:tr>
      <w:tr w:rsidR="009221E4" w:rsidRPr="009221E4" w14:paraId="14D68CCA" w14:textId="77777777" w:rsidTr="009221E4">
        <w:tc>
          <w:tcPr>
            <w:tcW w:w="4390" w:type="dxa"/>
            <w:vMerge w:val="restart"/>
          </w:tcPr>
          <w:p w14:paraId="5E05744E" w14:textId="77777777" w:rsidR="009221E4" w:rsidRPr="009221E4" w:rsidRDefault="009221E4" w:rsidP="009221E4">
            <w:pPr>
              <w:autoSpaceDE w:val="0"/>
              <w:autoSpaceDN w:val="0"/>
              <w:adjustRightInd w:val="0"/>
              <w:rPr>
                <w:rFonts w:ascii="Arial" w:hAnsi="Arial" w:cs="Arial"/>
                <w:bCs/>
                <w:sz w:val="20"/>
                <w:szCs w:val="20"/>
              </w:rPr>
            </w:pPr>
            <w:r w:rsidRPr="009221E4">
              <w:rPr>
                <w:rFonts w:ascii="Arial" w:hAnsi="Arial" w:cs="Arial"/>
                <w:b/>
                <w:bCs/>
                <w:sz w:val="20"/>
                <w:szCs w:val="20"/>
              </w:rPr>
              <w:t>Derecho 15</w:t>
            </w:r>
            <w:r w:rsidRPr="009221E4">
              <w:rPr>
                <w:rFonts w:ascii="Arial" w:hAnsi="Arial" w:cs="Arial"/>
                <w:bCs/>
                <w:sz w:val="20"/>
                <w:szCs w:val="20"/>
              </w:rPr>
              <w:t>.</w:t>
            </w:r>
          </w:p>
          <w:p w14:paraId="124BAB42" w14:textId="77777777" w:rsidR="009221E4" w:rsidRPr="009221E4" w:rsidRDefault="009221E4" w:rsidP="009221E4">
            <w:pPr>
              <w:autoSpaceDE w:val="0"/>
              <w:autoSpaceDN w:val="0"/>
              <w:adjustRightInd w:val="0"/>
              <w:rPr>
                <w:rFonts w:ascii="Arial" w:hAnsi="Arial" w:cs="Arial"/>
                <w:bCs/>
                <w:sz w:val="20"/>
                <w:szCs w:val="20"/>
              </w:rPr>
            </w:pPr>
            <w:r w:rsidRPr="009221E4">
              <w:rPr>
                <w:rFonts w:ascii="Arial" w:hAnsi="Arial" w:cs="Arial"/>
                <w:bCs/>
                <w:sz w:val="20"/>
                <w:szCs w:val="20"/>
              </w:rPr>
              <w:t>Comprende la definición de las funciones trigonométricas sen(x) y cos(</w:t>
            </w:r>
            <w:r w:rsidRPr="009221E4">
              <w:rPr>
                <w:rFonts w:ascii="Arial" w:hAnsi="Arial" w:cs="Arial"/>
                <w:bCs/>
                <w:i/>
                <w:sz w:val="20"/>
                <w:szCs w:val="20"/>
              </w:rPr>
              <w:t>x</w:t>
            </w:r>
            <w:r w:rsidRPr="009221E4">
              <w:rPr>
                <w:rFonts w:ascii="Arial" w:hAnsi="Arial" w:cs="Arial"/>
                <w:bCs/>
                <w:sz w:val="20"/>
                <w:szCs w:val="20"/>
              </w:rPr>
              <w:t xml:space="preserve">), en las cuales </w:t>
            </w:r>
            <w:r w:rsidRPr="009221E4">
              <w:rPr>
                <w:rFonts w:ascii="Arial" w:hAnsi="Arial" w:cs="Arial"/>
                <w:bCs/>
                <w:i/>
                <w:sz w:val="20"/>
                <w:szCs w:val="20"/>
              </w:rPr>
              <w:t>x</w:t>
            </w:r>
            <w:r w:rsidRPr="009221E4">
              <w:rPr>
                <w:rFonts w:ascii="Arial" w:hAnsi="Arial" w:cs="Arial"/>
                <w:bCs/>
                <w:sz w:val="20"/>
                <w:szCs w:val="20"/>
              </w:rPr>
              <w:t xml:space="preserve"> puede ser cualquier número real y calcula a partir del círculo unitario, el valor aproximado</w:t>
            </w:r>
          </w:p>
          <w:p w14:paraId="7BF5AB0F" w14:textId="77777777" w:rsidR="009221E4" w:rsidRPr="009221E4" w:rsidRDefault="009221E4" w:rsidP="009221E4">
            <w:pPr>
              <w:rPr>
                <w:rFonts w:ascii="Arial" w:eastAsia="Times New Roman" w:hAnsi="Arial" w:cs="Arial"/>
                <w:color w:val="000000"/>
                <w:sz w:val="20"/>
                <w:szCs w:val="20"/>
                <w:lang w:eastAsia="es-CO"/>
              </w:rPr>
            </w:pPr>
            <w:r w:rsidRPr="009221E4">
              <w:rPr>
                <w:rFonts w:ascii="Arial" w:hAnsi="Arial" w:cs="Arial"/>
                <w:bCs/>
                <w:sz w:val="20"/>
                <w:szCs w:val="20"/>
              </w:rPr>
              <w:t>de sen(</w:t>
            </w:r>
            <w:r w:rsidRPr="009221E4">
              <w:rPr>
                <w:rFonts w:ascii="Arial" w:hAnsi="Arial" w:cs="Arial"/>
                <w:bCs/>
                <w:i/>
                <w:sz w:val="20"/>
                <w:szCs w:val="20"/>
              </w:rPr>
              <w:t>x</w:t>
            </w:r>
            <w:r w:rsidRPr="009221E4">
              <w:rPr>
                <w:rFonts w:ascii="Arial" w:hAnsi="Arial" w:cs="Arial"/>
                <w:bCs/>
                <w:sz w:val="20"/>
                <w:szCs w:val="20"/>
              </w:rPr>
              <w:t>) y cos(</w:t>
            </w:r>
            <w:r w:rsidRPr="009221E4">
              <w:rPr>
                <w:rFonts w:ascii="Arial" w:hAnsi="Arial" w:cs="Arial"/>
                <w:bCs/>
                <w:i/>
                <w:sz w:val="20"/>
                <w:szCs w:val="20"/>
              </w:rPr>
              <w:t>x</w:t>
            </w:r>
            <w:r w:rsidRPr="009221E4">
              <w:rPr>
                <w:rFonts w:ascii="Arial" w:hAnsi="Arial" w:cs="Arial"/>
                <w:bCs/>
                <w:sz w:val="20"/>
                <w:szCs w:val="20"/>
              </w:rPr>
              <w:t>).</w:t>
            </w:r>
          </w:p>
        </w:tc>
        <w:tc>
          <w:tcPr>
            <w:tcW w:w="2693" w:type="dxa"/>
            <w:vAlign w:val="center"/>
          </w:tcPr>
          <w:p w14:paraId="1AB06579"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Soluciona ecuaciones lineales y en forma factorizada</w:t>
            </w:r>
          </w:p>
        </w:tc>
        <w:tc>
          <w:tcPr>
            <w:tcW w:w="2551" w:type="dxa"/>
          </w:tcPr>
          <w:p w14:paraId="7C3192B8"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solucionar ecuaciones trigonométricas lineales y factorizadas</w:t>
            </w:r>
          </w:p>
        </w:tc>
      </w:tr>
      <w:tr w:rsidR="009221E4" w:rsidRPr="009221E4" w14:paraId="2C7C6AD4" w14:textId="77777777" w:rsidTr="009221E4">
        <w:tc>
          <w:tcPr>
            <w:tcW w:w="4390" w:type="dxa"/>
            <w:vMerge/>
          </w:tcPr>
          <w:p w14:paraId="05E3E340" w14:textId="77777777" w:rsidR="009221E4" w:rsidRPr="009221E4" w:rsidRDefault="009221E4" w:rsidP="009221E4">
            <w:pPr>
              <w:autoSpaceDE w:val="0"/>
              <w:autoSpaceDN w:val="0"/>
              <w:adjustRightInd w:val="0"/>
              <w:rPr>
                <w:rFonts w:ascii="Arial" w:hAnsi="Arial" w:cs="Arial"/>
                <w:bCs/>
                <w:sz w:val="20"/>
                <w:szCs w:val="20"/>
              </w:rPr>
            </w:pPr>
          </w:p>
        </w:tc>
        <w:tc>
          <w:tcPr>
            <w:tcW w:w="2693" w:type="dxa"/>
            <w:vAlign w:val="center"/>
          </w:tcPr>
          <w:p w14:paraId="1291B4C4"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Halla la solución de ecuaciones trigonométricas aplicando identidades</w:t>
            </w:r>
          </w:p>
        </w:tc>
        <w:tc>
          <w:tcPr>
            <w:tcW w:w="2551" w:type="dxa"/>
          </w:tcPr>
          <w:p w14:paraId="7AD0849D"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hallar la solución de ecuaciones trigonométricas con el uso de identidades</w:t>
            </w:r>
          </w:p>
        </w:tc>
      </w:tr>
      <w:tr w:rsidR="009221E4" w:rsidRPr="009221E4" w14:paraId="1A1238C4" w14:textId="77777777" w:rsidTr="009221E4">
        <w:tc>
          <w:tcPr>
            <w:tcW w:w="4390" w:type="dxa"/>
            <w:vMerge/>
          </w:tcPr>
          <w:p w14:paraId="3C1B2128" w14:textId="77777777" w:rsidR="009221E4" w:rsidRPr="009221E4" w:rsidRDefault="009221E4" w:rsidP="009221E4">
            <w:pPr>
              <w:autoSpaceDE w:val="0"/>
              <w:autoSpaceDN w:val="0"/>
              <w:adjustRightInd w:val="0"/>
              <w:rPr>
                <w:rFonts w:ascii="Arial" w:hAnsi="Arial" w:cs="Arial"/>
                <w:bCs/>
                <w:sz w:val="20"/>
                <w:szCs w:val="20"/>
              </w:rPr>
            </w:pPr>
          </w:p>
        </w:tc>
        <w:tc>
          <w:tcPr>
            <w:tcW w:w="2693" w:type="dxa"/>
            <w:vAlign w:val="center"/>
          </w:tcPr>
          <w:p w14:paraId="77D3C2B6"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Resuelve ecuaciones trigonométricas con funciones inversas</w:t>
            </w:r>
          </w:p>
        </w:tc>
        <w:tc>
          <w:tcPr>
            <w:tcW w:w="2551" w:type="dxa"/>
          </w:tcPr>
          <w:p w14:paraId="11E1AF64" w14:textId="77777777" w:rsidR="009221E4" w:rsidRPr="009221E4" w:rsidRDefault="009221E4" w:rsidP="009221E4">
            <w:pPr>
              <w:rPr>
                <w:rFonts w:ascii="Arial" w:hAnsi="Arial" w:cs="Arial"/>
                <w:color w:val="000000"/>
                <w:sz w:val="20"/>
                <w:szCs w:val="20"/>
              </w:rPr>
            </w:pPr>
            <w:r w:rsidRPr="009221E4">
              <w:rPr>
                <w:rFonts w:ascii="Arial" w:hAnsi="Arial" w:cs="Arial"/>
                <w:color w:val="000000"/>
                <w:sz w:val="20"/>
                <w:szCs w:val="20"/>
              </w:rPr>
              <w:t>Actividad para hallar la solución de ecuaciones trigonométricas con funciones inversas haciendo uso de calculadora</w:t>
            </w:r>
          </w:p>
        </w:tc>
      </w:tr>
    </w:tbl>
    <w:p w14:paraId="48187BD6" w14:textId="77777777" w:rsidR="009221E4" w:rsidRPr="009221E4" w:rsidRDefault="009221E4" w:rsidP="00961CA3">
      <w:pPr>
        <w:rPr>
          <w:rFonts w:ascii="Arial" w:eastAsia="Times New Roman" w:hAnsi="Arial" w:cs="Arial"/>
          <w:color w:val="000000"/>
          <w:sz w:val="20"/>
          <w:szCs w:val="20"/>
          <w:lang w:eastAsia="es-CO"/>
        </w:rPr>
      </w:pPr>
    </w:p>
    <w:p w14:paraId="6E53A944" w14:textId="77777777" w:rsidR="00961CA3" w:rsidRPr="009221E4" w:rsidRDefault="00961CA3" w:rsidP="00961CA3">
      <w:pPr>
        <w:rPr>
          <w:rFonts w:ascii="Arial" w:eastAsia="Times New Roman" w:hAnsi="Arial" w:cs="Arial"/>
          <w:color w:val="000000"/>
          <w:sz w:val="20"/>
          <w:szCs w:val="20"/>
          <w:lang w:eastAsia="es-CO"/>
        </w:rPr>
      </w:pPr>
    </w:p>
    <w:p w14:paraId="1A917E75" w14:textId="77777777" w:rsidR="00961CA3" w:rsidRPr="009221E4" w:rsidRDefault="00961CA3" w:rsidP="00961CA3">
      <w:pPr>
        <w:rPr>
          <w:rFonts w:ascii="Arial" w:eastAsia="Times New Roman" w:hAnsi="Arial" w:cs="Arial"/>
          <w:color w:val="000000"/>
          <w:sz w:val="20"/>
          <w:szCs w:val="20"/>
          <w:lang w:eastAsia="es-CO"/>
        </w:rPr>
      </w:pPr>
    </w:p>
    <w:p w14:paraId="5AACFF95" w14:textId="77777777" w:rsidR="00961CA3" w:rsidRPr="009221E4" w:rsidRDefault="00961CA3" w:rsidP="00721ED2">
      <w:pPr>
        <w:rPr>
          <w:rFonts w:ascii="Arial" w:eastAsia="Times New Roman" w:hAnsi="Arial" w:cs="Arial"/>
          <w:color w:val="000000"/>
          <w:sz w:val="20"/>
          <w:szCs w:val="20"/>
          <w:lang w:eastAsia="es-CO"/>
        </w:rPr>
      </w:pPr>
    </w:p>
    <w:p w14:paraId="39D5CFFF" w14:textId="77777777" w:rsidR="00961CA3" w:rsidRPr="009221E4" w:rsidRDefault="00961CA3" w:rsidP="00721ED2">
      <w:pPr>
        <w:rPr>
          <w:rFonts w:ascii="Arial" w:eastAsia="Times New Roman" w:hAnsi="Arial" w:cs="Arial"/>
          <w:color w:val="000000"/>
          <w:sz w:val="20"/>
          <w:szCs w:val="20"/>
          <w:lang w:eastAsia="es-CO"/>
        </w:rPr>
      </w:pPr>
    </w:p>
    <w:p w14:paraId="5A992D72" w14:textId="77777777" w:rsidR="00CB2E20" w:rsidRPr="009221E4" w:rsidRDefault="00CB2E20" w:rsidP="00CB2E20">
      <w:pPr>
        <w:rPr>
          <w:rFonts w:ascii="Arial" w:eastAsia="Times New Roman" w:hAnsi="Arial" w:cs="Arial"/>
          <w:color w:val="000000"/>
          <w:sz w:val="20"/>
          <w:szCs w:val="20"/>
          <w:lang w:eastAsia="es-CO"/>
        </w:rPr>
      </w:pPr>
    </w:p>
    <w:p w14:paraId="41715704"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3423FDCF"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63CCC15E"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412324D1" w14:textId="77777777" w:rsidR="00CB2E20" w:rsidRPr="009221E4" w:rsidRDefault="00CB2E20" w:rsidP="00CB2E20">
      <w:pPr>
        <w:autoSpaceDE w:val="0"/>
        <w:autoSpaceDN w:val="0"/>
        <w:adjustRightInd w:val="0"/>
        <w:spacing w:after="0" w:line="240" w:lineRule="auto"/>
        <w:rPr>
          <w:rFonts w:ascii="Arial" w:hAnsi="Arial" w:cs="Arial"/>
          <w:sz w:val="20"/>
          <w:szCs w:val="20"/>
        </w:rPr>
      </w:pPr>
    </w:p>
    <w:p w14:paraId="7C482E74" w14:textId="77777777" w:rsidR="00A3417F" w:rsidRPr="009221E4" w:rsidRDefault="00A3417F" w:rsidP="00A3417F">
      <w:pPr>
        <w:autoSpaceDE w:val="0"/>
        <w:autoSpaceDN w:val="0"/>
        <w:adjustRightInd w:val="0"/>
        <w:spacing w:after="0" w:line="240" w:lineRule="auto"/>
        <w:rPr>
          <w:rFonts w:ascii="Arial" w:hAnsi="Arial" w:cs="Arial"/>
          <w:sz w:val="20"/>
          <w:szCs w:val="20"/>
        </w:rPr>
      </w:pPr>
    </w:p>
    <w:sectPr w:rsidR="00A3417F" w:rsidRPr="00922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17F"/>
    <w:rsid w:val="00453D49"/>
    <w:rsid w:val="004E2397"/>
    <w:rsid w:val="007034FE"/>
    <w:rsid w:val="00721ED2"/>
    <w:rsid w:val="009221E4"/>
    <w:rsid w:val="00961CA3"/>
    <w:rsid w:val="00A3417F"/>
    <w:rsid w:val="00CB2E20"/>
    <w:rsid w:val="00FF600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F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2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034F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034F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2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034F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034F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2648">
      <w:bodyDiv w:val="1"/>
      <w:marLeft w:val="0"/>
      <w:marRight w:val="0"/>
      <w:marTop w:val="0"/>
      <w:marBottom w:val="0"/>
      <w:divBdr>
        <w:top w:val="none" w:sz="0" w:space="0" w:color="auto"/>
        <w:left w:val="none" w:sz="0" w:space="0" w:color="auto"/>
        <w:bottom w:val="none" w:sz="0" w:space="0" w:color="auto"/>
        <w:right w:val="none" w:sz="0" w:space="0" w:color="auto"/>
      </w:divBdr>
    </w:div>
    <w:div w:id="167254145">
      <w:bodyDiv w:val="1"/>
      <w:marLeft w:val="0"/>
      <w:marRight w:val="0"/>
      <w:marTop w:val="0"/>
      <w:marBottom w:val="0"/>
      <w:divBdr>
        <w:top w:val="none" w:sz="0" w:space="0" w:color="auto"/>
        <w:left w:val="none" w:sz="0" w:space="0" w:color="auto"/>
        <w:bottom w:val="none" w:sz="0" w:space="0" w:color="auto"/>
        <w:right w:val="none" w:sz="0" w:space="0" w:color="auto"/>
      </w:divBdr>
    </w:div>
    <w:div w:id="478962775">
      <w:bodyDiv w:val="1"/>
      <w:marLeft w:val="0"/>
      <w:marRight w:val="0"/>
      <w:marTop w:val="0"/>
      <w:marBottom w:val="0"/>
      <w:divBdr>
        <w:top w:val="none" w:sz="0" w:space="0" w:color="auto"/>
        <w:left w:val="none" w:sz="0" w:space="0" w:color="auto"/>
        <w:bottom w:val="none" w:sz="0" w:space="0" w:color="auto"/>
        <w:right w:val="none" w:sz="0" w:space="0" w:color="auto"/>
      </w:divBdr>
    </w:div>
    <w:div w:id="716052573">
      <w:bodyDiv w:val="1"/>
      <w:marLeft w:val="0"/>
      <w:marRight w:val="0"/>
      <w:marTop w:val="0"/>
      <w:marBottom w:val="0"/>
      <w:divBdr>
        <w:top w:val="none" w:sz="0" w:space="0" w:color="auto"/>
        <w:left w:val="none" w:sz="0" w:space="0" w:color="auto"/>
        <w:bottom w:val="none" w:sz="0" w:space="0" w:color="auto"/>
        <w:right w:val="none" w:sz="0" w:space="0" w:color="auto"/>
      </w:divBdr>
    </w:div>
    <w:div w:id="1230455584">
      <w:bodyDiv w:val="1"/>
      <w:marLeft w:val="0"/>
      <w:marRight w:val="0"/>
      <w:marTop w:val="0"/>
      <w:marBottom w:val="0"/>
      <w:divBdr>
        <w:top w:val="none" w:sz="0" w:space="0" w:color="auto"/>
        <w:left w:val="none" w:sz="0" w:space="0" w:color="auto"/>
        <w:bottom w:val="none" w:sz="0" w:space="0" w:color="auto"/>
        <w:right w:val="none" w:sz="0" w:space="0" w:color="auto"/>
      </w:divBdr>
    </w:div>
    <w:div w:id="1468354242">
      <w:bodyDiv w:val="1"/>
      <w:marLeft w:val="0"/>
      <w:marRight w:val="0"/>
      <w:marTop w:val="0"/>
      <w:marBottom w:val="0"/>
      <w:divBdr>
        <w:top w:val="none" w:sz="0" w:space="0" w:color="auto"/>
        <w:left w:val="none" w:sz="0" w:space="0" w:color="auto"/>
        <w:bottom w:val="none" w:sz="0" w:space="0" w:color="auto"/>
        <w:right w:val="none" w:sz="0" w:space="0" w:color="auto"/>
      </w:divBdr>
    </w:div>
    <w:div w:id="1633823790">
      <w:bodyDiv w:val="1"/>
      <w:marLeft w:val="0"/>
      <w:marRight w:val="0"/>
      <w:marTop w:val="0"/>
      <w:marBottom w:val="0"/>
      <w:divBdr>
        <w:top w:val="none" w:sz="0" w:space="0" w:color="auto"/>
        <w:left w:val="none" w:sz="0" w:space="0" w:color="auto"/>
        <w:bottom w:val="none" w:sz="0" w:space="0" w:color="auto"/>
        <w:right w:val="none" w:sz="0" w:space="0" w:color="auto"/>
      </w:divBdr>
    </w:div>
    <w:div w:id="1651443864">
      <w:bodyDiv w:val="1"/>
      <w:marLeft w:val="0"/>
      <w:marRight w:val="0"/>
      <w:marTop w:val="0"/>
      <w:marBottom w:val="0"/>
      <w:divBdr>
        <w:top w:val="none" w:sz="0" w:space="0" w:color="auto"/>
        <w:left w:val="none" w:sz="0" w:space="0" w:color="auto"/>
        <w:bottom w:val="none" w:sz="0" w:space="0" w:color="auto"/>
        <w:right w:val="none" w:sz="0" w:space="0" w:color="auto"/>
      </w:divBdr>
    </w:div>
    <w:div w:id="1877814584">
      <w:bodyDiv w:val="1"/>
      <w:marLeft w:val="0"/>
      <w:marRight w:val="0"/>
      <w:marTop w:val="0"/>
      <w:marBottom w:val="0"/>
      <w:divBdr>
        <w:top w:val="none" w:sz="0" w:space="0" w:color="auto"/>
        <w:left w:val="none" w:sz="0" w:space="0" w:color="auto"/>
        <w:bottom w:val="none" w:sz="0" w:space="0" w:color="auto"/>
        <w:right w:val="none" w:sz="0" w:space="0" w:color="auto"/>
      </w:divBdr>
    </w:div>
    <w:div w:id="19097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1168</Words>
  <Characters>6430</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Lzambrano</dc:creator>
  <cp:keywords/>
  <dc:description/>
  <cp:lastModifiedBy>mac</cp:lastModifiedBy>
  <cp:revision>6</cp:revision>
  <dcterms:created xsi:type="dcterms:W3CDTF">2016-06-14T20:09:00Z</dcterms:created>
  <dcterms:modified xsi:type="dcterms:W3CDTF">2016-06-24T01:57:00Z</dcterms:modified>
</cp:coreProperties>
</file>