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451AB3" w:rsidRDefault="00D82497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Guía didáctica</w:t>
      </w:r>
    </w:p>
    <w:p w14:paraId="44F8F19F" w14:textId="77777777" w:rsidR="00451AB3" w:rsidRPr="00451AB3" w:rsidRDefault="00451AB3" w:rsidP="00D82497">
      <w:pPr>
        <w:rPr>
          <w:rFonts w:asciiTheme="majorHAnsi" w:hAnsiTheme="majorHAnsi"/>
          <w:b/>
        </w:rPr>
      </w:pPr>
    </w:p>
    <w:p w14:paraId="502914C7" w14:textId="77777777" w:rsidR="00D82497" w:rsidRPr="00451AB3" w:rsidRDefault="00D82497" w:rsidP="00D82497">
      <w:pPr>
        <w:rPr>
          <w:rFonts w:asciiTheme="majorHAnsi" w:hAnsiTheme="majorHAnsi"/>
        </w:rPr>
      </w:pPr>
    </w:p>
    <w:p w14:paraId="530F0470" w14:textId="17D2C761" w:rsidR="00D82497" w:rsidRPr="00451AB3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Estándar</w:t>
      </w:r>
    </w:p>
    <w:p w14:paraId="0C37991A" w14:textId="688A7531" w:rsidR="008560A4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Pensamiento</w:t>
      </w:r>
      <w:r w:rsidR="00537A03">
        <w:rPr>
          <w:rFonts w:asciiTheme="majorHAnsi" w:hAnsiTheme="majorHAnsi"/>
          <w:b/>
        </w:rPr>
        <w:t xml:space="preserve"> </w:t>
      </w:r>
      <w:proofErr w:type="spellStart"/>
      <w:r w:rsidR="00537A03">
        <w:rPr>
          <w:rFonts w:asciiTheme="majorHAnsi" w:hAnsiTheme="majorHAnsi"/>
          <w:b/>
        </w:rPr>
        <w:t>variacional</w:t>
      </w:r>
      <w:proofErr w:type="spellEnd"/>
      <w:r w:rsidR="00537A03">
        <w:rPr>
          <w:rFonts w:asciiTheme="majorHAnsi" w:hAnsiTheme="majorHAnsi"/>
          <w:b/>
        </w:rPr>
        <w:t xml:space="preserve">  y  </w:t>
      </w:r>
      <w:proofErr w:type="spellStart"/>
      <w:r w:rsidR="00537A03">
        <w:rPr>
          <w:rFonts w:asciiTheme="majorHAnsi" w:hAnsiTheme="majorHAnsi"/>
          <w:b/>
        </w:rPr>
        <w:t>metrico</w:t>
      </w:r>
      <w:proofErr w:type="spellEnd"/>
    </w:p>
    <w:p w14:paraId="4D430A06" w14:textId="5123D8CD" w:rsidR="00D82497" w:rsidRDefault="00537A03" w:rsidP="00D82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  unidad  fortalece  el desarrollo  de los  pensamientos  </w:t>
      </w:r>
      <w:proofErr w:type="spellStart"/>
      <w:r>
        <w:rPr>
          <w:rFonts w:asciiTheme="majorHAnsi" w:hAnsiTheme="majorHAnsi"/>
        </w:rPr>
        <w:t>variacional</w:t>
      </w:r>
      <w:proofErr w:type="spellEnd"/>
      <w:r>
        <w:rPr>
          <w:rFonts w:asciiTheme="majorHAnsi" w:hAnsiTheme="majorHAnsi"/>
        </w:rPr>
        <w:t xml:space="preserve">  y  espacial</w:t>
      </w:r>
      <w:r w:rsidR="007E2D13">
        <w:rPr>
          <w:rFonts w:asciiTheme="majorHAnsi" w:hAnsiTheme="majorHAnsi"/>
        </w:rPr>
        <w:t>,  ya  que   requiere del   uso de la  circunferencia  unitaria, para  dar   significado a    la  variación  y el  comportamiento  de las  seis  funciones  trigonométricas.</w:t>
      </w:r>
    </w:p>
    <w:p w14:paraId="2FAB15AD" w14:textId="6B87D8AC" w:rsidR="007E2D13" w:rsidRDefault="007E2D13" w:rsidP="00D82497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Asi</w:t>
      </w:r>
      <w:proofErr w:type="spellEnd"/>
      <w:r>
        <w:rPr>
          <w:rFonts w:asciiTheme="majorHAnsi" w:hAnsiTheme="majorHAnsi"/>
        </w:rPr>
        <w:t xml:space="preserve">  mismo  se  </w:t>
      </w:r>
      <w:proofErr w:type="spellStart"/>
      <w:r>
        <w:rPr>
          <w:rFonts w:asciiTheme="majorHAnsi" w:hAnsiTheme="majorHAnsi"/>
        </w:rPr>
        <w:t>amplia</w:t>
      </w:r>
      <w:proofErr w:type="spellEnd"/>
      <w:r>
        <w:rPr>
          <w:rFonts w:asciiTheme="majorHAnsi" w:hAnsiTheme="majorHAnsi"/>
        </w:rPr>
        <w:t xml:space="preserve">  el  uso  y las  aplicaciones  que  se dieron a  las  razones trigonométricas en  la  unidad  anterior.</w:t>
      </w:r>
    </w:p>
    <w:p w14:paraId="27FA6B56" w14:textId="77777777" w:rsidR="007E2D13" w:rsidRPr="00451AB3" w:rsidRDefault="007E2D13" w:rsidP="00D82497">
      <w:pPr>
        <w:rPr>
          <w:rFonts w:asciiTheme="majorHAnsi" w:hAnsiTheme="majorHAnsi"/>
        </w:rPr>
      </w:pPr>
    </w:p>
    <w:p w14:paraId="1FE462B2" w14:textId="6D67E9B4" w:rsidR="00D82497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Competencias</w:t>
      </w:r>
    </w:p>
    <w:p w14:paraId="6E2250FB" w14:textId="44C0C58B" w:rsidR="00C5181F" w:rsidRDefault="00C5181F" w:rsidP="00D8249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Resolución de problemas</w:t>
      </w:r>
    </w:p>
    <w:p w14:paraId="793015C9" w14:textId="67604B69" w:rsidR="00C5181F" w:rsidRPr="00C5181F" w:rsidRDefault="00537A03" w:rsidP="00D82497">
      <w:pPr>
        <w:rPr>
          <w:rFonts w:asciiTheme="majorHAnsi" w:hAnsiTheme="majorHAnsi"/>
        </w:rPr>
      </w:pPr>
      <w:r>
        <w:rPr>
          <w:rFonts w:asciiTheme="majorHAnsi" w:hAnsiTheme="majorHAnsi"/>
        </w:rPr>
        <w:t>A partir  de  la  ecuación trigonométrica dada  pronostico  su  comportamiento en el plano  cartesiano.</w:t>
      </w:r>
    </w:p>
    <w:p w14:paraId="4670BD7D" w14:textId="0BEB3AD1" w:rsidR="00C5181F" w:rsidRDefault="00C5181F" w:rsidP="00D8249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Razonamiento lógico</w:t>
      </w:r>
    </w:p>
    <w:p w14:paraId="3C8C1733" w14:textId="151C2AAE" w:rsidR="00C5181F" w:rsidRDefault="00C5181F" w:rsidP="00D82497">
      <w:pPr>
        <w:rPr>
          <w:rFonts w:asciiTheme="majorHAnsi" w:hAnsiTheme="majorHAnsi"/>
        </w:rPr>
      </w:pPr>
      <w:r w:rsidRPr="00C5181F">
        <w:rPr>
          <w:rFonts w:asciiTheme="majorHAnsi" w:hAnsiTheme="majorHAnsi"/>
        </w:rPr>
        <w:t>Expresa</w:t>
      </w:r>
      <w:r w:rsidR="00AF784C">
        <w:rPr>
          <w:rFonts w:asciiTheme="majorHAnsi" w:hAnsiTheme="majorHAnsi"/>
        </w:rPr>
        <w:t>r</w:t>
      </w:r>
      <w:r w:rsidRPr="00C5181F">
        <w:rPr>
          <w:rFonts w:asciiTheme="majorHAnsi" w:hAnsiTheme="majorHAnsi"/>
        </w:rPr>
        <w:t xml:space="preserve"> e identifica</w:t>
      </w:r>
      <w:r w:rsidR="00AF784C">
        <w:rPr>
          <w:rFonts w:asciiTheme="majorHAnsi" w:hAnsiTheme="majorHAnsi"/>
        </w:rPr>
        <w:t>r</w:t>
      </w:r>
      <w:r w:rsidRPr="00C5181F">
        <w:rPr>
          <w:rFonts w:asciiTheme="majorHAnsi" w:hAnsiTheme="majorHAnsi"/>
        </w:rPr>
        <w:t xml:space="preserve"> propiedades </w:t>
      </w:r>
      <w:r w:rsidR="00537A03">
        <w:rPr>
          <w:rFonts w:asciiTheme="majorHAnsi" w:hAnsiTheme="majorHAnsi"/>
        </w:rPr>
        <w:t xml:space="preserve"> de las  funciones </w:t>
      </w:r>
      <w:r w:rsidRPr="00C5181F">
        <w:rPr>
          <w:rFonts w:asciiTheme="majorHAnsi" w:hAnsiTheme="majorHAnsi"/>
        </w:rPr>
        <w:t xml:space="preserve"> </w:t>
      </w:r>
      <w:r w:rsidR="00AF784C" w:rsidRPr="00C5181F">
        <w:rPr>
          <w:rFonts w:asciiTheme="majorHAnsi" w:hAnsiTheme="majorHAnsi"/>
        </w:rPr>
        <w:t>trigonométricas</w:t>
      </w:r>
      <w:r w:rsidRPr="00C5181F">
        <w:rPr>
          <w:rFonts w:asciiTheme="majorHAnsi" w:hAnsiTheme="majorHAnsi"/>
        </w:rPr>
        <w:t>.</w:t>
      </w:r>
    </w:p>
    <w:p w14:paraId="6F7C7C66" w14:textId="64C9B1EB" w:rsidR="00C5181F" w:rsidRDefault="00C5181F" w:rsidP="00D82497">
      <w:pPr>
        <w:rPr>
          <w:rFonts w:asciiTheme="majorHAnsi" w:hAnsiTheme="majorHAnsi"/>
          <w:b/>
        </w:rPr>
      </w:pPr>
      <w:r w:rsidRPr="00C5181F">
        <w:rPr>
          <w:rFonts w:asciiTheme="majorHAnsi" w:hAnsiTheme="majorHAnsi"/>
          <w:b/>
        </w:rPr>
        <w:t>Comunicación</w:t>
      </w:r>
    </w:p>
    <w:p w14:paraId="6A1D90D6" w14:textId="755640D7" w:rsidR="00537A03" w:rsidRDefault="00537A03" w:rsidP="00D8249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Interpreto  y hallo  los seis  valores de las  funciones  trigonométricas.</w:t>
      </w:r>
    </w:p>
    <w:p w14:paraId="7189DF68" w14:textId="0153DBC8" w:rsidR="00AF784C" w:rsidRPr="00AF784C" w:rsidRDefault="00AF784C" w:rsidP="00D82497">
      <w:pPr>
        <w:rPr>
          <w:rFonts w:asciiTheme="majorHAnsi" w:hAnsiTheme="majorHAnsi"/>
          <w:b/>
        </w:rPr>
      </w:pPr>
      <w:r w:rsidRPr="00AF784C">
        <w:rPr>
          <w:rFonts w:asciiTheme="majorHAnsi" w:hAnsiTheme="majorHAnsi"/>
          <w:b/>
        </w:rPr>
        <w:t>Conexiones</w:t>
      </w:r>
    </w:p>
    <w:p w14:paraId="17AB0A54" w14:textId="6F6C6656" w:rsidR="00D82497" w:rsidRPr="00451AB3" w:rsidRDefault="00537A03" w:rsidP="00D82497">
      <w:pPr>
        <w:rPr>
          <w:rFonts w:asciiTheme="majorHAnsi" w:hAnsiTheme="majorHAnsi"/>
        </w:rPr>
      </w:pPr>
      <w:r>
        <w:rPr>
          <w:rFonts w:asciiTheme="majorHAnsi" w:hAnsiTheme="majorHAnsi"/>
        </w:rPr>
        <w:t>Establecer relación  entre  las  funciones  trigonométricas  de  ángulos complementarios.</w:t>
      </w:r>
    </w:p>
    <w:p w14:paraId="0BC4B9CC" w14:textId="77777777" w:rsidR="00D82497" w:rsidRPr="00451AB3" w:rsidRDefault="00D82497" w:rsidP="00D82497">
      <w:pPr>
        <w:rPr>
          <w:rFonts w:asciiTheme="majorHAnsi" w:hAnsiTheme="majorHAnsi"/>
        </w:rPr>
      </w:pPr>
    </w:p>
    <w:p w14:paraId="2755B8AA" w14:textId="41536B44" w:rsidR="007E2D13" w:rsidRPr="007E2D13" w:rsidRDefault="009B0F0B" w:rsidP="00451AB3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Estrategia didáctica</w:t>
      </w:r>
    </w:p>
    <w:p w14:paraId="64F8D71F" w14:textId="02772A85" w:rsidR="00D82497" w:rsidRDefault="007E2D13" w:rsidP="007E2D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Al  ampliar   las  razones  trigonométricas   a  funciones  trigonométricas  se deja  de trabajar con  triángulos  rectángulos, a  trabajar  con  la   circunferencia  unitaria, para  su   estudio  se  propone   el siguiente  orden:</w:t>
      </w:r>
    </w:p>
    <w:p w14:paraId="3CBF4E3C" w14:textId="77777777" w:rsidR="007E2D13" w:rsidRDefault="007E2D13" w:rsidP="007E2D13">
      <w:pPr>
        <w:rPr>
          <w:rFonts w:asciiTheme="majorHAnsi" w:hAnsiTheme="majorHAnsi"/>
        </w:rPr>
      </w:pPr>
    </w:p>
    <w:p w14:paraId="12293894" w14:textId="2A86FF6F" w:rsidR="007E2D13" w:rsidRDefault="007E2D13" w:rsidP="007E2D13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El  estudio de las  funciones, seno, coseno  y   tangente  se  da reconociendo  sus  propiedades en términos del  dominio, ra</w:t>
      </w:r>
      <w:r w:rsidR="001F09D0">
        <w:rPr>
          <w:rFonts w:asciiTheme="majorHAnsi" w:hAnsiTheme="majorHAnsi"/>
        </w:rPr>
        <w:t xml:space="preserve">ngo, amplitud, puntos  de corte con los ejes, </w:t>
      </w:r>
      <w:proofErr w:type="spellStart"/>
      <w:r w:rsidR="001F09D0">
        <w:rPr>
          <w:rFonts w:asciiTheme="majorHAnsi" w:hAnsiTheme="majorHAnsi"/>
        </w:rPr>
        <w:t>asi</w:t>
      </w:r>
      <w:proofErr w:type="spellEnd"/>
      <w:r w:rsidR="001F09D0">
        <w:rPr>
          <w:rFonts w:asciiTheme="majorHAnsi" w:hAnsiTheme="majorHAnsi"/>
        </w:rPr>
        <w:t xml:space="preserve">  mismo,</w:t>
      </w:r>
      <w:r>
        <w:rPr>
          <w:rFonts w:asciiTheme="majorHAnsi" w:hAnsiTheme="majorHAnsi"/>
        </w:rPr>
        <w:t xml:space="preserve">   bajo  los  mismos   parámetros  se  desarrollan las  funciones  cotangente, secante  y cosecante.</w:t>
      </w:r>
    </w:p>
    <w:p w14:paraId="25B7356A" w14:textId="59200DF1" w:rsidR="001F09D0" w:rsidRDefault="007E2D13" w:rsidP="007E2D13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Ya identificadas y estudiadas  las </w:t>
      </w:r>
      <w:r w:rsidR="001F09D0">
        <w:rPr>
          <w:rFonts w:asciiTheme="majorHAnsi" w:hAnsiTheme="majorHAnsi"/>
        </w:rPr>
        <w:t xml:space="preserve"> seis</w:t>
      </w:r>
      <w:r>
        <w:rPr>
          <w:rFonts w:asciiTheme="majorHAnsi" w:hAnsiTheme="majorHAnsi"/>
        </w:rPr>
        <w:t xml:space="preserve"> funciones trigonométricas  es  necesario realizar  su  estudio  en términos  de </w:t>
      </w:r>
      <w:r w:rsidR="001F09D0">
        <w:rPr>
          <w:rFonts w:asciiTheme="majorHAnsi" w:hAnsiTheme="majorHAnsi"/>
        </w:rPr>
        <w:t xml:space="preserve"> su  transformación,  en</w:t>
      </w:r>
      <w:r>
        <w:rPr>
          <w:rFonts w:asciiTheme="majorHAnsi" w:hAnsiTheme="majorHAnsi"/>
        </w:rPr>
        <w:t xml:space="preserve">  especial</w:t>
      </w:r>
      <w:r w:rsidR="001F09D0">
        <w:rPr>
          <w:rFonts w:asciiTheme="majorHAnsi" w:hAnsiTheme="majorHAnsi"/>
        </w:rPr>
        <w:t xml:space="preserve">  todo  lo  correspondiente a  la  periodicidad, desfase  y  amplitud, buscando   adquirir la  competencia  donde  el  estudiante  describa la  gráfica  únicamente  dada  su ecuación.</w:t>
      </w:r>
    </w:p>
    <w:p w14:paraId="6F31D3CE" w14:textId="41018905" w:rsidR="007E2D13" w:rsidRDefault="001F09D0" w:rsidP="001F09D0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Finalmente se incentiva el  uso  del  programa  </w:t>
      </w:r>
      <w:proofErr w:type="spellStart"/>
      <w:r>
        <w:rPr>
          <w:rFonts w:asciiTheme="majorHAnsi" w:hAnsiTheme="majorHAnsi"/>
        </w:rPr>
        <w:t>Geogebra</w:t>
      </w:r>
      <w:proofErr w:type="spellEnd"/>
      <w:r>
        <w:rPr>
          <w:rFonts w:asciiTheme="majorHAnsi" w:hAnsiTheme="majorHAnsi"/>
        </w:rPr>
        <w:t xml:space="preserve">  aprovechando  el  dinamismo que  este ofrece.  </w:t>
      </w:r>
    </w:p>
    <w:p w14:paraId="251284CB" w14:textId="77777777" w:rsidR="007E2D13" w:rsidRDefault="007E2D13" w:rsidP="001F09D0">
      <w:pPr>
        <w:pStyle w:val="Prrafodelista"/>
        <w:rPr>
          <w:rFonts w:asciiTheme="majorHAnsi" w:hAnsiTheme="majorHAnsi"/>
        </w:rPr>
      </w:pPr>
    </w:p>
    <w:p w14:paraId="4867011D" w14:textId="77777777" w:rsidR="007E2D13" w:rsidRPr="007E2D13" w:rsidRDefault="007E2D13" w:rsidP="007E2D13">
      <w:pPr>
        <w:rPr>
          <w:rFonts w:asciiTheme="majorHAnsi" w:hAnsiTheme="majorHAnsi"/>
        </w:rPr>
      </w:pPr>
    </w:p>
    <w:p w14:paraId="48204343" w14:textId="77777777" w:rsidR="007E2D13" w:rsidRDefault="007E2D13" w:rsidP="007E2D13">
      <w:pPr>
        <w:pStyle w:val="Prrafodelista"/>
        <w:rPr>
          <w:rFonts w:asciiTheme="majorHAnsi" w:hAnsiTheme="majorHAnsi"/>
        </w:rPr>
      </w:pPr>
    </w:p>
    <w:p w14:paraId="7ECD7885" w14:textId="77777777" w:rsidR="007E2D13" w:rsidRPr="007E2D13" w:rsidRDefault="007E2D13" w:rsidP="007E2D13">
      <w:pPr>
        <w:ind w:left="360"/>
        <w:rPr>
          <w:rFonts w:asciiTheme="majorHAnsi" w:hAnsiTheme="majorHAnsi"/>
        </w:rPr>
      </w:pPr>
    </w:p>
    <w:p w14:paraId="1DD345C6" w14:textId="77777777" w:rsidR="007E2D13" w:rsidRDefault="007E2D13" w:rsidP="007E2D13">
      <w:pPr>
        <w:pStyle w:val="Prrafodelista"/>
        <w:numPr>
          <w:ilvl w:val="0"/>
          <w:numId w:val="5"/>
        </w:numPr>
        <w:rPr>
          <w:rFonts w:asciiTheme="majorHAnsi" w:hAnsiTheme="majorHAnsi"/>
        </w:rPr>
      </w:pPr>
    </w:p>
    <w:p w14:paraId="47CECEF0" w14:textId="77777777" w:rsidR="007E2D13" w:rsidRPr="007E2D13" w:rsidRDefault="007E2D13" w:rsidP="007E2D13">
      <w:pPr>
        <w:ind w:left="360"/>
        <w:rPr>
          <w:rFonts w:asciiTheme="majorHAnsi" w:hAnsiTheme="majorHAnsi"/>
        </w:rPr>
      </w:pPr>
    </w:p>
    <w:p w14:paraId="1DD4909A" w14:textId="77777777" w:rsidR="007E2D13" w:rsidRPr="007E2D13" w:rsidRDefault="007E2D13" w:rsidP="007E2D13">
      <w:pPr>
        <w:pStyle w:val="Prrafodelista"/>
        <w:rPr>
          <w:rFonts w:asciiTheme="majorHAnsi" w:hAnsiTheme="majorHAnsi"/>
        </w:rPr>
      </w:pPr>
    </w:p>
    <w:tbl>
      <w:tblPr>
        <w:tblW w:w="60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84"/>
        <w:gridCol w:w="3821"/>
        <w:gridCol w:w="160"/>
        <w:gridCol w:w="160"/>
      </w:tblGrid>
      <w:tr w:rsidR="007E2D13" w:rsidRPr="007E2D13" w14:paraId="0EFCA380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4E4ED" w14:textId="2F31C80D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F4F2A" w14:textId="6B296C6F" w:rsidR="007E2D13" w:rsidRPr="007E2D13" w:rsidRDefault="007E2D13" w:rsidP="007E2D1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57F6FEFD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9238C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559C3" w14:textId="247DB88B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149E5" w14:textId="23D4599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B34A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726B6111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1956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5C185" w14:textId="33C3396B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DFDE2" w14:textId="061D794D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9699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0BC14AAC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7C230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16C67" w14:textId="08B78801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87166" w14:textId="637E8B6C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48EC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23087933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A6029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7B6CC" w14:textId="244B00E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C88E6" w14:textId="03E932B5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C2C2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75287647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6283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2</w:t>
            </w:r>
          </w:p>
        </w:tc>
        <w:tc>
          <w:tcPr>
            <w:tcW w:w="5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EBEC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Funciones trigonométricas: cotangente, secante y cosecante</w:t>
            </w:r>
          </w:p>
        </w:tc>
      </w:tr>
      <w:tr w:rsidR="007E2D13" w:rsidRPr="007E2D13" w14:paraId="6C8EFA9E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ED1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067D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2.1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DCF3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La función cotangente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3390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09B4F290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8166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0597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2.2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3C08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La función secante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F85D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1B2A3E5B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2BA4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2EA9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2.3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DB71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La función cosecante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53EB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202F1554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F6AF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784F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2.4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3548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Consolidación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E90B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18555608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F22F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D787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proofErr w:type="spellStart"/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Ánalisis</w:t>
            </w:r>
            <w:proofErr w:type="spellEnd"/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 xml:space="preserve"> de gráficas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49D0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3FFA0AC2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1D7E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212C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3.1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69E2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Traslación de funciones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AEDB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323D57D0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9069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0779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3.2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AC8F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Reflexión de funciones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D0AE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63B582EB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8DAB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C16C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3.3</w:t>
            </w:r>
          </w:p>
        </w:tc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2015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Compresión y alargamiento de funciones</w:t>
            </w:r>
          </w:p>
        </w:tc>
      </w:tr>
      <w:tr w:rsidR="007E2D13" w:rsidRPr="007E2D13" w14:paraId="4597201E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618A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1BF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3.4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BBB0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Amplitud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015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23BF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367A93B5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EE8C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4DEC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3.5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2124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Periodo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23B7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01D2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7C9619CE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45FF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06CD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3.6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C508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Desfase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A697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AADF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73D0D45B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A26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8673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3.7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D108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Consolidación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EEB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39DE4837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91FC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2BD1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Ejercitación y competencias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BE67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3DAF3BE7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34CF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9FF9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E4D4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Fin de la unidad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CE6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7662C454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D72D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8D0C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EBEF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Mapa conceptual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337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5A1FAEEC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B211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1136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90E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Autoevaluación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B244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7E2D13" w:rsidRPr="007E2D13" w14:paraId="60D093B4" w14:textId="77777777" w:rsidTr="007E2D13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3DF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E737" w14:textId="77777777" w:rsidR="007E2D13" w:rsidRPr="007E2D13" w:rsidRDefault="007E2D13" w:rsidP="007E2D1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DB1C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7E2D1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webs de referencia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8880" w14:textId="77777777" w:rsidR="007E2D13" w:rsidRPr="007E2D13" w:rsidRDefault="007E2D13" w:rsidP="007E2D1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653A23AA" w14:textId="77777777" w:rsidR="007E2D13" w:rsidRPr="00451AB3" w:rsidRDefault="007E2D13" w:rsidP="007E2D13">
      <w:pPr>
        <w:rPr>
          <w:rFonts w:asciiTheme="majorHAnsi" w:hAnsiTheme="majorHAnsi"/>
        </w:rPr>
      </w:pPr>
    </w:p>
    <w:p w14:paraId="5385874F" w14:textId="77777777" w:rsidR="009E29DF" w:rsidRPr="00451AB3" w:rsidRDefault="009E29DF">
      <w:pPr>
        <w:rPr>
          <w:rFonts w:asciiTheme="majorHAnsi" w:hAnsiTheme="majorHAnsi"/>
        </w:rPr>
      </w:pPr>
    </w:p>
    <w:sectPr w:rsidR="009E29DF" w:rsidRPr="00451AB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01AE9"/>
    <w:multiLevelType w:val="hybridMultilevel"/>
    <w:tmpl w:val="6C3836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1F09D0"/>
    <w:rsid w:val="002D50E2"/>
    <w:rsid w:val="003A19B2"/>
    <w:rsid w:val="003A4925"/>
    <w:rsid w:val="00451AB3"/>
    <w:rsid w:val="004800E9"/>
    <w:rsid w:val="004E5301"/>
    <w:rsid w:val="00532E0A"/>
    <w:rsid w:val="00537A03"/>
    <w:rsid w:val="005C2098"/>
    <w:rsid w:val="0061350F"/>
    <w:rsid w:val="006D3E09"/>
    <w:rsid w:val="006E1A88"/>
    <w:rsid w:val="006E74B7"/>
    <w:rsid w:val="006F7553"/>
    <w:rsid w:val="007446F9"/>
    <w:rsid w:val="007806EC"/>
    <w:rsid w:val="007E2D13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AF784C"/>
    <w:rsid w:val="00BC2944"/>
    <w:rsid w:val="00BC54CD"/>
    <w:rsid w:val="00BE655B"/>
    <w:rsid w:val="00BF285E"/>
    <w:rsid w:val="00C5181F"/>
    <w:rsid w:val="00C74444"/>
    <w:rsid w:val="00C91BDA"/>
    <w:rsid w:val="00D24C9F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8</cp:revision>
  <dcterms:created xsi:type="dcterms:W3CDTF">2015-02-02T16:52:00Z</dcterms:created>
  <dcterms:modified xsi:type="dcterms:W3CDTF">2015-04-27T17:54:00Z</dcterms:modified>
</cp:coreProperties>
</file>