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Informe Técnico</w:t>
      </w:r>
    </w:p>
    <w:p>
      <w:pPr>
        <w:spacing w:after="60"/>
      </w:pPr>
      <w:r>
        <w:rPr>
          <w:rFonts w:ascii="Georgia" w:cs="Georgia" w:eastAsia="Georgia" w:hAnsi="Georgia"/>
          <w:b/>
          <w:bCs/>
          <w:color w:val="5C7A6A"/>
          <w:sz w:val="28"/>
          <w:szCs w:val="28"/>
        </w:rPr>
        <w:t xml:space="preserve">Xelera — Agentes de Ventas IA para WhatsApp</w:t>
      </w:r>
    </w:p>
    <w:p>
      <w:pPr>
        <w:spacing w:after="400"/>
      </w:pPr>
      <w:r>
        <w:rPr>
          <w:i/>
          <w:iCs/>
          <w:color w:val="595959"/>
          <w:sz w:val="20"/>
          <w:szCs w:val="20"/>
        </w:rPr>
        <w:t xml:space="preserve">Plataforma SaaS multi-tenant de automatización comercial vía WhatsApp con agentes de Inteligencia Artificial</w:t>
      </w:r>
    </w:p>
    <w:p>
      <w:pPr>
        <w:pStyle w:val="Heading1"/>
      </w:pPr>
      <w:r>
        <w:t xml:space="preserve">1. Resumen ejecutivo</w:t>
      </w:r>
    </w:p>
    <w:p>
      <w:pPr>
        <w:spacing w:after="160"/>
      </w:pPr>
      <w:r>
        <w:t xml:space="preserve">Xelera es una plataforma SaaS multi-tenant que permite a empresas conectar su cuenta de WhatsApp Business y automatizar la conversación con clientes mediante agentes de Inteligencia Artificial (OpenAI). Cada organización configura sus propios agentes, productos y pipeline de ventas; el agente filtra prospectos, agenda citas y gestiona leads de forma autónoma, sin intervención humana constante.</w:t>
      </w:r>
    </w:p>
    <w:p>
      <w:pPr>
        <w:spacing w:after="160"/>
      </w:pPr>
      <w:r>
        <w:t xml:space="preserve">El proyecto está construido sobre un stack moderno (Next.js 16, React 19, TypeScript, Supabase) y ha evolucionado en fases sucesivas que agregan capacidades de memoria conversacional, RAG, analítica de eventos y observabilidad, hasta convertirse en un sistema con arquitectura de mensajería asíncrona y monitoreo proactivo de salud de integraciones.</w:t>
      </w:r>
    </w:p>
    <w:p>
      <w:pPr>
        <w:pStyle w:val="Heading1"/>
      </w:pPr>
      <w:r>
        <w:t xml:space="preserve">2. Descripción general</w:t>
      </w:r>
    </w:p>
    <w:p>
      <w:pPr>
        <w:spacing w:after="160"/>
      </w:pPr>
      <w:r>
        <w:t xml:space="preserve">La plataforma resuelve un problema recurrente de pequeñas y medianas empresas: la atención de clientes por WhatsApp de forma manual, lenta y no escalable. Xelera automatiza ese canal permitiendo que un agente de IA converse con cada prospecto, entienda sus necesidades, responda preguntas frecuentes usando la información propia del negocio (RAG) y avance al lead a través de un pipeline de ventas tipo CRM.</w:t>
      </w:r>
    </w:p>
    <w:p>
      <w:pPr>
        <w:spacing w:after="160"/>
      </w:pPr>
      <w:r>
        <w:t xml:space="preserve">El sistema es multi-tenant: cada organización tiene sus propios datos, agentes, productos y credenciales, aislados mediante Row Level Security (RLS) de Supabase. El onboarding guiado ofrece templates preconfigurados por industria (inmobiliaria, peluquería, ecommerce), lo que reduce el tiempo de puesta en marcha.</w:t>
      </w:r>
    </w:p>
    <w:p>
      <w:pPr>
        <w:pStyle w:val="Heading1"/>
      </w:pPr>
      <w:r>
        <w:t xml:space="preserve">3. Arquitectura y stack tecnológico</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500"/>
        <w:gridCol w:w="6980"/>
      </w:tblGrid>
      <w:tr>
        <w:trPr>
          <w:tblHeader/>
        </w:trPr>
        <w:tc>
          <w:tcPr>
            <w:tcW w:type="dxa" w:w="2500"/>
            <w:shd w:fill="5C7A6A" w:color="auto" w:val="clear"/>
            <w:tcMar>
              <w:top w:type="dxa" w:w="80"/>
              <w:left w:type="dxa" w:w="100"/>
              <w:bottom w:type="dxa" w:w="80"/>
              <w:right w:type="dxa" w:w="100"/>
            </w:tcMar>
            <w:vAlign w:val="center"/>
          </w:tcPr>
          <w:p>
            <w:r>
              <w:rPr>
                <w:b/>
                <w:bCs/>
                <w:color w:val="FFFFFF"/>
              </w:rPr>
              <w:t xml:space="preserve">Capa</w:t>
            </w:r>
          </w:p>
        </w:tc>
        <w:tc>
          <w:tcPr>
            <w:tcW w:type="dxa" w:w="6980"/>
            <w:shd w:fill="5C7A6A" w:color="auto" w:val="clear"/>
            <w:tcMar>
              <w:top w:type="dxa" w:w="80"/>
              <w:left w:type="dxa" w:w="100"/>
              <w:bottom w:type="dxa" w:w="80"/>
              <w:right w:type="dxa" w:w="100"/>
            </w:tcMar>
            <w:vAlign w:val="center"/>
          </w:tcPr>
          <w:p>
            <w:r>
              <w:rPr>
                <w:b/>
                <w:bCs/>
                <w:color w:val="FFFFFF"/>
              </w:rPr>
              <w:t xml:space="preserve">Tecnología</w:t>
            </w:r>
          </w:p>
        </w:tc>
      </w:tr>
      <w:tr>
        <w:tc>
          <w:tcPr>
            <w:tcW w:type="dxa" w:w="2500"/>
            <w:tcMar>
              <w:top w:type="dxa" w:w="80"/>
              <w:left w:type="dxa" w:w="100"/>
              <w:bottom w:type="dxa" w:w="80"/>
              <w:right w:type="dxa" w:w="100"/>
            </w:tcMar>
            <w:vAlign w:val="center"/>
          </w:tcPr>
          <w:p>
            <w:r>
              <w:rPr>
                <w:b w:val="false"/>
                <w:bCs w:val="false"/>
              </w:rPr>
              <w:t xml:space="preserve">Frontend</w:t>
            </w:r>
          </w:p>
        </w:tc>
        <w:tc>
          <w:tcPr>
            <w:tcW w:type="dxa" w:w="6980"/>
            <w:tcMar>
              <w:top w:type="dxa" w:w="80"/>
              <w:left w:type="dxa" w:w="100"/>
              <w:bottom w:type="dxa" w:w="80"/>
              <w:right w:type="dxa" w:w="100"/>
            </w:tcMar>
            <w:vAlign w:val="center"/>
          </w:tcPr>
          <w:p>
            <w:r>
              <w:rPr>
                <w:b w:val="false"/>
                <w:bCs w:val="false"/>
              </w:rPr>
              <w:t xml:space="preserve">Next.js 16 (App Router), React 19, TypeScript</w:t>
            </w:r>
          </w:p>
        </w:tc>
      </w:tr>
      <w:tr>
        <w:tc>
          <w:tcPr>
            <w:tcW w:type="dxa" w:w="2500"/>
            <w:tcMar>
              <w:top w:type="dxa" w:w="80"/>
              <w:left w:type="dxa" w:w="100"/>
              <w:bottom w:type="dxa" w:w="80"/>
              <w:right w:type="dxa" w:w="100"/>
            </w:tcMar>
            <w:vAlign w:val="center"/>
          </w:tcPr>
          <w:p>
            <w:r>
              <w:rPr>
                <w:b w:val="false"/>
                <w:bCs w:val="false"/>
              </w:rPr>
              <w:t xml:space="preserve">Estilos</w:t>
            </w:r>
          </w:p>
        </w:tc>
        <w:tc>
          <w:tcPr>
            <w:tcW w:type="dxa" w:w="6980"/>
            <w:tcMar>
              <w:top w:type="dxa" w:w="80"/>
              <w:left w:type="dxa" w:w="100"/>
              <w:bottom w:type="dxa" w:w="80"/>
              <w:right w:type="dxa" w:w="100"/>
            </w:tcMar>
            <w:vAlign w:val="center"/>
          </w:tcPr>
          <w:p>
            <w:r>
              <w:rPr>
                <w:b w:val="false"/>
                <w:bCs w:val="false"/>
              </w:rPr>
              <w:t xml:space="preserve">Tailwind CSS v4, Framer Motion</w:t>
            </w:r>
          </w:p>
        </w:tc>
      </w:tr>
      <w:tr>
        <w:tc>
          <w:tcPr>
            <w:tcW w:type="dxa" w:w="2500"/>
            <w:tcMar>
              <w:top w:type="dxa" w:w="80"/>
              <w:left w:type="dxa" w:w="100"/>
              <w:bottom w:type="dxa" w:w="80"/>
              <w:right w:type="dxa" w:w="100"/>
            </w:tcMar>
            <w:vAlign w:val="center"/>
          </w:tcPr>
          <w:p>
            <w:r>
              <w:rPr>
                <w:b w:val="false"/>
                <w:bCs w:val="false"/>
              </w:rPr>
              <w:t xml:space="preserve">Base de datos</w:t>
            </w:r>
          </w:p>
        </w:tc>
        <w:tc>
          <w:tcPr>
            <w:tcW w:type="dxa" w:w="6980"/>
            <w:tcMar>
              <w:top w:type="dxa" w:w="80"/>
              <w:left w:type="dxa" w:w="100"/>
              <w:bottom w:type="dxa" w:w="80"/>
              <w:right w:type="dxa" w:w="100"/>
            </w:tcMar>
            <w:vAlign w:val="center"/>
          </w:tcPr>
          <w:p>
            <w:r>
              <w:rPr>
                <w:b w:val="false"/>
                <w:bCs w:val="false"/>
              </w:rPr>
              <w:t xml:space="preserve">Supabase (PostgreSQL + pgvector + RLS)</w:t>
            </w:r>
          </w:p>
        </w:tc>
      </w:tr>
      <w:tr>
        <w:tc>
          <w:tcPr>
            <w:tcW w:type="dxa" w:w="2500"/>
            <w:tcMar>
              <w:top w:type="dxa" w:w="80"/>
              <w:left w:type="dxa" w:w="100"/>
              <w:bottom w:type="dxa" w:w="80"/>
              <w:right w:type="dxa" w:w="100"/>
            </w:tcMar>
            <w:vAlign w:val="center"/>
          </w:tcPr>
          <w:p>
            <w:r>
              <w:rPr>
                <w:b w:val="false"/>
                <w:bCs w:val="false"/>
              </w:rPr>
              <w:t xml:space="preserve">Autenticación</w:t>
            </w:r>
          </w:p>
        </w:tc>
        <w:tc>
          <w:tcPr>
            <w:tcW w:type="dxa" w:w="6980"/>
            <w:tcMar>
              <w:top w:type="dxa" w:w="80"/>
              <w:left w:type="dxa" w:w="100"/>
              <w:bottom w:type="dxa" w:w="80"/>
              <w:right w:type="dxa" w:w="100"/>
            </w:tcMar>
            <w:vAlign w:val="center"/>
          </w:tcPr>
          <w:p>
            <w:r>
              <w:rPr>
                <w:b w:val="false"/>
                <w:bCs w:val="false"/>
              </w:rPr>
              <w:t xml:space="preserve">Supabase Auth (email/password)</w:t>
            </w:r>
          </w:p>
        </w:tc>
      </w:tr>
      <w:tr>
        <w:tc>
          <w:tcPr>
            <w:tcW w:type="dxa" w:w="2500"/>
            <w:tcMar>
              <w:top w:type="dxa" w:w="80"/>
              <w:left w:type="dxa" w:w="100"/>
              <w:bottom w:type="dxa" w:w="80"/>
              <w:right w:type="dxa" w:w="100"/>
            </w:tcMar>
            <w:vAlign w:val="center"/>
          </w:tcPr>
          <w:p>
            <w:r>
              <w:rPr>
                <w:b w:val="false"/>
                <w:bCs w:val="false"/>
              </w:rPr>
              <w:t xml:space="preserve">Inteligencia Artificial</w:t>
            </w:r>
          </w:p>
        </w:tc>
        <w:tc>
          <w:tcPr>
            <w:tcW w:type="dxa" w:w="6980"/>
            <w:tcMar>
              <w:top w:type="dxa" w:w="80"/>
              <w:left w:type="dxa" w:w="100"/>
              <w:bottom w:type="dxa" w:w="80"/>
              <w:right w:type="dxa" w:w="100"/>
            </w:tcMar>
            <w:vAlign w:val="center"/>
          </w:tcPr>
          <w:p>
            <w:r>
              <w:rPr>
                <w:b w:val="false"/>
                <w:bCs w:val="false"/>
              </w:rPr>
              <w:t xml:space="preserve">OpenAI GPT-4o-mini, text-embedding-3-small, Whisper-1</w:t>
            </w:r>
          </w:p>
        </w:tc>
      </w:tr>
      <w:tr>
        <w:tc>
          <w:tcPr>
            <w:tcW w:type="dxa" w:w="2500"/>
            <w:tcMar>
              <w:top w:type="dxa" w:w="80"/>
              <w:left w:type="dxa" w:w="100"/>
              <w:bottom w:type="dxa" w:w="80"/>
              <w:right w:type="dxa" w:w="100"/>
            </w:tcMar>
            <w:vAlign w:val="center"/>
          </w:tcPr>
          <w:p>
            <w:r>
              <w:rPr>
                <w:b w:val="false"/>
                <w:bCs w:val="false"/>
              </w:rPr>
              <w:t xml:space="preserve">WhatsApp</w:t>
            </w:r>
          </w:p>
        </w:tc>
        <w:tc>
          <w:tcPr>
            <w:tcW w:type="dxa" w:w="6980"/>
            <w:tcMar>
              <w:top w:type="dxa" w:w="80"/>
              <w:left w:type="dxa" w:w="100"/>
              <w:bottom w:type="dxa" w:w="80"/>
              <w:right w:type="dxa" w:w="100"/>
            </w:tcMar>
            <w:vAlign w:val="center"/>
          </w:tcPr>
          <w:p>
            <w:r>
              <w:rPr>
                <w:b w:val="false"/>
                <w:bCs w:val="false"/>
              </w:rPr>
              <w:t xml:space="preserve">Meta Cloud API (Business) y Twilio</w:t>
            </w:r>
          </w:p>
        </w:tc>
      </w:tr>
      <w:tr>
        <w:tc>
          <w:tcPr>
            <w:tcW w:type="dxa" w:w="2500"/>
            <w:tcMar>
              <w:top w:type="dxa" w:w="80"/>
              <w:left w:type="dxa" w:w="100"/>
              <w:bottom w:type="dxa" w:w="80"/>
              <w:right w:type="dxa" w:w="100"/>
            </w:tcMar>
            <w:vAlign w:val="center"/>
          </w:tcPr>
          <w:p>
            <w:r>
              <w:rPr>
                <w:b w:val="false"/>
                <w:bCs w:val="false"/>
              </w:rPr>
              <w:t xml:space="preserve">Gráficos</w:t>
            </w:r>
          </w:p>
        </w:tc>
        <w:tc>
          <w:tcPr>
            <w:tcW w:type="dxa" w:w="6980"/>
            <w:tcMar>
              <w:top w:type="dxa" w:w="80"/>
              <w:left w:type="dxa" w:w="100"/>
              <w:bottom w:type="dxa" w:w="80"/>
              <w:right w:type="dxa" w:w="100"/>
            </w:tcMar>
            <w:vAlign w:val="center"/>
          </w:tcPr>
          <w:p>
            <w:r>
              <w:rPr>
                <w:b w:val="false"/>
                <w:bCs w:val="false"/>
              </w:rPr>
              <w:t xml:space="preserve">Recharts</w:t>
            </w:r>
          </w:p>
        </w:tc>
      </w:tr>
      <w:tr>
        <w:tc>
          <w:tcPr>
            <w:tcW w:type="dxa" w:w="2500"/>
            <w:tcMar>
              <w:top w:type="dxa" w:w="80"/>
              <w:left w:type="dxa" w:w="100"/>
              <w:bottom w:type="dxa" w:w="80"/>
              <w:right w:type="dxa" w:w="100"/>
            </w:tcMar>
            <w:vAlign w:val="center"/>
          </w:tcPr>
          <w:p>
            <w:r>
              <w:rPr>
                <w:b w:val="false"/>
                <w:bCs w:val="false"/>
              </w:rPr>
              <w:t xml:space="preserve">Drag &amp; Drop</w:t>
            </w:r>
          </w:p>
        </w:tc>
        <w:tc>
          <w:tcPr>
            <w:tcW w:type="dxa" w:w="6980"/>
            <w:tcMar>
              <w:top w:type="dxa" w:w="80"/>
              <w:left w:type="dxa" w:w="100"/>
              <w:bottom w:type="dxa" w:w="80"/>
              <w:right w:type="dxa" w:w="100"/>
            </w:tcMar>
            <w:vAlign w:val="center"/>
          </w:tcPr>
          <w:p>
            <w:r>
              <w:rPr>
                <w:b w:val="false"/>
                <w:bCs w:val="false"/>
              </w:rPr>
              <w:t xml:space="preserve">@hello-pangea/dnd</w:t>
            </w:r>
          </w:p>
        </w:tc>
      </w:tr>
      <w:tr>
        <w:tc>
          <w:tcPr>
            <w:tcW w:type="dxa" w:w="2500"/>
            <w:tcMar>
              <w:top w:type="dxa" w:w="80"/>
              <w:left w:type="dxa" w:w="100"/>
              <w:bottom w:type="dxa" w:w="80"/>
              <w:right w:type="dxa" w:w="100"/>
            </w:tcMar>
            <w:vAlign w:val="center"/>
          </w:tcPr>
          <w:p>
            <w:r>
              <w:rPr>
                <w:b w:val="false"/>
                <w:bCs w:val="false"/>
              </w:rPr>
              <w:t xml:space="preserve">Pagos</w:t>
            </w:r>
          </w:p>
        </w:tc>
        <w:tc>
          <w:tcPr>
            <w:tcW w:type="dxa" w:w="6980"/>
            <w:tcMar>
              <w:top w:type="dxa" w:w="80"/>
              <w:left w:type="dxa" w:w="100"/>
              <w:bottom w:type="dxa" w:w="80"/>
              <w:right w:type="dxa" w:w="100"/>
            </w:tcMar>
            <w:vAlign w:val="center"/>
          </w:tcPr>
          <w:p>
            <w:r>
              <w:rPr>
                <w:b w:val="false"/>
                <w:bCs w:val="false"/>
              </w:rPr>
              <w:t xml:space="preserve">Stripe (billing y planes)</w:t>
            </w:r>
          </w:p>
        </w:tc>
      </w:tr>
      <w:tr>
        <w:tc>
          <w:tcPr>
            <w:tcW w:type="dxa" w:w="2500"/>
            <w:tcMar>
              <w:top w:type="dxa" w:w="80"/>
              <w:left w:type="dxa" w:w="100"/>
              <w:bottom w:type="dxa" w:w="80"/>
              <w:right w:type="dxa" w:w="100"/>
            </w:tcMar>
            <w:vAlign w:val="center"/>
          </w:tcPr>
          <w:p>
            <w:r>
              <w:rPr>
                <w:b w:val="false"/>
                <w:bCs w:val="false"/>
              </w:rPr>
              <w:t xml:space="preserve">Observabilidad</w:t>
            </w:r>
          </w:p>
        </w:tc>
        <w:tc>
          <w:tcPr>
            <w:tcW w:type="dxa" w:w="6980"/>
            <w:tcMar>
              <w:top w:type="dxa" w:w="80"/>
              <w:left w:type="dxa" w:w="100"/>
              <w:bottom w:type="dxa" w:w="80"/>
              <w:right w:type="dxa" w:w="100"/>
            </w:tcMar>
            <w:vAlign w:val="center"/>
          </w:tcPr>
          <w:p>
            <w:r>
              <w:rPr>
                <w:b w:val="false"/>
                <w:bCs w:val="false"/>
              </w:rPr>
              <w:t xml:space="preserve">Sentry (opcional, activado con SENTRY_DSN)</w:t>
            </w:r>
          </w:p>
        </w:tc>
      </w:tr>
      <w:tr>
        <w:tc>
          <w:tcPr>
            <w:tcW w:type="dxa" w:w="2500"/>
            <w:tcMar>
              <w:top w:type="dxa" w:w="80"/>
              <w:left w:type="dxa" w:w="100"/>
              <w:bottom w:type="dxa" w:w="80"/>
              <w:right w:type="dxa" w:w="100"/>
            </w:tcMar>
            <w:vAlign w:val="center"/>
          </w:tcPr>
          <w:p>
            <w:r>
              <w:rPr>
                <w:b w:val="false"/>
                <w:bCs w:val="false"/>
              </w:rPr>
              <w:t xml:space="preserve">Despliegue</w:t>
            </w:r>
          </w:p>
        </w:tc>
        <w:tc>
          <w:tcPr>
            <w:tcW w:type="dxa" w:w="6980"/>
            <w:tcMar>
              <w:top w:type="dxa" w:w="80"/>
              <w:left w:type="dxa" w:w="100"/>
              <w:bottom w:type="dxa" w:w="80"/>
              <w:right w:type="dxa" w:w="100"/>
            </w:tcMar>
            <w:vAlign w:val="center"/>
          </w:tcPr>
          <w:p>
            <w:r>
              <w:rPr>
                <w:b w:val="false"/>
                <w:bCs w:val="false"/>
              </w:rPr>
              <w:t xml:space="preserve">Vercel</w:t>
            </w:r>
          </w:p>
        </w:tc>
      </w:tr>
    </w:tbl>
    <w:p>
      <w:pPr>
        <w:spacing w:after="120"/>
      </w:pPr>
    </w:p>
    <w:p>
      <w:pPr>
        <w:spacing w:after="160"/>
      </w:pPr>
      <w:r>
        <w:t xml:space="preserve">El backend no es un servidor Node.js independiente: toda la lógica se implementa en API Routes de Next.js, incluyendo el webhook multi-tenant que recibe los mensajes entrantes de WhatsApp en la ruta /api/webhook/[tenantId].</w:t>
      </w:r>
    </w:p>
    <w:p>
      <w:pPr>
        <w:pStyle w:val="Heading1"/>
      </w:pPr>
      <w:r>
        <w:t xml:space="preserve">4. Funcionalidades principales</w:t>
      </w:r>
    </w:p>
    <w:p>
      <w:pPr>
        <w:pStyle w:val="ListParagraph"/>
        <w:numPr>
          <w:ilvl w:val="0"/>
          <w:numId w:val="2"/>
        </w:numPr>
        <w:spacing w:after="80"/>
      </w:pPr>
      <w:r>
        <w:rPr>
          <w:b/>
          <w:bCs/>
        </w:rPr>
        <w:t xml:space="preserve">Agentes IA configurables —</w:t>
      </w:r>
      <w:r>
        <w:t xml:space="preserve"> Cada organización crea agentes con prompts personalizados, productos asignados y conexión propia a WhatsApp.</w:t>
      </w:r>
    </w:p>
    <w:p>
      <w:pPr>
        <w:pStyle w:val="ListParagraph"/>
        <w:numPr>
          <w:ilvl w:val="0"/>
          <w:numId w:val="2"/>
        </w:numPr>
        <w:spacing w:after="80"/>
      </w:pPr>
      <w:r>
        <w:rPr>
          <w:b/>
          <w:bCs/>
        </w:rPr>
        <w:t xml:space="preserve">Templates por industria —</w:t>
      </w:r>
      <w:r>
        <w:t xml:space="preserve"> Onboarding con templates pre-configurados (inmobiliaria, peluquería, ecommerce) que incluyen FAQs, pipeline y prompt del agente.</w:t>
      </w:r>
    </w:p>
    <w:p>
      <w:pPr>
        <w:pStyle w:val="ListParagraph"/>
        <w:numPr>
          <w:ilvl w:val="0"/>
          <w:numId w:val="2"/>
        </w:numPr>
        <w:spacing w:after="80"/>
      </w:pPr>
      <w:r>
        <w:rPr>
          <w:b/>
          <w:bCs/>
        </w:rPr>
        <w:t xml:space="preserve">Pipeline de ventas —</w:t>
      </w:r>
      <w:r>
        <w:t xml:space="preserve"> Tablero Kanban drag-and-drop para gestionar leads por etapas (CRM propio).</w:t>
      </w:r>
    </w:p>
    <w:p>
      <w:pPr>
        <w:pStyle w:val="ListParagraph"/>
        <w:numPr>
          <w:ilvl w:val="0"/>
          <w:numId w:val="2"/>
        </w:numPr>
        <w:spacing w:after="80"/>
      </w:pPr>
      <w:r>
        <w:rPr>
          <w:b/>
          <w:bCs/>
        </w:rPr>
        <w:t xml:space="preserve">Inbox en tiempo real —</w:t>
      </w:r>
      <w:r>
        <w:t xml:space="preserve"> Chat con polling automático (3 s mensajes, 8 s conversaciones) más Supabase Realtime.</w:t>
      </w:r>
    </w:p>
    <w:p>
      <w:pPr>
        <w:pStyle w:val="ListParagraph"/>
        <w:numPr>
          <w:ilvl w:val="0"/>
          <w:numId w:val="2"/>
        </w:numPr>
        <w:spacing w:after="80"/>
      </w:pPr>
      <w:r>
        <w:rPr>
          <w:b/>
          <w:bCs/>
        </w:rPr>
        <w:t xml:space="preserve">RAG (Retrieval-Augmented Generation) —</w:t>
      </w:r>
      <w:r>
        <w:t xml:space="preserve"> Los agentes buscan información relevante de productos usando embeddings y pgvector en vez de inyectar todo el contenido al prompt.</w:t>
      </w:r>
    </w:p>
    <w:p>
      <w:pPr>
        <w:pStyle w:val="ListParagraph"/>
        <w:numPr>
          <w:ilvl w:val="0"/>
          <w:numId w:val="2"/>
        </w:numPr>
        <w:spacing w:after="80"/>
      </w:pPr>
      <w:r>
        <w:rPr>
          <w:b/>
          <w:bCs/>
        </w:rPr>
        <w:t xml:space="preserve">Widget de chatbot —</w:t>
      </w:r>
      <w:r>
        <w:t xml:space="preserve"> Componente embebible para sitios web externos.</w:t>
      </w:r>
    </w:p>
    <w:p>
      <w:pPr>
        <w:pStyle w:val="ListParagraph"/>
        <w:numPr>
          <w:ilvl w:val="0"/>
          <w:numId w:val="2"/>
        </w:numPr>
        <w:spacing w:after="80"/>
      </w:pPr>
      <w:r>
        <w:rPr>
          <w:b/>
          <w:bCs/>
        </w:rPr>
        <w:t xml:space="preserve">Analytics —</w:t>
      </w:r>
      <w:r>
        <w:t xml:space="preserve"> Panel con métricas de leads, conversiones y actividad por organización.</w:t>
      </w:r>
    </w:p>
    <w:p>
      <w:pPr>
        <w:pStyle w:val="ListParagraph"/>
        <w:numPr>
          <w:ilvl w:val="0"/>
          <w:numId w:val="2"/>
        </w:numPr>
        <w:spacing w:after="80"/>
      </w:pPr>
      <w:r>
        <w:rPr>
          <w:b/>
          <w:bCs/>
        </w:rPr>
        <w:t xml:space="preserve">Multi-tenancy —</w:t>
      </w:r>
      <w:r>
        <w:t xml:space="preserve"> Aislamiento de datos por organización mediante Row Level Security de Supabase.</w:t>
      </w:r>
    </w:p>
    <w:p>
      <w:pPr>
        <w:pStyle w:val="ListParagraph"/>
        <w:numPr>
          <w:ilvl w:val="0"/>
          <w:numId w:val="2"/>
        </w:numPr>
        <w:spacing w:after="80"/>
      </w:pPr>
      <w:r>
        <w:rPr>
          <w:b/>
          <w:bCs/>
        </w:rPr>
        <w:t xml:space="preserve">Onboarding guiado —</w:t>
      </w:r>
      <w:r>
        <w:t xml:space="preserve"> Flujo paso a paso: industria → agente → API key → WhatsApp → listo.</w:t>
      </w:r>
    </w:p>
    <w:p>
      <w:pPr>
        <w:pStyle w:val="Heading1"/>
      </w:pPr>
      <w:r>
        <w:t xml:space="preserve">5. Arquitectura de mensajes (Fase 1)</w:t>
      </w:r>
    </w:p>
    <w:p>
      <w:pPr>
        <w:spacing w:after="160"/>
      </w:pPr>
      <w:r>
        <w:t xml:space="preserve">El webhook de WhatsApp responde en menos de un segundo: verifica la firma, deduplica el mensaje, asegura el registro del lead, lo persiste y lo encola en una tabla intermedia (inbound_message_buffer). Un temporizador diferido espera una ventana de debounce (8 segundos por defecto); si el cliente envía una ráfaga de mensajes, todos se procesan como un único turno de OpenAI, evitando respuestas fragmentadas que se pisan entre sí. Como red de seguridad, un proceso programado (cron) rescata lotes cuyo temporizador haya fallado (más de 90 segundos sin procesar). Si la tabla de cola no existe aún, el sistema degrada automáticamente al procesamiento en línea original, sin perder mensajes.</w:t>
      </w:r>
    </w:p>
    <w:p>
      <w:pPr>
        <w:spacing w:after="160"/>
      </w:pPr>
      <w:r>
        <w:t xml:space="preserve">Estados de entrega (Outbox): cada mensaje enviado guarda su identificador (wamid); los webhooks de estado de Meta actualizan el estado de entrega (enviado → entregado → leído), con lógica de monotonicidad para manejar webhooks que llegan fuera de orden. El inbox muestra los checks estilo WhatsApp y los fallos generan una alerta centralizada (Sentry y notificación in-app, deduplicada a máximo una cada seis horas), con detección específica de tokens de Meta vencidos.</w:t>
      </w:r>
    </w:p>
    <w:p>
      <w:pPr>
        <w:spacing w:after="160"/>
      </w:pPr>
      <w:r>
        <w:t xml:space="preserve">Notas de voz: los audios recibidos por WhatsApp se transcriben automáticamente con Whisper (modelo whisper-1, español); el texto resultante entra al flujo normal de conversación. Cualquier fallo en la transcripción degrada a un mensaje que pide al cliente escribir su consulta, sin cortar la conversación.</w:t>
      </w:r>
    </w:p>
    <w:p>
      <w:pPr>
        <w:pStyle w:val="Heading1"/>
      </w:pPr>
      <w:r>
        <w:t xml:space="preserve">6. Memoria de tres capas y RAG unificado (Fase 2)</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380"/>
      </w:tblGrid>
      <w:tr>
        <w:trPr>
          <w:tblHeader/>
        </w:trPr>
        <w:tc>
          <w:tcPr>
            <w:tcW w:type="dxa" w:w="1900"/>
            <w:shd w:fill="5C7A6A" w:color="auto" w:val="clear"/>
            <w:tcMar>
              <w:top w:type="dxa" w:w="80"/>
              <w:left w:type="dxa" w:w="100"/>
              <w:bottom w:type="dxa" w:w="80"/>
              <w:right w:type="dxa" w:w="100"/>
            </w:tcMar>
            <w:vAlign w:val="center"/>
          </w:tcPr>
          <w:p>
            <w:r>
              <w:rPr>
                <w:b/>
                <w:bCs/>
                <w:color w:val="FFFFFF"/>
              </w:rPr>
              <w:t xml:space="preserve">Capa</w:t>
            </w:r>
          </w:p>
        </w:tc>
        <w:tc>
          <w:tcPr>
            <w:tcW w:type="dxa" w:w="3200"/>
            <w:shd w:fill="5C7A6A" w:color="auto" w:val="clear"/>
            <w:tcMar>
              <w:top w:type="dxa" w:w="80"/>
              <w:left w:type="dxa" w:w="100"/>
              <w:bottom w:type="dxa" w:w="80"/>
              <w:right w:type="dxa" w:w="100"/>
            </w:tcMar>
            <w:vAlign w:val="center"/>
          </w:tcPr>
          <w:p>
            <w:r>
              <w:rPr>
                <w:b/>
                <w:bCs/>
                <w:color w:val="FFFFFF"/>
              </w:rPr>
              <w:t xml:space="preserve">Almacenamiento</w:t>
            </w:r>
          </w:p>
        </w:tc>
        <w:tc>
          <w:tcPr>
            <w:tcW w:type="dxa" w:w="4380"/>
            <w:shd w:fill="5C7A6A" w:color="auto" w:val="clear"/>
            <w:tcMar>
              <w:top w:type="dxa" w:w="80"/>
              <w:left w:type="dxa" w:w="100"/>
              <w:bottom w:type="dxa" w:w="80"/>
              <w:right w:type="dxa" w:w="100"/>
            </w:tcMar>
            <w:vAlign w:val="center"/>
          </w:tcPr>
          <w:p>
            <w:r>
              <w:rPr>
                <w:b/>
                <w:bCs/>
                <w:color w:val="FFFFFF"/>
              </w:rPr>
              <w:t xml:space="preserve">Contenido</w:t>
            </w:r>
          </w:p>
        </w:tc>
      </w:tr>
      <w:tr>
        <w:tc>
          <w:tcPr>
            <w:tcW w:type="dxa" w:w="1900"/>
            <w:tcMar>
              <w:top w:type="dxa" w:w="80"/>
              <w:left w:type="dxa" w:w="100"/>
              <w:bottom w:type="dxa" w:w="80"/>
              <w:right w:type="dxa" w:w="100"/>
            </w:tcMar>
            <w:vAlign w:val="center"/>
          </w:tcPr>
          <w:p>
            <w:r>
              <w:rPr>
                <w:b w:val="false"/>
                <w:bCs w:val="false"/>
              </w:rPr>
              <w:t xml:space="preserve">Corta</w:t>
            </w:r>
          </w:p>
        </w:tc>
        <w:tc>
          <w:tcPr>
            <w:tcW w:type="dxa" w:w="3200"/>
            <w:tcMar>
              <w:top w:type="dxa" w:w="80"/>
              <w:left w:type="dxa" w:w="100"/>
              <w:bottom w:type="dxa" w:w="80"/>
              <w:right w:type="dxa" w:w="100"/>
            </w:tcMar>
            <w:vAlign w:val="center"/>
          </w:tcPr>
          <w:p>
            <w:r>
              <w:rPr>
                <w:b w:val="false"/>
                <w:bCs w:val="false"/>
              </w:rPr>
              <w:t xml:space="preserve">lead_messages (últimos 15)</w:t>
            </w:r>
          </w:p>
        </w:tc>
        <w:tc>
          <w:tcPr>
            <w:tcW w:type="dxa" w:w="4380"/>
            <w:tcMar>
              <w:top w:type="dxa" w:w="80"/>
              <w:left w:type="dxa" w:w="100"/>
              <w:bottom w:type="dxa" w:w="80"/>
              <w:right w:type="dxa" w:w="100"/>
            </w:tcMar>
            <w:vAlign w:val="center"/>
          </w:tcPr>
          <w:p>
            <w:r>
              <w:rPr>
                <w:b w:val="false"/>
                <w:bCs w:val="false"/>
              </w:rPr>
              <w:t xml:space="preserve">La conversación en curso</w:t>
            </w:r>
          </w:p>
        </w:tc>
      </w:tr>
      <w:tr>
        <w:tc>
          <w:tcPr>
            <w:tcW w:type="dxa" w:w="1900"/>
            <w:tcMar>
              <w:top w:type="dxa" w:w="80"/>
              <w:left w:type="dxa" w:w="100"/>
              <w:bottom w:type="dxa" w:w="80"/>
              <w:right w:type="dxa" w:w="100"/>
            </w:tcMar>
            <w:vAlign w:val="center"/>
          </w:tcPr>
          <w:p>
            <w:r>
              <w:rPr>
                <w:b w:val="false"/>
                <w:bCs w:val="false"/>
              </w:rPr>
              <w:t xml:space="preserve">Media</w:t>
            </w:r>
          </w:p>
        </w:tc>
        <w:tc>
          <w:tcPr>
            <w:tcW w:type="dxa" w:w="3200"/>
            <w:tcMar>
              <w:top w:type="dxa" w:w="80"/>
              <w:left w:type="dxa" w:w="100"/>
              <w:bottom w:type="dxa" w:w="80"/>
              <w:right w:type="dxa" w:w="100"/>
            </w:tcMar>
            <w:vAlign w:val="center"/>
          </w:tcPr>
          <w:p>
            <w:r>
              <w:rPr>
                <w:b w:val="false"/>
                <w:bCs w:val="false"/>
              </w:rPr>
              <w:t xml:space="preserve">leads.conversation_summary</w:t>
            </w:r>
          </w:p>
        </w:tc>
        <w:tc>
          <w:tcPr>
            <w:tcW w:type="dxa" w:w="4380"/>
            <w:tcMar>
              <w:top w:type="dxa" w:w="80"/>
              <w:left w:type="dxa" w:w="100"/>
              <w:bottom w:type="dxa" w:w="80"/>
              <w:right w:type="dxa" w:w="100"/>
            </w:tcMar>
            <w:vAlign w:val="center"/>
          </w:tcPr>
          <w:p>
            <w:r>
              <w:rPr>
                <w:b w:val="false"/>
                <w:bCs w:val="false"/>
              </w:rPr>
              <w:t xml:space="preserve">Resumen progresivo, actualizado cada ~10 mensajes</w:t>
            </w:r>
          </w:p>
        </w:tc>
      </w:tr>
      <w:tr>
        <w:tc>
          <w:tcPr>
            <w:tcW w:type="dxa" w:w="1900"/>
            <w:tcMar>
              <w:top w:type="dxa" w:w="80"/>
              <w:left w:type="dxa" w:w="100"/>
              <w:bottom w:type="dxa" w:w="80"/>
              <w:right w:type="dxa" w:w="100"/>
            </w:tcMar>
            <w:vAlign w:val="center"/>
          </w:tcPr>
          <w:p>
            <w:r>
              <w:rPr>
                <w:b w:val="false"/>
                <w:bCs w:val="false"/>
              </w:rPr>
              <w:t xml:space="preserve">Larga</w:t>
            </w:r>
          </w:p>
        </w:tc>
        <w:tc>
          <w:tcPr>
            <w:tcW w:type="dxa" w:w="3200"/>
            <w:tcMar>
              <w:top w:type="dxa" w:w="80"/>
              <w:left w:type="dxa" w:w="100"/>
              <w:bottom w:type="dxa" w:w="80"/>
              <w:right w:type="dxa" w:w="100"/>
            </w:tcMar>
            <w:vAlign w:val="center"/>
          </w:tcPr>
          <w:p>
            <w:r>
              <w:rPr>
                <w:b w:val="false"/>
                <w:bCs w:val="false"/>
              </w:rPr>
              <w:t xml:space="preserve">lead_memories</w:t>
            </w:r>
          </w:p>
        </w:tc>
        <w:tc>
          <w:tcPr>
            <w:tcW w:type="dxa" w:w="4380"/>
            <w:tcMar>
              <w:top w:type="dxa" w:w="80"/>
              <w:left w:type="dxa" w:w="100"/>
              <w:bottom w:type="dxa" w:w="80"/>
              <w:right w:type="dxa" w:w="100"/>
            </w:tcMar>
            <w:vAlign w:val="center"/>
          </w:tcPr>
          <w:p>
            <w:r>
              <w:rPr>
                <w:b w:val="false"/>
                <w:bCs w:val="false"/>
              </w:rPr>
              <w:t xml:space="preserve">Hechos persistentes del cliente (presupuesto, preferencias, etc.)</w:t>
            </w:r>
          </w:p>
        </w:tc>
      </w:tr>
    </w:tbl>
    <w:p>
      <w:pPr>
        <w:spacing w:after="120"/>
      </w:pPr>
    </w:p>
    <w:p>
      <w:pPr>
        <w:spacing w:after="160"/>
      </w:pPr>
      <w:r>
        <w:t xml:space="preserve">Los hechos persistentes se capturan de dos formas: de manera estructurada desde las llamadas a la función interna de gestión del CRM (sin costo adicional de LLM), y mediante extracción periódica con LLM cada seis mensajes del cliente aproximadamente, en formato JSON, con deduplicación contra hechos ya conocidos.</w:t>
      </w:r>
    </w:p>
    <w:p>
      <w:pPr>
        <w:spacing w:after="160"/>
      </w:pPr>
      <w:r>
        <w:t xml:space="preserve">El RAG unificado indexa el conocimiento (FAQs y contenido scrapeado) en fragmentos embebidos (knowledge_chunks), en lugar de inyectar el contenido completo en cada prompt. En cada turno de conversación solo se recuperan los fragmentos relevantes. El índice se reconstruye automáticamente al guardar FAQs, guardar contenido scrapeado o completar el onboarding.</w:t>
      </w:r>
    </w:p>
    <w:p>
      <w:pPr>
        <w:pStyle w:val="Heading1"/>
      </w:pPr>
      <w:r>
        <w:t xml:space="preserve">7. Analítica de eventos</w:t>
      </w:r>
    </w:p>
    <w:p>
      <w:pPr>
        <w:spacing w:after="160"/>
      </w:pPr>
      <w:r>
        <w:t xml:space="preserve">El sistema implementa event sourcing ligero: el webhook y el procesador de mensajes registran eventos (mensaje recibido, respuesta del bot con su latencia percibida, traspaso a humano, cambio de etapa, cita agendada, lead creado). Un proceso programado consolida estos eventos cada hora en una tabla de métricas diarias por organización. El panel de analítica muestra en vivo el tiempo de respuesta percibido, el porcentaje de resolución sin intervención humana, el consumo de tokens con su costo estimado en dólares, y la tendencia de los últimos 14 días.</w:t>
      </w:r>
    </w:p>
    <w:p>
      <w:pPr>
        <w:pStyle w:val="Heading1"/>
      </w:pPr>
      <w:r>
        <w:t xml:space="preserve">8. Base de datos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500"/>
        <w:gridCol w:w="6980"/>
      </w:tblGrid>
      <w:tr>
        <w:trPr>
          <w:tblHeader/>
        </w:trPr>
        <w:tc>
          <w:tcPr>
            <w:tcW w:type="dxa" w:w="2500"/>
            <w:shd w:fill="5C7A6A" w:color="auto" w:val="clear"/>
            <w:tcMar>
              <w:top w:type="dxa" w:w="80"/>
              <w:left w:type="dxa" w:w="100"/>
              <w:bottom w:type="dxa" w:w="80"/>
              <w:right w:type="dxa" w:w="100"/>
            </w:tcMar>
            <w:vAlign w:val="center"/>
          </w:tcPr>
          <w:p>
            <w:r>
              <w:rPr>
                <w:b/>
                <w:bCs/>
                <w:color w:val="FFFFFF"/>
              </w:rPr>
              <w:t xml:space="preserve">Tabla</w:t>
            </w:r>
          </w:p>
        </w:tc>
        <w:tc>
          <w:tcPr>
            <w:tcW w:type="dxa" w:w="6980"/>
            <w:shd w:fill="5C7A6A" w:color="auto" w:val="clear"/>
            <w:tcMar>
              <w:top w:type="dxa" w:w="80"/>
              <w:left w:type="dxa" w:w="100"/>
              <w:bottom w:type="dxa" w:w="80"/>
              <w:right w:type="dxa" w:w="100"/>
            </w:tcMar>
            <w:vAlign w:val="center"/>
          </w:tcPr>
          <w:p>
            <w:r>
              <w:rPr>
                <w:b/>
                <w:bCs/>
                <w:color w:val="FFFFFF"/>
              </w:rPr>
              <w:t xml:space="preserve">Descripción</w:t>
            </w:r>
          </w:p>
        </w:tc>
      </w:tr>
      <w:tr>
        <w:tc>
          <w:tcPr>
            <w:tcW w:type="dxa" w:w="2500"/>
            <w:tcMar>
              <w:top w:type="dxa" w:w="80"/>
              <w:left w:type="dxa" w:w="100"/>
              <w:bottom w:type="dxa" w:w="80"/>
              <w:right w:type="dxa" w:w="100"/>
            </w:tcMar>
            <w:vAlign w:val="center"/>
          </w:tcPr>
          <w:p>
            <w:r>
              <w:rPr>
                <w:b w:val="false"/>
                <w:bCs w:val="false"/>
              </w:rPr>
              <w:t xml:space="preserve">organizations</w:t>
            </w:r>
          </w:p>
        </w:tc>
        <w:tc>
          <w:tcPr>
            <w:tcW w:type="dxa" w:w="6980"/>
            <w:tcMar>
              <w:top w:type="dxa" w:w="80"/>
              <w:left w:type="dxa" w:w="100"/>
              <w:bottom w:type="dxa" w:w="80"/>
              <w:right w:type="dxa" w:w="100"/>
            </w:tcMar>
            <w:vAlign w:val="center"/>
          </w:tcPr>
          <w:p>
            <w:r>
              <w:rPr>
                <w:b w:val="false"/>
                <w:bCs w:val="false"/>
              </w:rPr>
              <w:t xml:space="preserve">Empresas registradas (multi-tenant)</w:t>
            </w:r>
          </w:p>
        </w:tc>
      </w:tr>
      <w:tr>
        <w:tc>
          <w:tcPr>
            <w:tcW w:type="dxa" w:w="2500"/>
            <w:tcMar>
              <w:top w:type="dxa" w:w="80"/>
              <w:left w:type="dxa" w:w="100"/>
              <w:bottom w:type="dxa" w:w="80"/>
              <w:right w:type="dxa" w:w="100"/>
            </w:tcMar>
            <w:vAlign w:val="center"/>
          </w:tcPr>
          <w:p>
            <w:r>
              <w:rPr>
                <w:b w:val="false"/>
                <w:bCs w:val="false"/>
              </w:rPr>
              <w:t xml:space="preserve">agents</w:t>
            </w:r>
          </w:p>
        </w:tc>
        <w:tc>
          <w:tcPr>
            <w:tcW w:type="dxa" w:w="6980"/>
            <w:tcMar>
              <w:top w:type="dxa" w:w="80"/>
              <w:left w:type="dxa" w:w="100"/>
              <w:bottom w:type="dxa" w:w="80"/>
              <w:right w:type="dxa" w:w="100"/>
            </w:tcMar>
            <w:vAlign w:val="center"/>
          </w:tcPr>
          <w:p>
            <w:r>
              <w:rPr>
                <w:b w:val="false"/>
                <w:bCs w:val="false"/>
              </w:rPr>
              <w:t xml:space="preserve">Agentes IA configurados por organización</w:t>
            </w:r>
          </w:p>
        </w:tc>
      </w:tr>
      <w:tr>
        <w:tc>
          <w:tcPr>
            <w:tcW w:type="dxa" w:w="2500"/>
            <w:tcMar>
              <w:top w:type="dxa" w:w="80"/>
              <w:left w:type="dxa" w:w="100"/>
              <w:bottom w:type="dxa" w:w="80"/>
              <w:right w:type="dxa" w:w="100"/>
            </w:tcMar>
            <w:vAlign w:val="center"/>
          </w:tcPr>
          <w:p>
            <w:r>
              <w:rPr>
                <w:b w:val="false"/>
                <w:bCs w:val="false"/>
              </w:rPr>
              <w:t xml:space="preserve">leads</w:t>
            </w:r>
          </w:p>
        </w:tc>
        <w:tc>
          <w:tcPr>
            <w:tcW w:type="dxa" w:w="6980"/>
            <w:tcMar>
              <w:top w:type="dxa" w:w="80"/>
              <w:left w:type="dxa" w:w="100"/>
              <w:bottom w:type="dxa" w:w="80"/>
              <w:right w:type="dxa" w:w="100"/>
            </w:tcMar>
            <w:vAlign w:val="center"/>
          </w:tcPr>
          <w:p>
            <w:r>
              <w:rPr>
                <w:b w:val="false"/>
                <w:bCs w:val="false"/>
              </w:rPr>
              <w:t xml:space="preserve">Contactos/prospectos capturados</w:t>
            </w:r>
          </w:p>
        </w:tc>
      </w:tr>
      <w:tr>
        <w:tc>
          <w:tcPr>
            <w:tcW w:type="dxa" w:w="2500"/>
            <w:tcMar>
              <w:top w:type="dxa" w:w="80"/>
              <w:left w:type="dxa" w:w="100"/>
              <w:bottom w:type="dxa" w:w="80"/>
              <w:right w:type="dxa" w:w="100"/>
            </w:tcMar>
            <w:vAlign w:val="center"/>
          </w:tcPr>
          <w:p>
            <w:r>
              <w:rPr>
                <w:b w:val="false"/>
                <w:bCs w:val="false"/>
              </w:rPr>
              <w:t xml:space="preserve">lead_messages</w:t>
            </w:r>
          </w:p>
        </w:tc>
        <w:tc>
          <w:tcPr>
            <w:tcW w:type="dxa" w:w="6980"/>
            <w:tcMar>
              <w:top w:type="dxa" w:w="80"/>
              <w:left w:type="dxa" w:w="100"/>
              <w:bottom w:type="dxa" w:w="80"/>
              <w:right w:type="dxa" w:w="100"/>
            </w:tcMar>
            <w:vAlign w:val="center"/>
          </w:tcPr>
          <w:p>
            <w:r>
              <w:rPr>
                <w:b w:val="false"/>
                <w:bCs w:val="false"/>
              </w:rPr>
              <w:t xml:space="preserve">Mensajes de las conversaciones</w:t>
            </w:r>
          </w:p>
        </w:tc>
      </w:tr>
      <w:tr>
        <w:tc>
          <w:tcPr>
            <w:tcW w:type="dxa" w:w="2500"/>
            <w:tcMar>
              <w:top w:type="dxa" w:w="80"/>
              <w:left w:type="dxa" w:w="100"/>
              <w:bottom w:type="dxa" w:w="80"/>
              <w:right w:type="dxa" w:w="100"/>
            </w:tcMar>
            <w:vAlign w:val="center"/>
          </w:tcPr>
          <w:p>
            <w:r>
              <w:rPr>
                <w:b w:val="false"/>
                <w:bCs w:val="false"/>
              </w:rPr>
              <w:t xml:space="preserve">pipeline_stages</w:t>
            </w:r>
          </w:p>
        </w:tc>
        <w:tc>
          <w:tcPr>
            <w:tcW w:type="dxa" w:w="6980"/>
            <w:tcMar>
              <w:top w:type="dxa" w:w="80"/>
              <w:left w:type="dxa" w:w="100"/>
              <w:bottom w:type="dxa" w:w="80"/>
              <w:right w:type="dxa" w:w="100"/>
            </w:tcMar>
            <w:vAlign w:val="center"/>
          </w:tcPr>
          <w:p>
            <w:r>
              <w:rPr>
                <w:b w:val="false"/>
                <w:bCs w:val="false"/>
              </w:rPr>
              <w:t xml:space="preserve">Etapas del pipeline de ventas</w:t>
            </w:r>
          </w:p>
        </w:tc>
      </w:tr>
      <w:tr>
        <w:tc>
          <w:tcPr>
            <w:tcW w:type="dxa" w:w="2500"/>
            <w:tcMar>
              <w:top w:type="dxa" w:w="80"/>
              <w:left w:type="dxa" w:w="100"/>
              <w:bottom w:type="dxa" w:w="80"/>
              <w:right w:type="dxa" w:w="100"/>
            </w:tcMar>
            <w:vAlign w:val="center"/>
          </w:tcPr>
          <w:p>
            <w:r>
              <w:rPr>
                <w:b w:val="false"/>
                <w:bCs w:val="false"/>
              </w:rPr>
              <w:t xml:space="preserve">profiles</w:t>
            </w:r>
          </w:p>
        </w:tc>
        <w:tc>
          <w:tcPr>
            <w:tcW w:type="dxa" w:w="6980"/>
            <w:tcMar>
              <w:top w:type="dxa" w:w="80"/>
              <w:left w:type="dxa" w:w="100"/>
              <w:bottom w:type="dxa" w:w="80"/>
              <w:right w:type="dxa" w:w="100"/>
            </w:tcMar>
            <w:vAlign w:val="center"/>
          </w:tcPr>
          <w:p>
            <w:r>
              <w:rPr>
                <w:b w:val="false"/>
                <w:bCs w:val="false"/>
              </w:rPr>
              <w:t xml:space="preserve">Usuarios de la plataforma</w:t>
            </w:r>
          </w:p>
        </w:tc>
      </w:tr>
      <w:tr>
        <w:tc>
          <w:tcPr>
            <w:tcW w:type="dxa" w:w="2500"/>
            <w:tcMar>
              <w:top w:type="dxa" w:w="80"/>
              <w:left w:type="dxa" w:w="100"/>
              <w:bottom w:type="dxa" w:w="80"/>
              <w:right w:type="dxa" w:w="100"/>
            </w:tcMar>
            <w:vAlign w:val="center"/>
          </w:tcPr>
          <w:p>
            <w:r>
              <w:rPr>
                <w:b w:val="false"/>
                <w:bCs w:val="false"/>
              </w:rPr>
              <w:t xml:space="preserve">products</w:t>
            </w:r>
          </w:p>
        </w:tc>
        <w:tc>
          <w:tcPr>
            <w:tcW w:type="dxa" w:w="6980"/>
            <w:tcMar>
              <w:top w:type="dxa" w:w="80"/>
              <w:left w:type="dxa" w:w="100"/>
              <w:bottom w:type="dxa" w:w="80"/>
              <w:right w:type="dxa" w:w="100"/>
            </w:tcMar>
            <w:vAlign w:val="center"/>
          </w:tcPr>
          <w:p>
            <w:r>
              <w:rPr>
                <w:b w:val="false"/>
                <w:bCs w:val="false"/>
              </w:rPr>
              <w:t xml:space="preserve">Productos/servicios por organización</w:t>
            </w:r>
          </w:p>
        </w:tc>
      </w:tr>
    </w:tbl>
    <w:p>
      <w:pPr>
        <w:pStyle w:val="Heading1"/>
      </w:pPr>
      <w:r>
        <w:t xml:space="preserve">9. Seguridad y automatizaciones</w:t>
      </w:r>
    </w:p>
    <w:p>
      <w:pPr>
        <w:spacing w:after="160"/>
      </w:pPr>
      <w:r>
        <w:t xml:space="preserve">En producción, la validación del webhook de Meta depende de la variable META_APP_SECRET, que permite verificar que los mensajes provienen realmente de Meta (firma X-Hub-Signature-256); para integraciones vía Twilio, la firma se verifica automáticamente con el auth_token guardado por cada organización. Las credenciales sensibles (API keys de OpenAI, credenciales de WhatsApp) se configuran por organización desde el panel de configuración y nunca se versionan en el repositorio.</w:t>
      </w:r>
    </w:p>
    <w:p>
      <w:pPr>
        <w:spacing w:after="160"/>
      </w:pPr>
      <w:r>
        <w:t xml:space="preserve">Un cron horario ejecuta ocho automatizaciones: recordatorios de cita (24 h y 1 h antes), resumen diario al dueño por WhatsApp, seguimiento post-visita, reactivación de leads inactivos, aviso a conversaciones estancadas antes de que cierre la ventana de sesión de 24 h de WhatsApp, consolidación de métricas diarias, y un health-check proactivo que valida diariamente el token de acceso de Meta de cada organización contra la Graph API, alertando (in-app y Sentry) si el token es inválido o vence en menos de 72 horas.</w:t>
      </w:r>
    </w:p>
    <w:p>
      <w:pPr>
        <w:pStyle w:val="Heading1"/>
      </w:pPr>
      <w:r>
        <w:t xml:space="preserve">10. Identidad de marca</w:t>
      </w:r>
    </w:p>
    <w:p>
      <w:pPr>
        <w:pStyle w:val="ListParagraph"/>
        <w:numPr>
          <w:ilvl w:val="0"/>
          <w:numId w:val="2"/>
        </w:numPr>
        <w:spacing w:after="80"/>
      </w:pPr>
      <w:r>
        <w:rPr>
          <w:b/>
          <w:bCs/>
        </w:rPr>
        <w:t xml:space="preserve">Concepto:</w:t>
      </w:r>
      <w:r>
        <w:t xml:space="preserve"> Velocidad + excelencia en ventas conversacionales.</w:t>
      </w:r>
    </w:p>
    <w:p>
      <w:pPr>
        <w:pStyle w:val="ListParagraph"/>
        <w:numPr>
          <w:ilvl w:val="0"/>
          <w:numId w:val="2"/>
        </w:numPr>
        <w:spacing w:after="80"/>
      </w:pPr>
      <w:r>
        <w:rPr>
          <w:b/>
          <w:bCs/>
        </w:rPr>
        <w:t xml:space="preserve">Colores:</w:t>
      </w:r>
      <w:r>
        <w:t xml:space="preserve"> Verde sage (#7a9e8a) sobre fondo oscuro (#0a0a09).</w:t>
      </w:r>
    </w:p>
    <w:p>
      <w:pPr>
        <w:pStyle w:val="ListParagraph"/>
        <w:numPr>
          <w:ilvl w:val="0"/>
          <w:numId w:val="2"/>
        </w:numPr>
        <w:spacing w:after="80"/>
      </w:pPr>
      <w:r>
        <w:rPr>
          <w:b/>
          <w:bCs/>
        </w:rPr>
        <w:t xml:space="preserve">Tipografía:</w:t>
      </w:r>
      <w:r>
        <w:t xml:space="preserve"> Playfair Display (títulos) + Geist (cuerpo).</w:t>
      </w:r>
    </w:p>
    <w:p>
      <w:pPr>
        <w:pStyle w:val="Heading1"/>
      </w:pPr>
      <w:r>
        <w:t xml:space="preserve">11. Conclusión</w:t>
      </w:r>
    </w:p>
    <w:p>
      <w:pPr>
        <w:spacing w:after="160"/>
      </w:pPr>
      <w:r>
        <w:t xml:space="preserve">Xelera es un proyecto SaaS completo que integra IA conversacional, procesamiento asíncrono de mensajería, memoria de largo plazo, RAG, analítica de eventos y automatizaciones operativas, todo dentro de una arquitectura multi-tenant con foco en seguridad y observabilidad. Constituye una experiencia práctica relevante en desarrollo de productos de IA aplicada, útil como antecedente para procesos de práctica profesional y como base para futuros proyectos de emprendimiento tecnológico.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b/>
      <w:bCs/>
      <w:color w:val="0a0a09"/>
      <w:sz w:val="56"/>
      <w:szCs w:val="56"/>
    </w:rPr>
  </w:style>
  <w:style w:type="paragraph" w:styleId="Heading1">
    <w:name w:val="Heading 1"/>
    <w:basedOn w:val="Normal"/>
    <w:next w:val="Normal"/>
    <w:qFormat/>
    <w:pPr>
      <w:pBdr>
        <w:bottom w:val="single" w:color="5C7A6A" w:sz="6" w:space="4"/>
      </w:pBdr>
      <w:spacing w:after="160" w:before="360"/>
    </w:pPr>
    <w:rPr>
      <w:rFonts w:ascii="Georgia" w:cs="Georgia" w:eastAsia="Georgia" w:hAnsi="Georgia"/>
      <w:b/>
      <w:bCs/>
      <w:color w:val="5C7A6A"/>
      <w:sz w:val="30"/>
      <w:szCs w:val="30"/>
    </w:rPr>
  </w:style>
  <w:style w:type="paragraph" w:styleId="Heading2">
    <w:name w:val="Heading 2"/>
    <w:basedOn w:val="Normal"/>
    <w:next w:val="Normal"/>
    <w:qFormat/>
    <w:pPr>
      <w:spacing w:after="120" w:before="240"/>
    </w:pPr>
    <w:rPr>
      <w:rFonts w:ascii="Georgia" w:cs="Georgia" w:eastAsia="Georgia" w:hAnsi="Georgia"/>
      <w:b/>
      <w:bCs/>
      <w:color w:val="0a0a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2026-08-28T21:13:37.304Z</dcterms:created>
  <dcterms:modified xsi:type="dcterms:W3CDTF">2026-08-28T21:13:37.319Z</dcterms:modified>
</cp:coreProperties>
</file>

<file path=docProps/custom.xml><?xml version="1.0" encoding="utf-8"?>
<Properties xmlns="http://schemas.openxmlformats.org/officeDocument/2006/custom-properties" xmlns:vt="http://schemas.openxmlformats.org/officeDocument/2006/docPropsVTypes"/>
</file>